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tabs>
          <w:tab w:val="left" w:pos="8690"/>
        </w:tabs>
        <w:spacing w:before="0" w:beforeAutospacing="0" w:after="0" w:afterAutospacing="0" w:line="960" w:lineRule="exact"/>
        <w:ind w:left="0" w:right="0"/>
        <w:jc w:val="center"/>
        <w:rPr>
          <w:rFonts w:hint="eastAsia" w:ascii="方正小标宋_GBK" w:hAnsi="方正小标宋_GBK" w:eastAsia="方正小标宋_GBK" w:cs="方正小标宋_GBK"/>
          <w:b/>
          <w:color w:val="FF0000"/>
          <w:spacing w:val="-14"/>
          <w:w w:val="75"/>
          <w:sz w:val="108"/>
          <w:szCs w:val="108"/>
          <w:lang w:val="en-US"/>
        </w:rPr>
      </w:pPr>
    </w:p>
    <w:p>
      <w:pPr>
        <w:keepNext w:val="0"/>
        <w:keepLines w:val="0"/>
        <w:widowControl w:val="0"/>
        <w:suppressLineNumbers w:val="0"/>
        <w:tabs>
          <w:tab w:val="left" w:pos="8690"/>
        </w:tabs>
        <w:spacing w:before="0" w:beforeAutospacing="0" w:after="0" w:afterAutospacing="0" w:line="960" w:lineRule="exact"/>
        <w:ind w:left="0" w:right="0"/>
        <w:jc w:val="center"/>
        <w:rPr>
          <w:rFonts w:hint="eastAsia" w:ascii="方正小标宋_GBK" w:hAnsi="方正小标宋_GBK" w:eastAsia="方正小标宋_GBK" w:cs="方正小标宋_GBK"/>
          <w:b/>
          <w:color w:val="FF0000"/>
          <w:spacing w:val="-14"/>
          <w:w w:val="75"/>
          <w:sz w:val="108"/>
          <w:szCs w:val="108"/>
          <w:lang w:val="en-US"/>
        </w:rPr>
      </w:pPr>
    </w:p>
    <w:p>
      <w:pPr>
        <w:keepNext w:val="0"/>
        <w:keepLines w:val="0"/>
        <w:widowControl w:val="0"/>
        <w:suppressLineNumbers w:val="0"/>
        <w:tabs>
          <w:tab w:val="left" w:pos="8690"/>
        </w:tabs>
        <w:spacing w:before="0" w:beforeAutospacing="0" w:after="0" w:afterAutospacing="0" w:line="1180" w:lineRule="exact"/>
        <w:ind w:left="0" w:right="0"/>
        <w:jc w:val="center"/>
        <w:rPr>
          <w:rFonts w:hint="eastAsia" w:ascii="方正小标宋_GBK" w:hAnsi="方正小标宋_GBK" w:eastAsia="方正小标宋_GBK" w:cs="方正小标宋_GBK"/>
          <w:b/>
          <w:color w:val="FF0000"/>
          <w:spacing w:val="-14"/>
          <w:w w:val="75"/>
          <w:sz w:val="108"/>
          <w:szCs w:val="108"/>
          <w:lang w:val="en-US"/>
        </w:rPr>
      </w:pPr>
      <w:r>
        <w:rPr>
          <w:rFonts w:hint="eastAsia" w:ascii="方正小标宋_GBK" w:hAnsi="方正小标宋_GBK" w:eastAsia="方正小标宋_GBK" w:cs="方正小标宋_GBK"/>
          <w:b/>
          <w:color w:val="FF0000"/>
          <w:spacing w:val="-14"/>
          <w:w w:val="75"/>
          <w:kern w:val="2"/>
          <w:sz w:val="108"/>
          <w:szCs w:val="108"/>
          <w:lang w:val="en-US" w:eastAsia="zh-CN" w:bidi="ar"/>
        </w:rPr>
        <w:t>重庆市涪陵区财政局文件</w:t>
      </w:r>
    </w:p>
    <w:p>
      <w:pPr>
        <w:keepNext w:val="0"/>
        <w:keepLines w:val="0"/>
        <w:widowControl w:val="0"/>
        <w:suppressLineNumbers w:val="0"/>
        <w:spacing w:before="0" w:beforeAutospacing="0" w:after="0" w:afterAutospacing="0" w:line="900" w:lineRule="exact"/>
        <w:ind w:left="0" w:right="0"/>
        <w:jc w:val="center"/>
        <w:rPr>
          <w:rFonts w:hint="eastAsia" w:ascii="仿宋_GB2312" w:eastAsia="宋体" w:cs="仿宋_GB2312"/>
          <w:color w:val="FFFFFF"/>
          <w:lang w:val="en-US"/>
        </w:rPr>
      </w:pPr>
    </w:p>
    <w:p>
      <w:pPr>
        <w:keepNext w:val="0"/>
        <w:keepLines w:val="0"/>
        <w:widowControl w:val="0"/>
        <w:suppressLineNumbers w:val="0"/>
        <w:tabs>
          <w:tab w:val="left" w:pos="8690"/>
        </w:tabs>
        <w:spacing w:before="0" w:beforeAutospacing="0" w:after="0" w:afterAutospacing="0" w:line="600" w:lineRule="exact"/>
        <w:ind w:left="0" w:right="0"/>
        <w:jc w:val="center"/>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涪财政发</w:t>
      </w:r>
      <w:bookmarkStart w:id="0" w:name="OLE_LINK2"/>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2024</w:t>
      </w:r>
      <w:r>
        <w:rPr>
          <w:rFonts w:hint="eastAsia" w:ascii="Times New Roman" w:hAnsi="方正仿宋_GBK" w:eastAsia="方正仿宋_GBK" w:cs="方正仿宋_GBK"/>
          <w:kern w:val="2"/>
          <w:sz w:val="32"/>
          <w:szCs w:val="32"/>
          <w:lang w:val="en-US" w:eastAsia="zh-CN" w:bidi="ar"/>
        </w:rPr>
        <w:t>〕</w:t>
      </w:r>
      <w:bookmarkEnd w:id="0"/>
      <w:r>
        <w:rPr>
          <w:rFonts w:hint="eastAsia" w:ascii="Times New Roman" w:hAnsi="Times New Roman" w:cs="Times New Roman"/>
          <w:kern w:val="2"/>
          <w:sz w:val="32"/>
          <w:szCs w:val="32"/>
          <w:lang w:val="en-US" w:eastAsia="zh-CN" w:bidi="ar"/>
        </w:rPr>
        <w:t>174</w:t>
      </w:r>
      <w:r>
        <w:rPr>
          <w:rFonts w:hint="eastAsia" w:ascii="方正仿宋_GBK" w:hAnsi="宋体" w:eastAsia="方正仿宋_GBK" w:cs="方正仿宋_GBK"/>
          <w:kern w:val="2"/>
          <w:sz w:val="32"/>
          <w:szCs w:val="32"/>
          <w:lang w:val="en-US" w:eastAsia="zh-CN" w:bidi="ar"/>
        </w:rPr>
        <w:t>号</w:t>
      </w:r>
    </w:p>
    <w:p>
      <w:pPr>
        <w:keepNext w:val="0"/>
        <w:keepLines w:val="0"/>
        <w:widowControl w:val="0"/>
        <w:suppressLineNumbers w:val="0"/>
        <w:tabs>
          <w:tab w:val="center" w:pos="4422"/>
          <w:tab w:val="left" w:pos="5130"/>
          <w:tab w:val="left" w:pos="6900"/>
        </w:tabs>
        <w:spacing w:before="0" w:beforeAutospacing="0" w:after="0" w:afterAutospacing="0" w:line="480" w:lineRule="exact"/>
        <w:ind w:left="0" w:right="0"/>
        <w:jc w:val="left"/>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248920</wp:posOffset>
                </wp:positionV>
                <wp:extent cx="5486400" cy="0"/>
                <wp:effectExtent l="0" t="13970" r="0" b="16510"/>
                <wp:wrapNone/>
                <wp:docPr id="13" name="直线 14"/>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FFFFFF"/>
                          </a:solidFill>
                          <a:prstDash val="solid"/>
                          <a:headEnd type="none" w="med" len="med"/>
                          <a:tailEnd type="none" w="med" len="med"/>
                        </a:ln>
                      </wps:spPr>
                      <wps:bodyPr upright="1"/>
                    </wps:wsp>
                  </a:graphicData>
                </a:graphic>
              </wp:anchor>
            </w:drawing>
          </mc:Choice>
          <mc:Fallback>
            <w:pict>
              <v:line id="直线 14" o:spid="_x0000_s1026" o:spt="20" style="position:absolute;left:0pt;margin-left:0pt;margin-top:19.6pt;height:0pt;width:432pt;z-index:251659264;mso-width-relative:page;mso-height-relative:page;" filled="f" stroked="t" coordsize="21600,21600" o:gfxdata="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2CIM20QAA&#10;AAYBAAAPAAAAAAAAAAEAIAAAACIAAABkcnMvZG93bnJldi54bWxQSwECFAAUAAAACACHTuJA0mfy&#10;UuwBAADeAwAADgAAAAAAAAABACAAAAAgAQAAZHJzL2Uyb0RvYy54bWxQSwUGAAAAAAYABgBZAQAA&#10;fgUAAAAA&#10;">
                <v:fill on="f" focussize="0,0"/>
                <v:stroke weight="2.25pt" color="#FFFFFF" joinstyle="round"/>
                <v:imagedata o:title=""/>
                <o:lock v:ext="edit" aspectratio="f"/>
              </v:line>
            </w:pict>
          </mc:Fallback>
        </mc:AlternateContent>
      </w: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50800</wp:posOffset>
                </wp:positionV>
                <wp:extent cx="5615940" cy="0"/>
                <wp:effectExtent l="0" t="13970" r="7620" b="16510"/>
                <wp:wrapSquare wrapText="bothSides"/>
                <wp:docPr id="14" name="直线 15"/>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0pt;margin-top:4pt;height:0pt;width:442.2pt;mso-wrap-distance-bottom:0pt;mso-wrap-distance-left:9pt;mso-wrap-distance-right:9pt;mso-wrap-distance-top:0pt;z-index:251660288;mso-width-relative:page;mso-height-relative:page;" filled="f" stroked="t" coordsize="21600,21600" o:gfxdata="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UjdQy&#10;0wAAAAQBAAAPAAAAAAAAAAEAIAAAACIAAABkcnMvZG93bnJldi54bWxQSwECFAAUAAAACACHTuJA&#10;mzkUiO0BAADeAwAADgAAAAAAAAABACAAAAAiAQAAZHJzL2Uyb0RvYy54bWxQSwUGAAAAAAYABgBZ&#10;AQAAgQUAAAAA&#10;">
                <v:fill on="f" focussize="0,0"/>
                <v:stroke weight="2.25pt" color="#FF0000" joinstyle="round"/>
                <v:imagedata o:title=""/>
                <o:lock v:ext="edit" aspectratio="f"/>
                <w10:wrap type="square"/>
              </v:line>
            </w:pict>
          </mc:Fallback>
        </mc:AlternateContent>
      </w:r>
      <w:r>
        <w:rPr>
          <w:rFonts w:hint="default" w:ascii="Times New Roman" w:hAnsi="Times New Roman" w:eastAsia="宋体" w:cs="Times New Roman"/>
          <w:kern w:val="2"/>
          <w:sz w:val="21"/>
          <w:szCs w:val="24"/>
          <w:lang w:val="en-US" w:eastAsia="zh-CN" w:bidi="ar"/>
        </w:rPr>
        <w:tab/>
      </w:r>
      <w:r>
        <w:rPr>
          <w:rFonts w:hint="default" w:ascii="Times New Roman" w:hAnsi="Times New Roman" w:eastAsia="宋体" w:cs="Times New Roman"/>
          <w:kern w:val="2"/>
          <w:sz w:val="21"/>
          <w:szCs w:val="24"/>
          <w:lang w:val="en-US" w:eastAsia="zh-CN" w:bidi="ar"/>
        </w:rPr>
        <w:tab/>
      </w:r>
      <w:r>
        <w:rPr>
          <w:rFonts w:hint="default" w:ascii="Times New Roman" w:hAnsi="Times New Roman" w:eastAsia="宋体" w:cs="Times New Roman"/>
          <w:kern w:val="2"/>
          <w:sz w:val="21"/>
          <w:szCs w:val="24"/>
          <w:lang w:val="en-US" w:eastAsia="zh-CN" w:bidi="ar"/>
        </w:rPr>
        <w:tab/>
      </w:r>
    </w:p>
    <w:p>
      <w:pPr>
        <w:keepNext w:val="0"/>
        <w:keepLines w:val="0"/>
        <w:widowControl w:val="0"/>
        <w:suppressLineNumbers w:val="0"/>
        <w:spacing w:before="0" w:beforeAutospacing="0" w:after="0" w:afterAutospacing="0" w:line="240" w:lineRule="exact"/>
        <w:ind w:left="0" w:right="-237" w:rightChars="-74"/>
        <w:jc w:val="both"/>
        <w:rPr>
          <w:rFonts w:hint="eastAsia" w:ascii="方正小标宋_GBK" w:hAnsi="方正小标宋_GBK" w:eastAsia="方正小标宋_GBK" w:cs="方正小标宋_GBK"/>
          <w:sz w:val="44"/>
          <w:szCs w:val="44"/>
          <w:lang w:val="en-US"/>
        </w:rPr>
      </w:pPr>
    </w:p>
    <w:p>
      <w:pPr>
        <w:keepNext w:val="0"/>
        <w:keepLines w:val="0"/>
        <w:widowControl w:val="0"/>
        <w:suppressLineNumbers w:val="0"/>
        <w:spacing w:before="0" w:beforeAutospacing="0" w:after="0" w:afterAutospacing="0" w:line="260" w:lineRule="exact"/>
        <w:ind w:left="0" w:right="-237" w:rightChars="-74"/>
        <w:jc w:val="both"/>
        <w:rPr>
          <w:rFonts w:hint="eastAsia" w:ascii="方正小标宋_GBK" w:hAnsi="方正小标宋_GBK" w:eastAsia="方正小标宋_GBK" w:cs="方正小标宋_GBK"/>
          <w:sz w:val="44"/>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_GBK" w:hAnsi="宋体" w:eastAsia="方正小标宋_GBK" w:cs="方正小标宋_GBK"/>
          <w:sz w:val="44"/>
          <w:szCs w:val="44"/>
          <w:lang w:val="en-US"/>
        </w:rPr>
      </w:pPr>
      <w:r>
        <w:rPr>
          <w:rFonts w:hint="eastAsia" w:ascii="方正小标宋_GBK" w:hAnsi="宋体" w:eastAsia="方正小标宋_GBK" w:cs="方正小标宋_GBK"/>
          <w:kern w:val="2"/>
          <w:sz w:val="44"/>
          <w:szCs w:val="44"/>
          <w:lang w:val="en-US" w:eastAsia="zh-CN" w:bidi="ar"/>
        </w:rPr>
        <w:t>重庆市涪陵区财政局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_GBK" w:hAnsi="宋体" w:eastAsia="方正小标宋_GBK" w:cs="方正小标宋_GBK"/>
          <w:kern w:val="2"/>
          <w:sz w:val="44"/>
          <w:szCs w:val="44"/>
          <w:lang w:val="en-US" w:eastAsia="zh-CN" w:bidi="ar"/>
        </w:rPr>
      </w:pPr>
      <w:r>
        <w:rPr>
          <w:rFonts w:hint="eastAsia" w:ascii="方正小标宋_GBK" w:hAnsi="宋体" w:eastAsia="方正小标宋_GBK" w:cs="方正小标宋_GBK"/>
          <w:kern w:val="2"/>
          <w:sz w:val="44"/>
          <w:szCs w:val="44"/>
          <w:lang w:val="en-US" w:eastAsia="zh-CN" w:bidi="ar"/>
        </w:rPr>
        <w:t>关于开展2023年度行政事业单位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_GBK" w:hAnsi="宋体" w:eastAsia="方正小标宋_GBK" w:cs="方正小标宋_GBK"/>
          <w:kern w:val="2"/>
          <w:sz w:val="44"/>
          <w:szCs w:val="44"/>
          <w:lang w:val="en-US" w:eastAsia="zh-CN" w:bidi="ar"/>
        </w:rPr>
      </w:pPr>
      <w:r>
        <w:rPr>
          <w:rFonts w:hint="eastAsia" w:ascii="方正小标宋_GBK" w:hAnsi="宋体" w:eastAsia="方正小标宋_GBK" w:cs="方正小标宋_GBK"/>
          <w:kern w:val="2"/>
          <w:sz w:val="44"/>
          <w:szCs w:val="44"/>
          <w:lang w:val="en-US" w:eastAsia="zh-CN" w:bidi="ar"/>
        </w:rPr>
        <w:t>内部控制报告编报工作的通知</w:t>
      </w:r>
    </w:p>
    <w:p>
      <w:pPr>
        <w:spacing w:line="560" w:lineRule="exact"/>
        <w:rPr>
          <w:rFonts w:ascii="方正小标宋_GBK" w:hAnsi="方正小标宋_GBK" w:eastAsia="方正小标宋_GBK" w:cs="方正小标宋_GBK"/>
          <w:sz w:val="52"/>
          <w:szCs w:val="52"/>
        </w:rPr>
      </w:pPr>
    </w:p>
    <w:p>
      <w:pPr>
        <w:keepNext w:val="0"/>
        <w:keepLines w:val="0"/>
        <w:pageBreakBefore w:val="0"/>
        <w:widowControl w:val="0"/>
        <w:kinsoku/>
        <w:wordWrap/>
        <w:overflowPunct/>
        <w:topLinePunct w:val="0"/>
        <w:autoSpaceDE/>
        <w:autoSpaceDN/>
        <w:bidi w:val="0"/>
        <w:adjustRightInd/>
        <w:snapToGrid/>
        <w:spacing w:after="120" w:line="580" w:lineRule="exact"/>
        <w:textAlignment w:val="auto"/>
        <w:rPr>
          <w:rFonts w:ascii="方正仿宋_GBK" w:hAnsi="黑体" w:eastAsia="方正仿宋_GBK"/>
          <w:color w:val="000000"/>
          <w:sz w:val="32"/>
          <w:szCs w:val="32"/>
        </w:rPr>
      </w:pPr>
      <w:r>
        <w:rPr>
          <w:rFonts w:hint="eastAsia" w:ascii="方正仿宋_GBK" w:hAnsi="黑体" w:eastAsia="方正仿宋_GBK"/>
          <w:color w:val="000000"/>
          <w:sz w:val="32"/>
          <w:szCs w:val="32"/>
        </w:rPr>
        <w:t>涪陵高新区管委会，各乡镇人民政府、街道办事处，区政府各部门，有关单位：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after="120" w:line="580" w:lineRule="exact"/>
        <w:ind w:firstLine="640"/>
        <w:textAlignment w:val="auto"/>
        <w:rPr>
          <w:rFonts w:ascii="方正仿宋_GBK" w:hAnsi="宋体" w:eastAsia="方正仿宋_GBK"/>
          <w:color w:val="000000"/>
          <w:sz w:val="32"/>
          <w:szCs w:val="32"/>
        </w:rPr>
      </w:pPr>
      <w:r>
        <w:rPr>
          <w:rFonts w:hint="eastAsia" w:ascii="方正仿宋_GBK" w:eastAsia="方正仿宋_GBK"/>
          <w:sz w:val="32"/>
          <w:szCs w:val="32"/>
        </w:rPr>
        <w:t>为贯彻落实中央办公厅、国务院办公厅《关于进一步加强财会监督工作的意见》的有关要求，推动行政事业单位完善内部控制建设，持续提升财会监督效能，根据《行政事业单位内部控制报告管理制度（试行）》（财会〔2017〕1号）和</w:t>
      </w:r>
      <w:r>
        <w:rPr>
          <w:rFonts w:hint="eastAsia" w:ascii="方正仿宋_GBK" w:hAnsi="黑体" w:eastAsia="方正仿宋_GBK"/>
          <w:color w:val="000000"/>
          <w:sz w:val="32"/>
          <w:szCs w:val="32"/>
        </w:rPr>
        <w:t>《重庆市财政局关于开展2023年度行政事业单位内部控制报告编报工作的通知》（渝财会〔2024〕2号）等规定</w:t>
      </w:r>
      <w:r>
        <w:rPr>
          <w:rFonts w:hint="eastAsia" w:ascii="方正仿宋_GBK" w:eastAsia="方正仿宋_GBK"/>
          <w:sz w:val="32"/>
          <w:szCs w:val="32"/>
        </w:rPr>
        <w:t>，现就2023年度行政事业单位内部控制报告编报工作通知如下。</w:t>
      </w:r>
    </w:p>
    <w:p>
      <w:pPr>
        <w:keepNext w:val="0"/>
        <w:keepLines w:val="0"/>
        <w:pageBreakBefore w:val="0"/>
        <w:widowControl w:val="0"/>
        <w:kinsoku/>
        <w:wordWrap/>
        <w:overflowPunct/>
        <w:topLinePunct w:val="0"/>
        <w:autoSpaceDE/>
        <w:autoSpaceDN/>
        <w:bidi w:val="0"/>
        <w:adjustRightInd/>
        <w:snapToGrid/>
        <w:spacing w:after="120" w:line="580" w:lineRule="exact"/>
        <w:ind w:firstLine="640"/>
        <w:textAlignment w:val="auto"/>
        <w:rPr>
          <w:rFonts w:ascii="方正黑体_GBK" w:hAnsi="黑体" w:eastAsia="方正黑体_GBK" w:cs="黑体"/>
          <w:sz w:val="32"/>
          <w:szCs w:val="32"/>
        </w:rPr>
      </w:pPr>
      <w:r>
        <w:rPr>
          <w:rFonts w:hint="eastAsia" w:ascii="方正黑体_GBK" w:hAnsi="黑体" w:eastAsia="方正黑体_GBK" w:cs="黑体"/>
          <w:spacing w:val="-6"/>
          <w:sz w:val="32"/>
          <w:szCs w:val="32"/>
        </w:rPr>
        <w:t>一、扎实做好内部控制报告编报工作</w:t>
      </w:r>
    </w:p>
    <w:p>
      <w:pPr>
        <w:pStyle w:val="5"/>
        <w:keepNext w:val="0"/>
        <w:keepLines w:val="0"/>
        <w:pageBreakBefore w:val="0"/>
        <w:widowControl w:val="0"/>
        <w:kinsoku/>
        <w:wordWrap/>
        <w:overflowPunct/>
        <w:topLinePunct w:val="0"/>
        <w:autoSpaceDE/>
        <w:autoSpaceDN/>
        <w:bidi w:val="0"/>
        <w:adjustRightInd/>
        <w:snapToGrid/>
        <w:spacing w:after="120" w:line="580" w:lineRule="exact"/>
        <w:ind w:firstLine="633"/>
        <w:textAlignment w:val="auto"/>
        <w:rPr>
          <w:rFonts w:ascii="方正仿宋_GBK" w:eastAsia="方正仿宋_GBK"/>
          <w:sz w:val="32"/>
          <w:szCs w:val="32"/>
        </w:rPr>
      </w:pPr>
      <w:r>
        <w:rPr>
          <w:rFonts w:hint="eastAsia" w:ascii="方正楷体_GBK" w:eastAsia="方正楷体_GBK"/>
          <w:b w:val="0"/>
          <w:bCs/>
          <w:sz w:val="32"/>
          <w:szCs w:val="32"/>
        </w:rPr>
        <w:t>（一）强化组织协调。</w:t>
      </w:r>
      <w:r>
        <w:rPr>
          <w:rFonts w:hint="eastAsia" w:ascii="方正仿宋_GBK" w:eastAsia="方正仿宋_GBK"/>
          <w:color w:val="000000" w:themeColor="text1"/>
          <w:sz w:val="32"/>
          <w:szCs w:val="32"/>
          <w:shd w:val="clear" w:color="auto" w:fill="FFFFFF"/>
          <w14:textFill>
            <w14:solidFill>
              <w14:schemeClr w14:val="tx1"/>
            </w14:solidFill>
          </w14:textFill>
        </w:rPr>
        <w:t>各</w:t>
      </w:r>
      <w:r>
        <w:rPr>
          <w:rFonts w:hint="eastAsia" w:ascii="方正仿宋_GBK" w:eastAsia="方正仿宋_GBK"/>
          <w:color w:val="000000" w:themeColor="text1"/>
          <w:sz w:val="32"/>
          <w:szCs w:val="32"/>
          <w14:textFill>
            <w14:solidFill>
              <w14:schemeClr w14:val="tx1"/>
            </w14:solidFill>
          </w14:textFill>
        </w:rPr>
        <w:t>行政事业单位</w:t>
      </w:r>
      <w:r>
        <w:rPr>
          <w:rFonts w:hint="eastAsia" w:ascii="方正仿宋_GBK" w:eastAsia="方正仿宋_GBK"/>
          <w:sz w:val="32"/>
          <w:szCs w:val="32"/>
        </w:rPr>
        <w:t>要充分认识</w:t>
      </w:r>
      <w:r>
        <w:rPr>
          <w:rFonts w:hint="eastAsia" w:ascii="方正仿宋_GBK" w:eastAsia="方正仿宋_GBK"/>
          <w:spacing w:val="-3"/>
          <w:sz w:val="32"/>
          <w:szCs w:val="32"/>
        </w:rPr>
        <w:t>新时代内部控制工作面临的新形势新任务，完善内部制度流程，</w:t>
      </w:r>
      <w:r>
        <w:rPr>
          <w:rFonts w:hint="eastAsia" w:ascii="方正仿宋_GBK" w:eastAsia="方正仿宋_GBK"/>
          <w:sz w:val="32"/>
          <w:szCs w:val="32"/>
        </w:rPr>
        <w:t>健全内部控制体系，更好发挥内部控制在落实过紧日子要求、强化绩效管理、严肃财经纪律等方面的支持作用。要切实加强对</w:t>
      </w:r>
      <w:r>
        <w:rPr>
          <w:rFonts w:hint="eastAsia" w:ascii="方正仿宋_GBK" w:eastAsia="方正仿宋_GBK"/>
          <w:spacing w:val="-8"/>
          <w:sz w:val="32"/>
          <w:szCs w:val="32"/>
        </w:rPr>
        <w:t>本单位内部控制报告编报工作的组织领导，制定工作方案，</w:t>
      </w:r>
      <w:r>
        <w:rPr>
          <w:rFonts w:hint="eastAsia" w:ascii="方正仿宋_GBK" w:eastAsia="方正仿宋_GBK"/>
          <w:spacing w:val="-14"/>
          <w:sz w:val="32"/>
          <w:szCs w:val="32"/>
        </w:rPr>
        <w:t>明确时间节点，层层压实责任，确保符合条件的行政事业单位“应报尽报”，有序推进内部控制报告的编制、汇总、审核、报送、分</w:t>
      </w:r>
      <w:r>
        <w:rPr>
          <w:rFonts w:hint="eastAsia" w:ascii="方正仿宋_GBK" w:eastAsia="方正仿宋_GBK"/>
          <w:sz w:val="32"/>
          <w:szCs w:val="32"/>
        </w:rPr>
        <w:t>析、应用等各项工作。同时做好内部控制报告与部门决算、预算绩效管理、政府采购、行政事业性国有资产报告等工作的统筹协调，</w:t>
      </w:r>
      <w:r>
        <w:rPr>
          <w:rFonts w:hint="eastAsia" w:ascii="方正仿宋_GBK" w:eastAsia="方正仿宋_GBK"/>
          <w:spacing w:val="-6"/>
          <w:sz w:val="32"/>
          <w:szCs w:val="32"/>
        </w:rPr>
        <w:t>提高数据填报准确性。</w:t>
      </w:r>
    </w:p>
    <w:p>
      <w:pPr>
        <w:pStyle w:val="5"/>
        <w:keepNext w:val="0"/>
        <w:keepLines w:val="0"/>
        <w:pageBreakBefore w:val="0"/>
        <w:widowControl w:val="0"/>
        <w:kinsoku/>
        <w:wordWrap/>
        <w:overflowPunct/>
        <w:topLinePunct w:val="0"/>
        <w:autoSpaceDE/>
        <w:autoSpaceDN/>
        <w:bidi w:val="0"/>
        <w:adjustRightInd/>
        <w:snapToGrid/>
        <w:spacing w:after="120" w:line="580" w:lineRule="exact"/>
        <w:ind w:right="247" w:firstLine="640" w:firstLineChars="200"/>
        <w:textAlignment w:val="auto"/>
        <w:rPr>
          <w:rFonts w:ascii="方正仿宋_GBK" w:eastAsia="方正仿宋_GBK"/>
          <w:sz w:val="32"/>
          <w:szCs w:val="32"/>
        </w:rPr>
      </w:pPr>
      <w:r>
        <w:rPr>
          <w:rFonts w:hint="eastAsia" w:ascii="方正楷体_GBK" w:eastAsia="方正楷体_GBK"/>
          <w:b w:val="0"/>
          <w:bCs/>
          <w:sz w:val="32"/>
          <w:szCs w:val="32"/>
        </w:rPr>
        <w:t>（二）加强审核检查。</w:t>
      </w:r>
      <w:r>
        <w:rPr>
          <w:rFonts w:hint="eastAsia" w:ascii="方正仿宋_GBK" w:eastAsia="方正仿宋_GBK"/>
          <w:color w:val="000000" w:themeColor="text1"/>
          <w:sz w:val="32"/>
          <w:szCs w:val="32"/>
          <w:shd w:val="clear" w:color="auto" w:fill="FFFFFF"/>
          <w14:textFill>
            <w14:solidFill>
              <w14:schemeClr w14:val="tx1"/>
            </w14:solidFill>
          </w14:textFill>
        </w:rPr>
        <w:t>各</w:t>
      </w:r>
      <w:r>
        <w:rPr>
          <w:rFonts w:hint="eastAsia" w:ascii="方正仿宋_GBK" w:eastAsia="方正仿宋_GBK"/>
          <w:color w:val="000000" w:themeColor="text1"/>
          <w:sz w:val="32"/>
          <w:szCs w:val="32"/>
          <w14:textFill>
            <w14:solidFill>
              <w14:schemeClr w14:val="tx1"/>
            </w14:solidFill>
          </w14:textFill>
        </w:rPr>
        <w:t>行政事业单位</w:t>
      </w:r>
      <w:r>
        <w:rPr>
          <w:rFonts w:hint="eastAsia" w:ascii="方正仿宋_GBK" w:eastAsia="方正仿宋_GBK"/>
          <w:spacing w:val="-2"/>
          <w:sz w:val="32"/>
          <w:szCs w:val="32"/>
        </w:rPr>
        <w:t>应当根据</w:t>
      </w:r>
      <w:r>
        <w:rPr>
          <w:rFonts w:hint="eastAsia" w:ascii="方正仿宋_GBK" w:hAnsi="宋体" w:eastAsia="方正仿宋_GBK" w:cs="宋体"/>
          <w:spacing w:val="-2"/>
          <w:sz w:val="32"/>
          <w:szCs w:val="32"/>
        </w:rPr>
        <w:t>2023</w:t>
      </w:r>
      <w:r>
        <w:rPr>
          <w:rFonts w:hint="eastAsia" w:ascii="方正仿宋_GBK" w:eastAsia="方正仿宋_GBK"/>
          <w:spacing w:val="-2"/>
          <w:sz w:val="32"/>
          <w:szCs w:val="32"/>
        </w:rPr>
        <w:t>年度内部控制建设的实际情况、存在的问题和取得的成效，以能够反映本单位内</w:t>
      </w:r>
      <w:r>
        <w:rPr>
          <w:rFonts w:hint="eastAsia" w:ascii="方正仿宋_GBK" w:eastAsia="方正仿宋_GBK"/>
          <w:spacing w:val="-3"/>
          <w:sz w:val="32"/>
          <w:szCs w:val="32"/>
        </w:rPr>
        <w:t>部控制真实情况的相关材料为支撑，科学准确编制本单位《</w:t>
      </w:r>
      <w:r>
        <w:rPr>
          <w:rFonts w:hint="eastAsia" w:ascii="方正仿宋_GBK" w:hAnsi="宋体" w:eastAsia="方正仿宋_GBK" w:cs="宋体"/>
          <w:spacing w:val="-3"/>
          <w:sz w:val="32"/>
          <w:szCs w:val="32"/>
        </w:rPr>
        <w:t>2023</w:t>
      </w:r>
      <w:r>
        <w:rPr>
          <w:rFonts w:hint="eastAsia" w:ascii="方正仿宋_GBK" w:eastAsia="方正仿宋_GBK"/>
          <w:spacing w:val="-19"/>
          <w:sz w:val="32"/>
          <w:szCs w:val="32"/>
        </w:rPr>
        <w:t>年度行政事业单位内部控制报告》（见附件</w:t>
      </w:r>
      <w:r>
        <w:rPr>
          <w:rFonts w:hint="eastAsia" w:ascii="方正仿宋_GBK" w:hAnsi="宋体" w:eastAsia="方正仿宋_GBK" w:cs="宋体"/>
          <w:spacing w:val="-19"/>
          <w:sz w:val="32"/>
          <w:szCs w:val="32"/>
        </w:rPr>
        <w:t>1</w:t>
      </w:r>
      <w:r>
        <w:rPr>
          <w:rFonts w:hint="eastAsia" w:ascii="方正仿宋_GBK" w:eastAsia="方正仿宋_GBK"/>
          <w:spacing w:val="-19"/>
          <w:sz w:val="32"/>
          <w:szCs w:val="32"/>
        </w:rPr>
        <w:t>），</w:t>
      </w:r>
      <w:r>
        <w:rPr>
          <w:rFonts w:hint="eastAsia" w:ascii="方正仿宋_GBK" w:eastAsia="方正仿宋_GBK"/>
          <w:color w:val="000000" w:themeColor="text1"/>
          <w:sz w:val="32"/>
          <w:szCs w:val="32"/>
          <w:shd w:val="clear" w:color="auto" w:fill="FFFFFF"/>
          <w14:textFill>
            <w14:solidFill>
              <w14:schemeClr w14:val="tx1"/>
            </w14:solidFill>
          </w14:textFill>
        </w:rPr>
        <w:t>报经单位主要负责人批准后，分辖区分管理权限报送</w:t>
      </w:r>
      <w:r>
        <w:rPr>
          <w:rFonts w:hint="eastAsia" w:ascii="方正仿宋_GBK" w:hAnsi="黑体" w:eastAsia="方正仿宋_GBK"/>
          <w:color w:val="000000" w:themeColor="text1"/>
          <w:sz w:val="32"/>
          <w:szCs w:val="32"/>
          <w14:textFill>
            <w14:solidFill>
              <w14:schemeClr w14:val="tx1"/>
            </w14:solidFill>
          </w14:textFill>
        </w:rPr>
        <w:t>各乡镇人民政府、街道办事处，单位所属主管部门汇总</w:t>
      </w:r>
      <w:r>
        <w:rPr>
          <w:rFonts w:hint="eastAsia" w:ascii="方正仿宋_GBK" w:eastAsia="方正仿宋_GBK"/>
          <w:color w:val="000000" w:themeColor="text1"/>
          <w:sz w:val="32"/>
          <w:szCs w:val="32"/>
          <w:shd w:val="clear" w:color="auto" w:fill="FFFFFF"/>
          <w14:textFill>
            <w14:solidFill>
              <w14:schemeClr w14:val="tx1"/>
            </w14:solidFill>
          </w14:textFill>
        </w:rPr>
        <w:t>；</w:t>
      </w:r>
      <w:r>
        <w:rPr>
          <w:rFonts w:hint="eastAsia" w:ascii="方正仿宋_GBK" w:hAnsi="黑体" w:eastAsia="方正仿宋_GBK"/>
          <w:color w:val="000000" w:themeColor="text1"/>
          <w:sz w:val="32"/>
          <w:szCs w:val="32"/>
          <w14:textFill>
            <w14:solidFill>
              <w14:schemeClr w14:val="tx1"/>
            </w14:solidFill>
          </w14:textFill>
        </w:rPr>
        <w:t>各乡镇人民政府、街道办事处，</w:t>
      </w:r>
      <w:r>
        <w:rPr>
          <w:rFonts w:hint="eastAsia" w:ascii="方正仿宋_GBK" w:eastAsia="方正仿宋_GBK"/>
          <w:color w:val="000000" w:themeColor="text1"/>
          <w:sz w:val="32"/>
          <w:szCs w:val="32"/>
          <w:shd w:val="clear" w:color="auto" w:fill="FFFFFF"/>
          <w14:textFill>
            <w14:solidFill>
              <w14:schemeClr w14:val="tx1"/>
            </w14:solidFill>
          </w14:textFill>
        </w:rPr>
        <w:t>各主管部门应对本辖区、本级及其所属行政事业单位内部控制报告进行审核，</w:t>
      </w:r>
      <w:r>
        <w:rPr>
          <w:rFonts w:hint="eastAsia" w:ascii="方正仿宋_GBK" w:eastAsia="方正仿宋_GBK"/>
          <w:spacing w:val="-2"/>
          <w:sz w:val="32"/>
          <w:szCs w:val="32"/>
        </w:rPr>
        <w:t>并在内部控制报告中全面反映审核情况（未经审核的内部控制报告不得汇总上报），</w:t>
      </w:r>
      <w:r>
        <w:rPr>
          <w:rFonts w:hint="eastAsia" w:ascii="方正仿宋_GBK" w:eastAsia="方正仿宋_GBK"/>
          <w:spacing w:val="-13"/>
          <w:sz w:val="32"/>
          <w:szCs w:val="32"/>
        </w:rPr>
        <w:t>汇总编报《</w:t>
      </w:r>
      <w:r>
        <w:rPr>
          <w:rFonts w:hint="eastAsia" w:ascii="方正仿宋_GBK" w:hAnsi="宋体" w:eastAsia="方正仿宋_GBK" w:cs="宋体"/>
          <w:spacing w:val="-13"/>
          <w:sz w:val="32"/>
          <w:szCs w:val="32"/>
        </w:rPr>
        <w:t>2023</w:t>
      </w:r>
      <w:r>
        <w:rPr>
          <w:rFonts w:hint="eastAsia" w:ascii="方正仿宋_GBK" w:eastAsia="方正仿宋_GBK"/>
          <w:spacing w:val="-13"/>
          <w:sz w:val="32"/>
          <w:szCs w:val="32"/>
        </w:rPr>
        <w:t>年度地区（部</w:t>
      </w:r>
      <w:r>
        <w:rPr>
          <w:rFonts w:hint="eastAsia" w:ascii="方正仿宋_GBK" w:eastAsia="方正仿宋_GBK"/>
          <w:spacing w:val="-19"/>
          <w:sz w:val="32"/>
          <w:szCs w:val="32"/>
        </w:rPr>
        <w:t>门）汇总内部控制报告》（见附件</w:t>
      </w:r>
      <w:r>
        <w:rPr>
          <w:rFonts w:hint="eastAsia" w:ascii="方正仿宋_GBK" w:hAnsi="宋体" w:eastAsia="方正仿宋_GBK" w:cs="宋体"/>
          <w:spacing w:val="-19"/>
          <w:sz w:val="32"/>
          <w:szCs w:val="32"/>
        </w:rPr>
        <w:t>2</w:t>
      </w:r>
      <w:r>
        <w:rPr>
          <w:rFonts w:hint="eastAsia" w:ascii="方正仿宋_GBK" w:eastAsia="方正仿宋_GBK"/>
          <w:spacing w:val="-19"/>
          <w:sz w:val="32"/>
          <w:szCs w:val="32"/>
        </w:rPr>
        <w:t>）。</w:t>
      </w:r>
      <w:r>
        <w:rPr>
          <w:rFonts w:hint="eastAsia" w:ascii="方正仿宋_GBK" w:hAnsi="黑体" w:eastAsia="方正仿宋_GBK"/>
          <w:color w:val="000000" w:themeColor="text1"/>
          <w:sz w:val="32"/>
          <w:szCs w:val="32"/>
          <w14:textFill>
            <w14:solidFill>
              <w14:schemeClr w14:val="tx1"/>
            </w14:solidFill>
          </w14:textFill>
        </w:rPr>
        <w:t>各乡镇人民政府、街道办事处，</w:t>
      </w:r>
      <w:r>
        <w:rPr>
          <w:rFonts w:hint="eastAsia" w:ascii="方正仿宋_GBK" w:eastAsia="方正仿宋_GBK"/>
          <w:color w:val="000000" w:themeColor="text1"/>
          <w:sz w:val="32"/>
          <w:szCs w:val="32"/>
          <w:shd w:val="clear" w:color="auto" w:fill="FFFFFF"/>
          <w14:textFill>
            <w14:solidFill>
              <w14:schemeClr w14:val="tx1"/>
            </w14:solidFill>
          </w14:textFill>
        </w:rPr>
        <w:t>各主管部门应对本辖区、本级及其所属行政事业单位数</w:t>
      </w:r>
      <w:r>
        <w:rPr>
          <w:rFonts w:hint="eastAsia" w:ascii="方正仿宋_GBK" w:eastAsia="方正仿宋_GBK"/>
          <w:spacing w:val="-19"/>
          <w:sz w:val="32"/>
          <w:szCs w:val="32"/>
        </w:rPr>
        <w:t>的10%</w:t>
      </w:r>
      <w:r>
        <w:rPr>
          <w:rFonts w:hint="eastAsia" w:ascii="方正仿宋_GBK" w:eastAsia="方正仿宋_GBK"/>
          <w:spacing w:val="-3"/>
          <w:sz w:val="32"/>
          <w:szCs w:val="32"/>
        </w:rPr>
        <w:t>开展内部控制检查，重点关注内部控制建设情况和内部控制报告的编报质量，以及内部控制工作组织实施情况和内部控</w:t>
      </w:r>
      <w:r>
        <w:rPr>
          <w:rFonts w:hint="eastAsia" w:ascii="方正仿宋_GBK" w:eastAsia="方正仿宋_GBK"/>
          <w:spacing w:val="-6"/>
          <w:sz w:val="32"/>
          <w:szCs w:val="32"/>
        </w:rPr>
        <w:t>制报告内容的真实性、完整性、规范性。我局将采取抽查的形式，组织人员对</w:t>
      </w:r>
      <w:r>
        <w:rPr>
          <w:rFonts w:hint="eastAsia" w:ascii="方正仿宋_GBK" w:hAnsi="黑体" w:eastAsia="方正仿宋_GBK"/>
          <w:color w:val="000000" w:themeColor="text1"/>
          <w:sz w:val="32"/>
          <w:szCs w:val="32"/>
          <w14:textFill>
            <w14:solidFill>
              <w14:schemeClr w14:val="tx1"/>
            </w14:solidFill>
          </w14:textFill>
        </w:rPr>
        <w:t>各乡镇人民政府、街道办事处，</w:t>
      </w:r>
      <w:r>
        <w:rPr>
          <w:rFonts w:hint="eastAsia" w:ascii="方正仿宋_GBK" w:eastAsia="方正仿宋_GBK"/>
          <w:color w:val="000000" w:themeColor="text1"/>
          <w:sz w:val="32"/>
          <w:szCs w:val="32"/>
          <w:shd w:val="clear" w:color="auto" w:fill="FFFFFF"/>
          <w14:textFill>
            <w14:solidFill>
              <w14:schemeClr w14:val="tx1"/>
            </w14:solidFill>
          </w14:textFill>
        </w:rPr>
        <w:t>各主管部门所开展的</w:t>
      </w:r>
      <w:r>
        <w:rPr>
          <w:rFonts w:hint="eastAsia" w:ascii="方正仿宋_GBK" w:eastAsia="方正仿宋_GBK"/>
          <w:spacing w:val="-3"/>
          <w:sz w:val="32"/>
          <w:szCs w:val="32"/>
        </w:rPr>
        <w:t>内部控制检查情况进行核实督导，对检查工作开展不力的我局将实时通报</w:t>
      </w:r>
      <w:r>
        <w:rPr>
          <w:rFonts w:hint="eastAsia" w:ascii="方正仿宋_GBK" w:eastAsia="方正仿宋_GBK"/>
          <w:spacing w:val="-6"/>
          <w:sz w:val="32"/>
          <w:szCs w:val="32"/>
        </w:rPr>
        <w:t>。</w:t>
      </w:r>
    </w:p>
    <w:p>
      <w:pPr>
        <w:pStyle w:val="5"/>
        <w:keepNext w:val="0"/>
        <w:keepLines w:val="0"/>
        <w:pageBreakBefore w:val="0"/>
        <w:widowControl w:val="0"/>
        <w:kinsoku/>
        <w:wordWrap/>
        <w:overflowPunct/>
        <w:topLinePunct w:val="0"/>
        <w:autoSpaceDE/>
        <w:autoSpaceDN/>
        <w:bidi w:val="0"/>
        <w:adjustRightInd/>
        <w:snapToGrid/>
        <w:spacing w:after="120" w:line="580" w:lineRule="exact"/>
        <w:ind w:firstLine="633"/>
        <w:textAlignment w:val="auto"/>
        <w:rPr>
          <w:rFonts w:ascii="方正仿宋_GBK" w:eastAsia="方正仿宋_GBK"/>
          <w:sz w:val="32"/>
          <w:szCs w:val="32"/>
        </w:rPr>
      </w:pPr>
      <w:r>
        <w:rPr>
          <w:rFonts w:hint="eastAsia" w:ascii="方正楷体_GBK" w:eastAsia="方正楷体_GBK"/>
          <w:b w:val="0"/>
          <w:bCs/>
          <w:sz w:val="32"/>
          <w:szCs w:val="32"/>
        </w:rPr>
        <w:t>（三）深化内部控制建设</w:t>
      </w:r>
      <w:r>
        <w:rPr>
          <w:rFonts w:hint="eastAsia" w:ascii="方正楷体_GBK" w:eastAsia="方正楷体_GBK"/>
          <w:b/>
          <w:sz w:val="32"/>
          <w:szCs w:val="32"/>
        </w:rPr>
        <w:t>。</w:t>
      </w:r>
      <w:r>
        <w:rPr>
          <w:rFonts w:hint="eastAsia" w:ascii="方正仿宋_GBK" w:eastAsia="方正仿宋_GBK"/>
          <w:sz w:val="32"/>
          <w:szCs w:val="32"/>
        </w:rPr>
        <w:t>各行政事业单位应当以内部控制报告编报工作为抓手，积极开展内部控制专题分析、问题整改和成果应用工作，挖掘内部控制在完善单位管理制度、绩效管理、监督问责、干部选拔任用等方面的应用价值，同时针对内部控制报告反映的有关问题，及时制定整改措施，进一步完善内部控制体系。政府财务总监要大力支持和积极配合受派单位内部控制建设工作，认真总结受派单位内部控制建设和实施过程</w:t>
      </w:r>
      <w:r>
        <w:rPr>
          <w:rFonts w:hint="eastAsia" w:ascii="方正仿宋_GBK" w:eastAsia="方正仿宋_GBK"/>
          <w:spacing w:val="-8"/>
          <w:sz w:val="32"/>
          <w:szCs w:val="32"/>
        </w:rPr>
        <w:t>中的经验做法和取得成效，形成具有可复制、可借鉴的典型案例，</w:t>
      </w:r>
      <w:r>
        <w:rPr>
          <w:rFonts w:hint="eastAsia" w:ascii="方正仿宋_GBK" w:eastAsia="方正仿宋_GBK"/>
          <w:spacing w:val="-6"/>
          <w:sz w:val="32"/>
          <w:szCs w:val="32"/>
        </w:rPr>
        <w:t>并在全区行政事业单位推广。</w:t>
      </w:r>
    </w:p>
    <w:p>
      <w:pPr>
        <w:pStyle w:val="5"/>
        <w:keepNext w:val="0"/>
        <w:keepLines w:val="0"/>
        <w:pageBreakBefore w:val="0"/>
        <w:widowControl w:val="0"/>
        <w:kinsoku/>
        <w:wordWrap/>
        <w:overflowPunct/>
        <w:topLinePunct w:val="0"/>
        <w:autoSpaceDE/>
        <w:autoSpaceDN/>
        <w:bidi w:val="0"/>
        <w:adjustRightInd/>
        <w:snapToGrid/>
        <w:spacing w:after="120" w:line="580" w:lineRule="exact"/>
        <w:ind w:right="247" w:firstLine="633"/>
        <w:textAlignment w:val="auto"/>
        <w:rPr>
          <w:rFonts w:ascii="方正仿宋_GBK" w:eastAsia="方正仿宋_GBK"/>
          <w:sz w:val="32"/>
          <w:szCs w:val="32"/>
        </w:rPr>
      </w:pPr>
      <w:r>
        <w:rPr>
          <w:rFonts w:hint="eastAsia" w:ascii="方正楷体_GBK" w:eastAsia="方正楷体_GBK"/>
          <w:b w:val="0"/>
          <w:bCs/>
          <w:sz w:val="32"/>
          <w:szCs w:val="32"/>
        </w:rPr>
        <w:t>（四）严守保密防线。</w:t>
      </w:r>
      <w:r>
        <w:rPr>
          <w:rFonts w:hint="eastAsia" w:ascii="方正仿宋_GBK" w:eastAsia="方正仿宋_GBK"/>
          <w:spacing w:val="-2"/>
          <w:sz w:val="32"/>
          <w:szCs w:val="32"/>
        </w:rPr>
        <w:t>各行政事业单位应当严格按</w:t>
      </w:r>
      <w:r>
        <w:rPr>
          <w:rFonts w:hint="eastAsia" w:ascii="方正仿宋_GBK" w:eastAsia="方正仿宋_GBK"/>
          <w:spacing w:val="-3"/>
          <w:sz w:val="32"/>
          <w:szCs w:val="32"/>
        </w:rPr>
        <w:t>照保密工作相关要求，依据“谁产生、谁定密”的原则，确定内</w:t>
      </w:r>
      <w:r>
        <w:rPr>
          <w:rFonts w:hint="eastAsia" w:ascii="方正仿宋_GBK" w:eastAsia="方正仿宋_GBK"/>
          <w:spacing w:val="-2"/>
          <w:sz w:val="32"/>
          <w:szCs w:val="32"/>
        </w:rPr>
        <w:t>部控制报告内容是否涉及敏感信息或涉密信息。凡通过网络方式</w:t>
      </w:r>
      <w:r>
        <w:rPr>
          <w:rFonts w:hint="eastAsia" w:ascii="方正仿宋_GBK" w:eastAsia="方正仿宋_GBK"/>
          <w:spacing w:val="-3"/>
          <w:sz w:val="32"/>
          <w:szCs w:val="32"/>
        </w:rPr>
        <w:t>报送的内部控制报告，应当按照规定进行脱敏脱密处理；涉及的</w:t>
      </w:r>
      <w:r>
        <w:rPr>
          <w:rFonts w:hint="eastAsia" w:ascii="方正仿宋_GBK" w:eastAsia="方正仿宋_GBK"/>
          <w:spacing w:val="-2"/>
          <w:sz w:val="32"/>
          <w:szCs w:val="32"/>
        </w:rPr>
        <w:t>敏感信息，应当通过单机版软件填报，并通过光盘、纸质等介质</w:t>
      </w:r>
      <w:r>
        <w:rPr>
          <w:rFonts w:hint="eastAsia" w:ascii="方正仿宋_GBK" w:eastAsia="方正仿宋_GBK"/>
          <w:spacing w:val="-6"/>
          <w:sz w:val="32"/>
          <w:szCs w:val="32"/>
        </w:rPr>
        <w:t>离线报送；严禁报送涉密信息。</w:t>
      </w:r>
    </w:p>
    <w:p>
      <w:pPr>
        <w:pStyle w:val="5"/>
        <w:keepNext w:val="0"/>
        <w:keepLines w:val="0"/>
        <w:pageBreakBefore w:val="0"/>
        <w:widowControl w:val="0"/>
        <w:kinsoku/>
        <w:wordWrap/>
        <w:overflowPunct/>
        <w:topLinePunct w:val="0"/>
        <w:autoSpaceDE/>
        <w:autoSpaceDN/>
        <w:bidi w:val="0"/>
        <w:adjustRightInd/>
        <w:snapToGrid/>
        <w:spacing w:after="120" w:line="580" w:lineRule="exact"/>
        <w:ind w:left="751"/>
        <w:textAlignment w:val="auto"/>
        <w:rPr>
          <w:rFonts w:ascii="方正黑体_GBK" w:hAnsi="黑体" w:eastAsia="方正黑体_GBK" w:cs="黑体"/>
          <w:sz w:val="32"/>
          <w:szCs w:val="32"/>
        </w:rPr>
      </w:pPr>
      <w:r>
        <w:rPr>
          <w:rFonts w:hint="eastAsia" w:ascii="方正黑体_GBK" w:hAnsi="黑体" w:eastAsia="方正黑体_GBK" w:cs="黑体"/>
          <w:spacing w:val="-6"/>
          <w:sz w:val="32"/>
          <w:szCs w:val="32"/>
        </w:rPr>
        <w:t>二、编报要求</w:t>
      </w:r>
    </w:p>
    <w:p>
      <w:pPr>
        <w:keepNext w:val="0"/>
        <w:keepLines w:val="0"/>
        <w:pageBreakBefore w:val="0"/>
        <w:widowControl w:val="0"/>
        <w:kinsoku/>
        <w:wordWrap/>
        <w:overflowPunct/>
        <w:topLinePunct w:val="0"/>
        <w:autoSpaceDE/>
        <w:autoSpaceDN/>
        <w:bidi w:val="0"/>
        <w:adjustRightInd/>
        <w:snapToGrid/>
        <w:spacing w:after="120" w:line="580" w:lineRule="exact"/>
        <w:ind w:firstLine="640"/>
        <w:textAlignment w:val="auto"/>
        <w:rPr>
          <w:rFonts w:ascii="方正仿宋_GBK" w:hAnsi="新宋体" w:eastAsia="方正仿宋_GBK"/>
          <w:b w:val="0"/>
          <w:bCs/>
          <w:spacing w:val="-2"/>
          <w:sz w:val="32"/>
          <w:szCs w:val="32"/>
        </w:rPr>
      </w:pPr>
      <w:r>
        <w:rPr>
          <w:rFonts w:hint="eastAsia" w:ascii="方正仿宋_GBK" w:hAnsi="新宋体" w:eastAsia="方正仿宋_GBK"/>
          <w:b w:val="0"/>
          <w:bCs/>
          <w:sz w:val="32"/>
          <w:szCs w:val="32"/>
        </w:rPr>
        <w:t>（一）</w:t>
      </w:r>
      <w:r>
        <w:rPr>
          <w:rFonts w:hint="eastAsia" w:ascii="方正仿宋_GBK" w:hAnsi="新宋体" w:eastAsia="方正仿宋_GBK"/>
          <w:b w:val="0"/>
          <w:bCs/>
          <w:spacing w:val="-2"/>
          <w:sz w:val="32"/>
          <w:szCs w:val="32"/>
        </w:rPr>
        <w:t>各行政事业单位应通过财政部统一报表平台（https://czyw.czj.cq.gov.cn:9797）或重庆市财政局官网“重庆会计之家”栏目进入“2023年度行政事业单位内部控制报告填报系统”开展内部控制报告的编报工作。上年度已填报过的行政事业单位用户名和密码同上年度，本年度新增的行政事业单位用户名和初始密码均为：统一社会信用代码第9到17位加@NKBG。</w:t>
      </w:r>
    </w:p>
    <w:p>
      <w:pPr>
        <w:pStyle w:val="5"/>
        <w:keepNext w:val="0"/>
        <w:keepLines w:val="0"/>
        <w:pageBreakBefore w:val="0"/>
        <w:widowControl w:val="0"/>
        <w:kinsoku/>
        <w:wordWrap/>
        <w:overflowPunct/>
        <w:topLinePunct w:val="0"/>
        <w:autoSpaceDE/>
        <w:autoSpaceDN/>
        <w:bidi w:val="0"/>
        <w:adjustRightInd/>
        <w:snapToGrid/>
        <w:spacing w:after="120" w:line="580" w:lineRule="exact"/>
        <w:ind w:right="271" w:firstLine="633"/>
        <w:textAlignment w:val="auto"/>
        <w:rPr>
          <w:rFonts w:ascii="方正仿宋_GBK" w:eastAsia="方正仿宋_GBK"/>
          <w:b w:val="0"/>
          <w:bCs w:val="0"/>
          <w:spacing w:val="-2"/>
          <w:sz w:val="32"/>
          <w:szCs w:val="32"/>
        </w:rPr>
      </w:pPr>
      <w:r>
        <w:rPr>
          <w:rFonts w:hint="eastAsia" w:ascii="方正仿宋_GBK" w:eastAsia="方正仿宋_GBK"/>
          <w:b w:val="0"/>
          <w:bCs w:val="0"/>
          <w:spacing w:val="-2"/>
          <w:sz w:val="32"/>
          <w:szCs w:val="32"/>
        </w:rPr>
        <w:t>2023年新组建部门、职能整体划转不再保留的部门不编报2023年度内部控制报告；涉及部分职能划转的部门正常编报2023年度内部控制报告。</w:t>
      </w:r>
    </w:p>
    <w:p>
      <w:pPr>
        <w:keepNext w:val="0"/>
        <w:keepLines w:val="0"/>
        <w:pageBreakBefore w:val="0"/>
        <w:widowControl w:val="0"/>
        <w:kinsoku/>
        <w:wordWrap/>
        <w:overflowPunct/>
        <w:topLinePunct w:val="0"/>
        <w:autoSpaceDE/>
        <w:autoSpaceDN/>
        <w:bidi w:val="0"/>
        <w:adjustRightInd/>
        <w:snapToGrid/>
        <w:spacing w:after="120" w:line="580" w:lineRule="exact"/>
        <w:ind w:firstLine="640"/>
        <w:textAlignment w:val="auto"/>
        <w:rPr>
          <w:rFonts w:ascii="方正仿宋_GBK" w:hAnsi="新宋体" w:eastAsia="方正仿宋_GBK"/>
          <w:b w:val="0"/>
          <w:bCs w:val="0"/>
          <w:spacing w:val="-2"/>
          <w:sz w:val="32"/>
          <w:szCs w:val="32"/>
        </w:rPr>
      </w:pPr>
      <w:r>
        <w:rPr>
          <w:rFonts w:hint="eastAsia" w:ascii="方正仿宋_GBK" w:hAnsi="新宋体" w:eastAsia="方正仿宋_GBK"/>
          <w:b w:val="0"/>
          <w:bCs w:val="0"/>
          <w:sz w:val="32"/>
          <w:szCs w:val="32"/>
        </w:rPr>
        <w:t>（二）</w:t>
      </w:r>
      <w:r>
        <w:rPr>
          <w:rFonts w:hint="eastAsia" w:ascii="方正仿宋_GBK" w:hAnsi="黑体" w:eastAsia="方正仿宋_GBK"/>
          <w:b w:val="0"/>
          <w:bCs w:val="0"/>
          <w:color w:val="000000" w:themeColor="text1"/>
          <w:sz w:val="32"/>
          <w:szCs w:val="32"/>
          <w14:textFill>
            <w14:solidFill>
              <w14:schemeClr w14:val="tx1"/>
            </w14:solidFill>
          </w14:textFill>
        </w:rPr>
        <w:t>各乡镇人民政府、街道办事处，</w:t>
      </w:r>
      <w:r>
        <w:rPr>
          <w:rFonts w:hint="eastAsia" w:ascii="方正仿宋_GBK" w:eastAsia="方正仿宋_GBK"/>
          <w:b w:val="0"/>
          <w:bCs w:val="0"/>
          <w:color w:val="000000" w:themeColor="text1"/>
          <w:sz w:val="32"/>
          <w:szCs w:val="32"/>
          <w:shd w:val="clear" w:color="auto" w:fill="FFFFFF"/>
          <w14:textFill>
            <w14:solidFill>
              <w14:schemeClr w14:val="tx1"/>
            </w14:solidFill>
          </w14:textFill>
        </w:rPr>
        <w:t>各主管部门应</w:t>
      </w:r>
      <w:r>
        <w:rPr>
          <w:rFonts w:hint="eastAsia" w:ascii="方正仿宋_GBK" w:hAnsi="新宋体" w:eastAsia="方正仿宋_GBK"/>
          <w:b w:val="0"/>
          <w:bCs w:val="0"/>
          <w:spacing w:val="-2"/>
          <w:sz w:val="32"/>
          <w:szCs w:val="32"/>
        </w:rPr>
        <w:t>于4月10日前完成</w:t>
      </w:r>
      <w:r>
        <w:rPr>
          <w:rFonts w:hint="eastAsia" w:ascii="方正仿宋_GBK" w:eastAsia="方正仿宋_GBK"/>
          <w:b w:val="0"/>
          <w:bCs w:val="0"/>
          <w:color w:val="000000" w:themeColor="text1"/>
          <w:sz w:val="32"/>
          <w:szCs w:val="32"/>
          <w:shd w:val="clear" w:color="auto" w:fill="FFFFFF"/>
          <w14:textFill>
            <w14:solidFill>
              <w14:schemeClr w14:val="tx1"/>
            </w14:solidFill>
          </w14:textFill>
        </w:rPr>
        <w:t>本辖区、本级及其所属行政事业单位</w:t>
      </w:r>
      <w:r>
        <w:rPr>
          <w:rFonts w:hint="eastAsia" w:ascii="方正仿宋_GBK" w:hAnsi="新宋体" w:eastAsia="方正仿宋_GBK"/>
          <w:b w:val="0"/>
          <w:bCs w:val="0"/>
          <w:spacing w:val="-2"/>
          <w:sz w:val="32"/>
          <w:szCs w:val="32"/>
        </w:rPr>
        <w:t>内部控制报告的审核汇总，并在填报系统中上传汇总内部控制报告的可编辑版本及加盖签章的封面扫描件。内部控制报告应当由单位主要负责人签章，并加盖公章。不需再另外报送纸质件。</w:t>
      </w:r>
    </w:p>
    <w:p>
      <w:pPr>
        <w:pStyle w:val="5"/>
        <w:keepNext w:val="0"/>
        <w:keepLines w:val="0"/>
        <w:pageBreakBefore w:val="0"/>
        <w:widowControl w:val="0"/>
        <w:kinsoku/>
        <w:wordWrap/>
        <w:overflowPunct/>
        <w:topLinePunct w:val="0"/>
        <w:autoSpaceDE/>
        <w:autoSpaceDN/>
        <w:bidi w:val="0"/>
        <w:adjustRightInd/>
        <w:snapToGrid/>
        <w:spacing w:after="120" w:line="580" w:lineRule="exact"/>
        <w:ind w:left="751"/>
        <w:textAlignment w:val="auto"/>
        <w:rPr>
          <w:rFonts w:ascii="方正黑体_GBK" w:hAnsi="黑体" w:eastAsia="方正黑体_GBK" w:cs="黑体"/>
          <w:sz w:val="32"/>
          <w:szCs w:val="32"/>
        </w:rPr>
      </w:pPr>
      <w:r>
        <w:rPr>
          <w:rFonts w:hint="eastAsia" w:ascii="方正黑体_GBK" w:hAnsi="黑体" w:eastAsia="方正黑体_GBK" w:cs="黑体"/>
          <w:spacing w:val="-6"/>
          <w:sz w:val="32"/>
          <w:szCs w:val="32"/>
        </w:rPr>
        <w:t>三、其他事项</w:t>
      </w:r>
    </w:p>
    <w:p>
      <w:pPr>
        <w:pStyle w:val="5"/>
        <w:keepNext w:val="0"/>
        <w:keepLines w:val="0"/>
        <w:pageBreakBefore w:val="0"/>
        <w:widowControl w:val="0"/>
        <w:kinsoku/>
        <w:wordWrap/>
        <w:overflowPunct/>
        <w:topLinePunct w:val="0"/>
        <w:autoSpaceDE/>
        <w:autoSpaceDN/>
        <w:bidi w:val="0"/>
        <w:adjustRightInd/>
        <w:snapToGrid/>
        <w:spacing w:after="120" w:line="580" w:lineRule="exact"/>
        <w:ind w:right="271" w:firstLine="633"/>
        <w:textAlignment w:val="auto"/>
        <w:rPr>
          <w:rFonts w:ascii="方正仿宋_GBK" w:eastAsia="方正仿宋_GBK"/>
          <w:sz w:val="32"/>
          <w:szCs w:val="32"/>
        </w:rPr>
      </w:pPr>
      <w:r>
        <w:rPr>
          <w:rFonts w:hint="eastAsia" w:ascii="方正楷体_GBK" w:eastAsia="方正楷体_GBK"/>
          <w:spacing w:val="-2"/>
          <w:sz w:val="32"/>
          <w:szCs w:val="32"/>
        </w:rPr>
        <w:t>（一）编报资料。</w:t>
      </w:r>
      <w:r>
        <w:rPr>
          <w:rFonts w:hint="eastAsia" w:ascii="方正仿宋_GBK" w:eastAsia="方正仿宋_GBK"/>
          <w:spacing w:val="-2"/>
          <w:sz w:val="32"/>
          <w:szCs w:val="32"/>
        </w:rPr>
        <w:t>各</w:t>
      </w:r>
      <w:r>
        <w:rPr>
          <w:rFonts w:hint="eastAsia" w:ascii="方正仿宋_GBK" w:hAnsi="新宋体" w:eastAsia="方正仿宋_GBK"/>
          <w:spacing w:val="-2"/>
          <w:sz w:val="32"/>
          <w:szCs w:val="32"/>
        </w:rPr>
        <w:t>行政事业单位</w:t>
      </w:r>
      <w:r>
        <w:rPr>
          <w:rFonts w:hint="eastAsia" w:ascii="方正仿宋_GBK" w:eastAsia="方正仿宋_GBK"/>
          <w:spacing w:val="-2"/>
          <w:sz w:val="32"/>
          <w:szCs w:val="32"/>
        </w:rPr>
        <w:t>可</w:t>
      </w:r>
      <w:r>
        <w:rPr>
          <w:rFonts w:hint="eastAsia" w:ascii="方正仿宋_GBK" w:eastAsia="方正仿宋_GBK"/>
          <w:spacing w:val="-10"/>
          <w:sz w:val="32"/>
          <w:szCs w:val="32"/>
        </w:rPr>
        <w:t>从财政部网站会计司频道（</w:t>
      </w:r>
      <w:r>
        <w:fldChar w:fldCharType="begin"/>
      </w:r>
      <w:r>
        <w:instrText xml:space="preserve"> HYPERLINK "http://kjs.mof.gov.cn/" \h </w:instrText>
      </w:r>
      <w:r>
        <w:fldChar w:fldCharType="separate"/>
      </w:r>
      <w:r>
        <w:rPr>
          <w:rFonts w:hint="eastAsia" w:ascii="方正仿宋_GBK" w:hAnsi="宋体" w:eastAsia="方正仿宋_GBK" w:cs="宋体"/>
          <w:spacing w:val="-10"/>
          <w:sz w:val="32"/>
          <w:szCs w:val="32"/>
        </w:rPr>
        <w:t>http://kjs.mof.gov.cn/</w:t>
      </w:r>
      <w:r>
        <w:rPr>
          <w:rFonts w:hint="eastAsia" w:ascii="方正仿宋_GBK" w:hAnsi="宋体" w:eastAsia="方正仿宋_GBK" w:cs="宋体"/>
          <w:spacing w:val="-10"/>
          <w:sz w:val="32"/>
          <w:szCs w:val="32"/>
        </w:rPr>
        <w:fldChar w:fldCharType="end"/>
      </w:r>
      <w:r>
        <w:rPr>
          <w:rFonts w:hint="eastAsia" w:ascii="方正仿宋_GBK" w:eastAsia="方正仿宋_GBK"/>
          <w:spacing w:val="-10"/>
          <w:sz w:val="32"/>
          <w:szCs w:val="32"/>
        </w:rPr>
        <w:t>）“在线</w:t>
      </w:r>
      <w:r>
        <w:rPr>
          <w:rFonts w:hint="eastAsia" w:ascii="方正仿宋_GBK" w:eastAsia="方正仿宋_GBK"/>
          <w:spacing w:val="-3"/>
          <w:sz w:val="32"/>
          <w:szCs w:val="32"/>
        </w:rPr>
        <w:t>服务”栏目中下载查阅内部控制报告系统填报用户操作手册、问</w:t>
      </w:r>
      <w:r>
        <w:rPr>
          <w:rFonts w:hint="eastAsia" w:ascii="方正仿宋_GBK" w:eastAsia="方正仿宋_GBK"/>
          <w:spacing w:val="-6"/>
          <w:sz w:val="32"/>
          <w:szCs w:val="32"/>
        </w:rPr>
        <w:t>题解答、讲解视频、单机版软件等编报资料。</w:t>
      </w:r>
    </w:p>
    <w:p>
      <w:pPr>
        <w:pStyle w:val="5"/>
        <w:keepNext w:val="0"/>
        <w:keepLines w:val="0"/>
        <w:pageBreakBefore w:val="0"/>
        <w:widowControl w:val="0"/>
        <w:kinsoku/>
        <w:wordWrap/>
        <w:overflowPunct/>
        <w:topLinePunct w:val="0"/>
        <w:autoSpaceDE/>
        <w:autoSpaceDN/>
        <w:bidi w:val="0"/>
        <w:adjustRightInd/>
        <w:snapToGrid/>
        <w:spacing w:after="120" w:line="580" w:lineRule="exact"/>
        <w:ind w:firstLine="633"/>
        <w:textAlignment w:val="auto"/>
        <w:rPr>
          <w:rFonts w:ascii="方正仿宋_GBK" w:eastAsia="方正仿宋_GBK"/>
          <w:sz w:val="32"/>
          <w:szCs w:val="32"/>
        </w:rPr>
      </w:pPr>
      <w:r>
        <w:rPr>
          <w:rFonts w:hint="eastAsia" w:ascii="方正楷体_GBK" w:eastAsia="方正楷体_GBK"/>
          <w:spacing w:val="-14"/>
          <w:sz w:val="32"/>
          <w:szCs w:val="32"/>
        </w:rPr>
        <w:t>（二）单机版编报。</w:t>
      </w:r>
      <w:r>
        <w:rPr>
          <w:rFonts w:hint="eastAsia" w:ascii="方正仿宋_GBK" w:eastAsia="方正仿宋_GBK"/>
          <w:spacing w:val="-14"/>
          <w:sz w:val="32"/>
          <w:szCs w:val="32"/>
        </w:rPr>
        <w:t>不宜采用网络方式填报的单位，请</w:t>
      </w:r>
      <w:r>
        <w:rPr>
          <w:rFonts w:hint="eastAsia" w:ascii="方正仿宋_GBK" w:eastAsia="方正仿宋_GBK"/>
          <w:spacing w:val="-6"/>
          <w:sz w:val="32"/>
          <w:szCs w:val="32"/>
        </w:rPr>
        <w:t>在财政部网站会计司频道（</w:t>
      </w:r>
      <w:r>
        <w:fldChar w:fldCharType="begin"/>
      </w:r>
      <w:r>
        <w:instrText xml:space="preserve"> HYPERLINK "http://kjs.mof.gov.cn/" \h </w:instrText>
      </w:r>
      <w:r>
        <w:fldChar w:fldCharType="separate"/>
      </w:r>
      <w:r>
        <w:rPr>
          <w:rFonts w:hint="eastAsia" w:ascii="方正仿宋_GBK" w:hAnsi="宋体" w:eastAsia="方正仿宋_GBK" w:cs="宋体"/>
          <w:spacing w:val="-6"/>
          <w:sz w:val="32"/>
          <w:szCs w:val="32"/>
        </w:rPr>
        <w:t>http://kjs.mof.gov.cn/</w:t>
      </w:r>
      <w:r>
        <w:rPr>
          <w:rFonts w:hint="eastAsia" w:ascii="方正仿宋_GBK" w:hAnsi="宋体" w:eastAsia="方正仿宋_GBK" w:cs="宋体"/>
          <w:spacing w:val="-6"/>
          <w:sz w:val="32"/>
          <w:szCs w:val="32"/>
        </w:rPr>
        <w:fldChar w:fldCharType="end"/>
      </w:r>
      <w:r>
        <w:rPr>
          <w:rFonts w:hint="eastAsia" w:ascii="方正仿宋_GBK" w:eastAsia="方正仿宋_GBK"/>
          <w:spacing w:val="-6"/>
          <w:sz w:val="32"/>
          <w:szCs w:val="32"/>
        </w:rPr>
        <w:t>）</w:t>
      </w:r>
      <w:r>
        <w:rPr>
          <w:rFonts w:hint="eastAsia" w:ascii="方正仿宋_GBK" w:eastAsia="方正仿宋_GBK"/>
          <w:sz w:val="32"/>
          <w:szCs w:val="32"/>
        </w:rPr>
        <w:t>“在线服务”栏目下载单机版软件填报。采用单机版报送的</w:t>
      </w:r>
      <w:r>
        <w:rPr>
          <w:rFonts w:hint="eastAsia" w:ascii="方正仿宋_GBK" w:eastAsia="方正仿宋_GBK"/>
          <w:spacing w:val="-2"/>
          <w:sz w:val="32"/>
          <w:szCs w:val="32"/>
        </w:rPr>
        <w:t>部门应当将汇总内部控制报告的可编辑版本、加盖签章的封</w:t>
      </w:r>
      <w:r>
        <w:rPr>
          <w:rFonts w:hint="eastAsia" w:ascii="方正仿宋_GBK" w:eastAsia="方正仿宋_GBK"/>
          <w:spacing w:val="-8"/>
          <w:sz w:val="32"/>
          <w:szCs w:val="32"/>
        </w:rPr>
        <w:t>面扫描件，以及从单机版填报软件导出的</w:t>
      </w:r>
      <w:r>
        <w:rPr>
          <w:rFonts w:hint="eastAsia" w:ascii="方正仿宋_GBK" w:hAnsi="宋体" w:eastAsia="方正仿宋_GBK" w:cs="宋体"/>
          <w:spacing w:val="-8"/>
          <w:sz w:val="32"/>
          <w:szCs w:val="32"/>
        </w:rPr>
        <w:t>JIO</w:t>
      </w:r>
      <w:r>
        <w:rPr>
          <w:rFonts w:hint="eastAsia" w:ascii="方正仿宋_GBK" w:eastAsia="方正仿宋_GBK"/>
          <w:spacing w:val="-8"/>
          <w:sz w:val="32"/>
          <w:szCs w:val="32"/>
        </w:rPr>
        <w:t>格式数据文件报送区财</w:t>
      </w:r>
      <w:r>
        <w:rPr>
          <w:rFonts w:hint="eastAsia" w:ascii="方正仿宋_GBK" w:eastAsia="方正仿宋_GBK"/>
          <w:spacing w:val="-25"/>
          <w:sz w:val="32"/>
          <w:szCs w:val="32"/>
        </w:rPr>
        <w:t>政局。</w:t>
      </w:r>
    </w:p>
    <w:p>
      <w:pPr>
        <w:pStyle w:val="5"/>
        <w:keepNext w:val="0"/>
        <w:keepLines w:val="0"/>
        <w:pageBreakBefore w:val="0"/>
        <w:widowControl w:val="0"/>
        <w:kinsoku/>
        <w:wordWrap/>
        <w:overflowPunct/>
        <w:topLinePunct w:val="0"/>
        <w:autoSpaceDE/>
        <w:autoSpaceDN/>
        <w:bidi w:val="0"/>
        <w:adjustRightInd/>
        <w:snapToGrid/>
        <w:spacing w:after="120" w:line="580" w:lineRule="exact"/>
        <w:ind w:right="267" w:firstLine="633"/>
        <w:textAlignment w:val="auto"/>
        <w:rPr>
          <w:rFonts w:ascii="方正仿宋_GBK" w:eastAsia="方正仿宋_GBK"/>
          <w:spacing w:val="-2"/>
          <w:sz w:val="32"/>
          <w:szCs w:val="32"/>
        </w:rPr>
      </w:pPr>
      <w:r>
        <w:rPr>
          <w:rFonts w:hint="eastAsia" w:ascii="方正楷体_GBK" w:eastAsia="方正楷体_GBK"/>
          <w:spacing w:val="-2"/>
          <w:sz w:val="32"/>
          <w:szCs w:val="32"/>
        </w:rPr>
        <w:t>（三）总结评价。</w:t>
      </w:r>
      <w:r>
        <w:rPr>
          <w:rFonts w:hint="eastAsia" w:ascii="方正仿宋_GBK" w:eastAsia="方正仿宋_GBK"/>
          <w:spacing w:val="-2"/>
          <w:sz w:val="32"/>
          <w:szCs w:val="32"/>
        </w:rPr>
        <w:t>我局将</w:t>
      </w:r>
      <w:r>
        <w:rPr>
          <w:rFonts w:hint="eastAsia" w:ascii="方正仿宋_GBK" w:eastAsia="方正仿宋_GBK"/>
          <w:sz w:val="32"/>
          <w:szCs w:val="32"/>
        </w:rPr>
        <w:t>对</w:t>
      </w:r>
      <w:r>
        <w:rPr>
          <w:rFonts w:hint="eastAsia" w:ascii="方正仿宋_GBK" w:hAnsi="黑体" w:eastAsia="方正仿宋_GBK"/>
          <w:color w:val="000000" w:themeColor="text1"/>
          <w:sz w:val="32"/>
          <w:szCs w:val="32"/>
          <w14:textFill>
            <w14:solidFill>
              <w14:schemeClr w14:val="tx1"/>
            </w14:solidFill>
          </w14:textFill>
        </w:rPr>
        <w:t>各乡镇、街道办事处，</w:t>
      </w:r>
      <w:r>
        <w:rPr>
          <w:rFonts w:hint="eastAsia" w:ascii="方正仿宋_GBK" w:eastAsia="方正仿宋_GBK"/>
          <w:color w:val="000000" w:themeColor="text1"/>
          <w:sz w:val="32"/>
          <w:szCs w:val="32"/>
          <w:shd w:val="clear" w:color="auto" w:fill="FFFFFF"/>
          <w14:textFill>
            <w14:solidFill>
              <w14:schemeClr w14:val="tx1"/>
            </w14:solidFill>
          </w14:textFill>
        </w:rPr>
        <w:t>各主管部门</w:t>
      </w:r>
      <w:r>
        <w:rPr>
          <w:rFonts w:hint="eastAsia" w:ascii="方正仿宋_GBK" w:eastAsia="方正仿宋_GBK"/>
          <w:sz w:val="32"/>
          <w:szCs w:val="32"/>
        </w:rPr>
        <w:t>开展内部控制报告综合评价。</w:t>
      </w:r>
    </w:p>
    <w:p>
      <w:pPr>
        <w:keepNext w:val="0"/>
        <w:keepLines w:val="0"/>
        <w:pageBreakBefore w:val="0"/>
        <w:widowControl w:val="0"/>
        <w:kinsoku/>
        <w:wordWrap/>
        <w:overflowPunct/>
        <w:topLinePunct w:val="0"/>
        <w:autoSpaceDE/>
        <w:autoSpaceDN/>
        <w:bidi w:val="0"/>
        <w:adjustRightInd/>
        <w:snapToGrid/>
        <w:spacing w:after="120" w:line="580" w:lineRule="exact"/>
        <w:ind w:firstLine="640"/>
        <w:textAlignment w:val="auto"/>
        <w:rPr>
          <w:rFonts w:ascii="方正仿宋_GBK" w:hAnsi="新宋体" w:eastAsia="方正仿宋_GBK"/>
          <w:spacing w:val="-6"/>
          <w:sz w:val="32"/>
          <w:szCs w:val="32"/>
        </w:rPr>
      </w:pPr>
      <w:r>
        <w:rPr>
          <w:rFonts w:hint="eastAsia" w:ascii="方正仿宋_GBK" w:hAnsi="新宋体" w:eastAsia="方正仿宋_GBK"/>
          <w:spacing w:val="-6"/>
          <w:sz w:val="32"/>
          <w:szCs w:val="32"/>
        </w:rPr>
        <w:t>联系人：刘芳、张洪镜</w:t>
      </w:r>
      <w:r>
        <w:rPr>
          <w:rFonts w:hint="eastAsia" w:ascii="方正仿宋_GBK" w:hAnsi="新宋体"/>
          <w:spacing w:val="-6"/>
          <w:sz w:val="32"/>
          <w:szCs w:val="32"/>
          <w:lang w:val="en-US" w:eastAsia="zh-CN"/>
        </w:rPr>
        <w:t xml:space="preserve"> </w:t>
      </w:r>
      <w:r>
        <w:rPr>
          <w:rFonts w:hint="eastAsia" w:ascii="方正仿宋_GBK" w:hAnsi="新宋体" w:eastAsia="方正仿宋_GBK"/>
          <w:spacing w:val="-6"/>
          <w:sz w:val="32"/>
          <w:szCs w:val="32"/>
        </w:rPr>
        <w:t>72221020</w:t>
      </w:r>
    </w:p>
    <w:p>
      <w:pPr>
        <w:keepNext w:val="0"/>
        <w:keepLines w:val="0"/>
        <w:pageBreakBefore w:val="0"/>
        <w:widowControl w:val="0"/>
        <w:kinsoku/>
        <w:wordWrap/>
        <w:overflowPunct/>
        <w:topLinePunct w:val="0"/>
        <w:autoSpaceDE/>
        <w:autoSpaceDN/>
        <w:bidi w:val="0"/>
        <w:adjustRightInd/>
        <w:snapToGrid/>
        <w:spacing w:after="120" w:line="580" w:lineRule="exact"/>
        <w:ind w:firstLine="640"/>
        <w:textAlignment w:val="auto"/>
        <w:rPr>
          <w:rFonts w:hint="eastAsia" w:ascii="方正仿宋_GBK" w:hAnsi="新宋体" w:eastAsia="方正仿宋_GBK"/>
          <w:spacing w:val="-6"/>
          <w:sz w:val="32"/>
          <w:szCs w:val="32"/>
        </w:rPr>
      </w:pPr>
      <w:r>
        <w:rPr>
          <w:rFonts w:hint="eastAsia" w:ascii="方正仿宋_GBK" w:hAnsi="新宋体" w:eastAsia="方正仿宋_GBK"/>
          <w:spacing w:val="-6"/>
          <w:sz w:val="32"/>
          <w:szCs w:val="32"/>
        </w:rPr>
        <w:t>填报系统咨询王浪 18623098535</w:t>
      </w:r>
    </w:p>
    <w:p>
      <w:pPr>
        <w:keepNext w:val="0"/>
        <w:keepLines w:val="0"/>
        <w:pageBreakBefore w:val="0"/>
        <w:widowControl w:val="0"/>
        <w:kinsoku/>
        <w:wordWrap/>
        <w:overflowPunct/>
        <w:topLinePunct w:val="0"/>
        <w:autoSpaceDE/>
        <w:autoSpaceDN/>
        <w:bidi w:val="0"/>
        <w:adjustRightInd/>
        <w:snapToGrid/>
        <w:spacing w:after="120" w:line="580" w:lineRule="exact"/>
        <w:ind w:firstLine="640"/>
        <w:textAlignment w:val="auto"/>
        <w:rPr>
          <w:rFonts w:hint="eastAsia" w:ascii="方正仿宋_GBK" w:hAnsi="新宋体" w:eastAsia="方正仿宋_GBK"/>
          <w:spacing w:val="-6"/>
          <w:sz w:val="32"/>
          <w:szCs w:val="32"/>
        </w:rPr>
      </w:pPr>
    </w:p>
    <w:p>
      <w:pPr>
        <w:keepNext w:val="0"/>
        <w:keepLines w:val="0"/>
        <w:pageBreakBefore w:val="0"/>
        <w:widowControl w:val="0"/>
        <w:kinsoku/>
        <w:wordWrap/>
        <w:overflowPunct/>
        <w:topLinePunct w:val="0"/>
        <w:autoSpaceDE/>
        <w:autoSpaceDN/>
        <w:bidi w:val="0"/>
        <w:adjustRightInd/>
        <w:snapToGrid/>
        <w:spacing w:after="120" w:line="580" w:lineRule="exact"/>
        <w:ind w:firstLine="640"/>
        <w:textAlignment w:val="auto"/>
        <w:rPr>
          <w:rFonts w:ascii="方正仿宋_GBK" w:eastAsia="方正仿宋_GBK"/>
          <w:sz w:val="32"/>
          <w:szCs w:val="32"/>
        </w:rPr>
      </w:pPr>
      <w:r>
        <w:rPr>
          <w:rFonts w:hint="eastAsia" w:ascii="方正仿宋_GBK" w:eastAsia="方正仿宋_GBK"/>
          <w:spacing w:val="-6"/>
          <w:sz w:val="32"/>
          <w:szCs w:val="32"/>
        </w:rPr>
        <w:t>附件：</w:t>
      </w:r>
      <w:r>
        <w:rPr>
          <w:rFonts w:hint="eastAsia" w:ascii="方正仿宋_GBK" w:hAnsi="宋体" w:eastAsia="方正仿宋_GBK" w:cs="宋体"/>
          <w:spacing w:val="-6"/>
          <w:sz w:val="32"/>
          <w:szCs w:val="32"/>
        </w:rPr>
        <w:t>1. 2023</w:t>
      </w:r>
      <w:r>
        <w:rPr>
          <w:rFonts w:hint="eastAsia" w:ascii="方正仿宋_GBK" w:eastAsia="方正仿宋_GBK"/>
          <w:spacing w:val="-6"/>
          <w:sz w:val="32"/>
          <w:szCs w:val="32"/>
        </w:rPr>
        <w:t>年度行政事业单位内部控制报告</w:t>
      </w:r>
    </w:p>
    <w:p>
      <w:pPr>
        <w:pStyle w:val="5"/>
        <w:keepNext w:val="0"/>
        <w:keepLines w:val="0"/>
        <w:pageBreakBefore w:val="0"/>
        <w:widowControl w:val="0"/>
        <w:kinsoku/>
        <w:wordWrap/>
        <w:overflowPunct/>
        <w:topLinePunct w:val="0"/>
        <w:autoSpaceDE/>
        <w:autoSpaceDN/>
        <w:bidi w:val="0"/>
        <w:adjustRightInd/>
        <w:snapToGrid/>
        <w:spacing w:after="120" w:line="580" w:lineRule="exact"/>
        <w:ind w:firstLine="1540" w:firstLineChars="500"/>
        <w:textAlignment w:val="auto"/>
        <w:rPr>
          <w:rFonts w:ascii="方正仿宋_GBK" w:eastAsia="方正仿宋_GBK"/>
          <w:sz w:val="32"/>
          <w:szCs w:val="32"/>
        </w:rPr>
      </w:pPr>
      <w:r>
        <w:rPr>
          <w:rFonts w:hint="eastAsia" w:ascii="方正仿宋_GBK" w:hAnsi="宋体" w:eastAsia="方正仿宋_GBK" w:cs="宋体"/>
          <w:spacing w:val="-6"/>
          <w:sz w:val="32"/>
          <w:szCs w:val="32"/>
        </w:rPr>
        <w:t>2. 2023</w:t>
      </w:r>
      <w:r>
        <w:rPr>
          <w:rFonts w:hint="eastAsia" w:ascii="方正仿宋_GBK" w:eastAsia="方正仿宋_GBK"/>
          <w:spacing w:val="-6"/>
          <w:sz w:val="32"/>
          <w:szCs w:val="32"/>
        </w:rPr>
        <w:t>年度地区（部门）汇总内部控制报告</w:t>
      </w:r>
    </w:p>
    <w:p>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78" w:firstLineChars="212"/>
        <w:jc w:val="center"/>
        <w:textAlignment w:val="auto"/>
        <w:rPr>
          <w:rFonts w:ascii="方正仿宋_GBK" w:eastAsia="方正仿宋_GBK"/>
          <w:sz w:val="32"/>
          <w:szCs w:val="32"/>
        </w:rPr>
      </w:pPr>
      <w:r>
        <w:rPr>
          <w:rFonts w:hint="eastAsia" w:ascii="方正仿宋_GBK"/>
          <w:sz w:val="32"/>
          <w:szCs w:val="32"/>
          <w:lang w:val="en-US" w:eastAsia="zh-CN"/>
        </w:rPr>
        <w:t xml:space="preserve">           </w:t>
      </w:r>
      <w:bookmarkStart w:id="1" w:name="_GoBack"/>
      <w:r>
        <w:rPr>
          <w:rFonts w:hint="eastAsia" w:ascii="方正仿宋_GBK"/>
          <w:sz w:val="32"/>
          <w:szCs w:val="32"/>
          <w:lang w:val="en-US" w:eastAsia="zh-CN"/>
        </w:rPr>
        <w:t xml:space="preserve">     </w:t>
      </w:r>
      <w:r>
        <w:rPr>
          <w:rFonts w:hint="eastAsia" w:ascii="方正仿宋_GBK" w:eastAsia="方正仿宋_GBK"/>
          <w:sz w:val="32"/>
          <w:szCs w:val="32"/>
        </w:rPr>
        <w:t>重庆市涪陵区财政局</w:t>
      </w:r>
    </w:p>
    <w:p>
      <w:pPr>
        <w:keepNext w:val="0"/>
        <w:keepLines w:val="0"/>
        <w:pageBreakBefore w:val="0"/>
        <w:widowControl w:val="0"/>
        <w:kinsoku/>
        <w:wordWrap/>
        <w:overflowPunct/>
        <w:topLinePunct w:val="0"/>
        <w:autoSpaceDE/>
        <w:autoSpaceDN/>
        <w:bidi w:val="0"/>
        <w:adjustRightInd/>
        <w:snapToGrid/>
        <w:spacing w:line="580" w:lineRule="exact"/>
        <w:ind w:right="320" w:firstLine="678" w:firstLineChars="212"/>
        <w:jc w:val="center"/>
        <w:textAlignment w:val="auto"/>
        <w:rPr>
          <w:rFonts w:ascii="方正仿宋_GBK" w:eastAsia="方正仿宋_GBK"/>
          <w:sz w:val="32"/>
          <w:szCs w:val="32"/>
        </w:rPr>
      </w:pPr>
      <w:r>
        <w:rPr>
          <w:rFonts w:hint="eastAsia" w:ascii="方正仿宋_GBK"/>
          <w:sz w:val="32"/>
          <w:szCs w:val="32"/>
          <w:lang w:val="en-US" w:eastAsia="zh-CN"/>
        </w:rPr>
        <w:t xml:space="preserve">                   </w:t>
      </w:r>
      <w:r>
        <w:rPr>
          <w:rFonts w:hint="eastAsia" w:ascii="方正仿宋_GBK" w:eastAsia="方正仿宋_GBK"/>
          <w:sz w:val="32"/>
          <w:szCs w:val="32"/>
        </w:rPr>
        <w:t>2024年</w:t>
      </w:r>
      <w:r>
        <w:rPr>
          <w:rFonts w:hint="eastAsia" w:ascii="方正仿宋_GBK"/>
          <w:sz w:val="32"/>
          <w:szCs w:val="32"/>
          <w:lang w:val="en-US" w:eastAsia="zh-CN"/>
        </w:rPr>
        <w:t>3</w:t>
      </w:r>
      <w:r>
        <w:rPr>
          <w:rFonts w:hint="eastAsia" w:ascii="方正仿宋_GBK" w:eastAsia="方正仿宋_GBK"/>
          <w:sz w:val="32"/>
          <w:szCs w:val="32"/>
        </w:rPr>
        <w:t>月</w:t>
      </w:r>
      <w:r>
        <w:rPr>
          <w:rFonts w:hint="eastAsia" w:ascii="方正仿宋_GBK"/>
          <w:sz w:val="32"/>
          <w:szCs w:val="32"/>
          <w:lang w:val="en-US" w:eastAsia="zh-CN"/>
        </w:rPr>
        <w:t>4</w:t>
      </w:r>
      <w:r>
        <w:rPr>
          <w:rFonts w:hint="eastAsia" w:ascii="方正仿宋_GBK"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78" w:firstLineChars="212"/>
        <w:jc w:val="left"/>
        <w:textAlignment w:val="auto"/>
        <w:rPr>
          <w:rFonts w:ascii="方正仿宋_GBK" w:eastAsia="方正仿宋_GBK"/>
          <w:sz w:val="32"/>
          <w:szCs w:val="32"/>
        </w:rPr>
      </w:pPr>
      <w:r>
        <w:rPr>
          <w:rFonts w:hint="eastAsia" w:ascii="方正仿宋_GBK" w:eastAsia="方正仿宋_GBK"/>
          <w:sz w:val="32"/>
          <w:szCs w:val="32"/>
        </w:rPr>
        <w:t>（此件公开</w:t>
      </w:r>
      <w:r>
        <w:rPr>
          <w:rFonts w:hint="eastAsia" w:ascii="方正仿宋_GBK"/>
          <w:sz w:val="32"/>
          <w:szCs w:val="32"/>
          <w:lang w:eastAsia="zh-CN"/>
        </w:rPr>
        <w:t>发布</w:t>
      </w:r>
      <w:r>
        <w:rPr>
          <w:rFonts w:hint="eastAsia" w:ascii="方正仿宋_GBK" w:eastAsia="方正仿宋_GBK"/>
          <w:sz w:val="32"/>
          <w:szCs w:val="32"/>
        </w:rPr>
        <w:t>）</w:t>
      </w:r>
    </w:p>
    <w:bookmarkEnd w:id="1"/>
    <w:p>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cs="方正仿宋_GBK"/>
          <w:sz w:val="28"/>
          <w:szCs w:val="28"/>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80" w:lineRule="exact"/>
        <w:ind w:left="0" w:right="0"/>
        <w:jc w:val="both"/>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kern w:val="2"/>
          <w:sz w:val="28"/>
          <w:szCs w:val="28"/>
          <w:u w:val="none"/>
          <w:lang w:val="en-US" w:eastAsia="zh-CN" w:bidi="ar"/>
        </w:rPr>
        <w:t xml:space="preserve">  </w:t>
      </w:r>
      <w:r>
        <w:rPr>
          <w:rFonts w:hint="eastAsia" w:ascii="方正仿宋_GBK" w:hAnsi="方正仿宋_GBK" w:eastAsia="方正仿宋_GBK" w:cs="方正仿宋_GBK"/>
          <w:sz w:val="28"/>
          <w:szCs w:val="28"/>
          <w:u w:val="none"/>
        </w:rPr>
        <w:t>抄送：区委各部委，区人大常委会办公室，区政协办公室，区法院，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80" w:lineRule="exact"/>
        <w:ind w:left="0" w:right="0"/>
        <w:jc w:val="both"/>
        <w:textAlignment w:val="auto"/>
        <w:rPr>
          <w:rFonts w:hint="eastAsia" w:ascii="方正仿宋_GBK" w:hAnsi="方正仿宋_GBK" w:eastAsia="方正仿宋_GBK" w:cs="方正仿宋_GBK"/>
          <w:sz w:val="28"/>
          <w:szCs w:val="28"/>
          <w:u w:val="single"/>
          <w:lang w:val="en-US"/>
        </w:rPr>
      </w:pP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检查院，区人武部，各民主党派，工商联，各人民团体。</w:t>
      </w:r>
      <w:r>
        <w:rPr>
          <w:rFonts w:hint="eastAsia" w:ascii="方正仿宋_GBK" w:hAnsi="方正仿宋_GBK" w:eastAsia="方正仿宋_GBK" w:cs="方正仿宋_GBK"/>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80" w:lineRule="exact"/>
        <w:ind w:left="0" w:right="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2"/>
          <w:sz w:val="28"/>
          <w:szCs w:val="28"/>
          <w:u w:val="single"/>
          <w:lang w:val="en-US" w:eastAsia="zh-CN" w:bidi="ar"/>
        </w:rPr>
        <w:t xml:space="preserve">  重庆市涪陵区财政局办公室               2024</w:t>
      </w:r>
      <w:r>
        <w:rPr>
          <w:rFonts w:hint="eastAsia" w:ascii="方正仿宋_GBK" w:hAnsi="方正仿宋_GBK" w:eastAsia="方正仿宋_GBK" w:cs="方正仿宋_GBK"/>
          <w:kern w:val="2"/>
          <w:sz w:val="28"/>
          <w:szCs w:val="28"/>
          <w:u w:val="single"/>
          <w:lang w:val="en-US" w:eastAsia="zh-CN" w:bidi="ar"/>
        </w:rPr>
        <w:t>年3</w:t>
      </w:r>
      <w:r>
        <w:rPr>
          <w:rFonts w:hint="eastAsia" w:ascii="方正仿宋_GBK" w:hAnsi="方正仿宋_GBK" w:eastAsia="方正仿宋_GBK" w:cs="方正仿宋_GBK"/>
          <w:kern w:val="2"/>
          <w:sz w:val="28"/>
          <w:szCs w:val="28"/>
          <w:u w:val="single"/>
          <w:lang w:val="en-US" w:eastAsia="zh-CN" w:bidi="ar"/>
        </w:rPr>
        <w:t>月4</w:t>
      </w:r>
      <w:r>
        <w:rPr>
          <w:rFonts w:hint="eastAsia" w:ascii="方正仿宋_GBK" w:hAnsi="方正仿宋_GBK" w:eastAsia="方正仿宋_GBK" w:cs="方正仿宋_GBK"/>
          <w:kern w:val="2"/>
          <w:sz w:val="28"/>
          <w:szCs w:val="28"/>
          <w:u w:val="single"/>
          <w:lang w:val="en-US" w:eastAsia="zh-CN" w:bidi="ar"/>
        </w:rPr>
        <w:t xml:space="preserve">日印发   </w:t>
      </w:r>
    </w:p>
    <w:sectPr>
      <w:headerReference r:id="rId3" w:type="default"/>
      <w:footerReference r:id="rId4" w:type="default"/>
      <w:footerReference r:id="rId5" w:type="even"/>
      <w:pgSz w:w="11906" w:h="16838"/>
      <w:pgMar w:top="2098" w:right="1418" w:bottom="1701" w:left="1758" w:header="851" w:footer="992" w:gutter="0"/>
      <w:pgNumType w:fmt="numberInDash"/>
      <w:cols w:space="425" w:num="1"/>
      <w:rtlGutter w:val="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方正书宋_GBK">
    <w:panose1 w:val="03000509000000000000"/>
    <w:charset w:val="86"/>
    <w:family w:val="script"/>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宋体" w:hAnsi="宋体" w:eastAsia="宋体"/>
        <w:sz w:val="28"/>
        <w:szCs w:val="28"/>
      </w:rPr>
    </w:pP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- 13 -</w:t>
    </w:r>
    <w:r>
      <w:rPr>
        <w:rStyle w:val="11"/>
        <w:rFonts w:ascii="宋体" w:hAnsi="宋体" w:eastAsia="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宋体" w:hAnsi="宋体" w:eastAsia="宋体"/>
        <w:sz w:val="28"/>
        <w:szCs w:val="28"/>
      </w:rPr>
    </w:pP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- 14 -</w:t>
    </w:r>
    <w:r>
      <w:rPr>
        <w:rStyle w:val="11"/>
        <w:rFonts w:ascii="宋体" w:hAnsi="宋体" w:eastAsia="宋体"/>
        <w:sz w:val="28"/>
        <w:szCs w:val="28"/>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FBD"/>
    <w:rsid w:val="000032D0"/>
    <w:rsid w:val="000125C7"/>
    <w:rsid w:val="00015035"/>
    <w:rsid w:val="00015A3B"/>
    <w:rsid w:val="00017A08"/>
    <w:rsid w:val="00022B9E"/>
    <w:rsid w:val="000255DC"/>
    <w:rsid w:val="00037195"/>
    <w:rsid w:val="000547A5"/>
    <w:rsid w:val="00067FBD"/>
    <w:rsid w:val="00081523"/>
    <w:rsid w:val="00095BA4"/>
    <w:rsid w:val="000C5899"/>
    <w:rsid w:val="000D6F86"/>
    <w:rsid w:val="000F1DD5"/>
    <w:rsid w:val="00113BAB"/>
    <w:rsid w:val="00121DCE"/>
    <w:rsid w:val="00122AD1"/>
    <w:rsid w:val="00151D97"/>
    <w:rsid w:val="0015338C"/>
    <w:rsid w:val="0015604D"/>
    <w:rsid w:val="00163C19"/>
    <w:rsid w:val="00171CA8"/>
    <w:rsid w:val="001947AD"/>
    <w:rsid w:val="0019641B"/>
    <w:rsid w:val="001E1E53"/>
    <w:rsid w:val="00210860"/>
    <w:rsid w:val="0022496F"/>
    <w:rsid w:val="00247699"/>
    <w:rsid w:val="00253712"/>
    <w:rsid w:val="002603C7"/>
    <w:rsid w:val="002646B9"/>
    <w:rsid w:val="00274CE1"/>
    <w:rsid w:val="00292ABF"/>
    <w:rsid w:val="002937E5"/>
    <w:rsid w:val="002B5C85"/>
    <w:rsid w:val="002C18E4"/>
    <w:rsid w:val="002C3FBD"/>
    <w:rsid w:val="002C569A"/>
    <w:rsid w:val="002E62F6"/>
    <w:rsid w:val="002F2A1D"/>
    <w:rsid w:val="002F454B"/>
    <w:rsid w:val="00302739"/>
    <w:rsid w:val="00306424"/>
    <w:rsid w:val="003072C7"/>
    <w:rsid w:val="00345397"/>
    <w:rsid w:val="00352FD9"/>
    <w:rsid w:val="00363CD3"/>
    <w:rsid w:val="003657EF"/>
    <w:rsid w:val="003A7B77"/>
    <w:rsid w:val="003A7EF4"/>
    <w:rsid w:val="003B59BA"/>
    <w:rsid w:val="003B7EB2"/>
    <w:rsid w:val="003D265B"/>
    <w:rsid w:val="0040623D"/>
    <w:rsid w:val="004155B5"/>
    <w:rsid w:val="00432557"/>
    <w:rsid w:val="00467B49"/>
    <w:rsid w:val="00470911"/>
    <w:rsid w:val="00485435"/>
    <w:rsid w:val="00490C54"/>
    <w:rsid w:val="004A1C52"/>
    <w:rsid w:val="004B689C"/>
    <w:rsid w:val="00512B9B"/>
    <w:rsid w:val="00535777"/>
    <w:rsid w:val="00537F89"/>
    <w:rsid w:val="0054387E"/>
    <w:rsid w:val="005519EF"/>
    <w:rsid w:val="0058743B"/>
    <w:rsid w:val="00587E37"/>
    <w:rsid w:val="00592ADF"/>
    <w:rsid w:val="005A0E19"/>
    <w:rsid w:val="00601179"/>
    <w:rsid w:val="00602D39"/>
    <w:rsid w:val="00611448"/>
    <w:rsid w:val="0062369D"/>
    <w:rsid w:val="006251D3"/>
    <w:rsid w:val="00641986"/>
    <w:rsid w:val="00673763"/>
    <w:rsid w:val="006962DD"/>
    <w:rsid w:val="0069788F"/>
    <w:rsid w:val="006A19F8"/>
    <w:rsid w:val="006C6E98"/>
    <w:rsid w:val="006F28A1"/>
    <w:rsid w:val="007102EA"/>
    <w:rsid w:val="007113C2"/>
    <w:rsid w:val="0071263A"/>
    <w:rsid w:val="00721707"/>
    <w:rsid w:val="00735A46"/>
    <w:rsid w:val="00740442"/>
    <w:rsid w:val="00744DD0"/>
    <w:rsid w:val="00763DA9"/>
    <w:rsid w:val="00785631"/>
    <w:rsid w:val="007A72AD"/>
    <w:rsid w:val="007B0316"/>
    <w:rsid w:val="007D5B36"/>
    <w:rsid w:val="007E2BD2"/>
    <w:rsid w:val="007E3A03"/>
    <w:rsid w:val="007E75D3"/>
    <w:rsid w:val="007F0587"/>
    <w:rsid w:val="008224AC"/>
    <w:rsid w:val="00855E10"/>
    <w:rsid w:val="008612FB"/>
    <w:rsid w:val="008622B1"/>
    <w:rsid w:val="00863B1F"/>
    <w:rsid w:val="00866145"/>
    <w:rsid w:val="008670C6"/>
    <w:rsid w:val="00867E47"/>
    <w:rsid w:val="00874753"/>
    <w:rsid w:val="00876998"/>
    <w:rsid w:val="008820BC"/>
    <w:rsid w:val="00886961"/>
    <w:rsid w:val="008937E5"/>
    <w:rsid w:val="00896B2A"/>
    <w:rsid w:val="008C05E5"/>
    <w:rsid w:val="008D73C8"/>
    <w:rsid w:val="008E22D7"/>
    <w:rsid w:val="008E5048"/>
    <w:rsid w:val="009116AB"/>
    <w:rsid w:val="00961AEA"/>
    <w:rsid w:val="00966CD0"/>
    <w:rsid w:val="00977D8C"/>
    <w:rsid w:val="009834B4"/>
    <w:rsid w:val="009A7F43"/>
    <w:rsid w:val="009C4F39"/>
    <w:rsid w:val="009D4077"/>
    <w:rsid w:val="00A13A10"/>
    <w:rsid w:val="00A1607C"/>
    <w:rsid w:val="00A202F9"/>
    <w:rsid w:val="00A235F1"/>
    <w:rsid w:val="00A82CBA"/>
    <w:rsid w:val="00AB2DF9"/>
    <w:rsid w:val="00AC5B2B"/>
    <w:rsid w:val="00AD0CEB"/>
    <w:rsid w:val="00AD44D9"/>
    <w:rsid w:val="00AE43A6"/>
    <w:rsid w:val="00AF3C76"/>
    <w:rsid w:val="00B11CC6"/>
    <w:rsid w:val="00B11CF5"/>
    <w:rsid w:val="00B32025"/>
    <w:rsid w:val="00B81D18"/>
    <w:rsid w:val="00B97039"/>
    <w:rsid w:val="00BB3052"/>
    <w:rsid w:val="00BE0D69"/>
    <w:rsid w:val="00BE6018"/>
    <w:rsid w:val="00BF183B"/>
    <w:rsid w:val="00C07621"/>
    <w:rsid w:val="00C147C6"/>
    <w:rsid w:val="00C375AF"/>
    <w:rsid w:val="00C4749E"/>
    <w:rsid w:val="00C61D77"/>
    <w:rsid w:val="00C73ADF"/>
    <w:rsid w:val="00C76BE1"/>
    <w:rsid w:val="00C87FD4"/>
    <w:rsid w:val="00CB006F"/>
    <w:rsid w:val="00CB0E7C"/>
    <w:rsid w:val="00CB665B"/>
    <w:rsid w:val="00CE10C7"/>
    <w:rsid w:val="00CF7B6F"/>
    <w:rsid w:val="00D25A29"/>
    <w:rsid w:val="00D4116D"/>
    <w:rsid w:val="00D4622F"/>
    <w:rsid w:val="00D7545A"/>
    <w:rsid w:val="00DC7A6B"/>
    <w:rsid w:val="00DD2794"/>
    <w:rsid w:val="00DE525B"/>
    <w:rsid w:val="00DE683A"/>
    <w:rsid w:val="00DF0983"/>
    <w:rsid w:val="00E347BC"/>
    <w:rsid w:val="00E43240"/>
    <w:rsid w:val="00E500D4"/>
    <w:rsid w:val="00E676D9"/>
    <w:rsid w:val="00E74631"/>
    <w:rsid w:val="00E95045"/>
    <w:rsid w:val="00EC1AFF"/>
    <w:rsid w:val="00EC30E9"/>
    <w:rsid w:val="00EE038A"/>
    <w:rsid w:val="00F2143F"/>
    <w:rsid w:val="00F226D6"/>
    <w:rsid w:val="00F2310A"/>
    <w:rsid w:val="00F4425E"/>
    <w:rsid w:val="00F44E3E"/>
    <w:rsid w:val="00F64718"/>
    <w:rsid w:val="00F65868"/>
    <w:rsid w:val="00F67D38"/>
    <w:rsid w:val="00F81192"/>
    <w:rsid w:val="00F84DF4"/>
    <w:rsid w:val="00F8681D"/>
    <w:rsid w:val="00F92611"/>
    <w:rsid w:val="00FA586F"/>
    <w:rsid w:val="00FB238E"/>
    <w:rsid w:val="00FF1A38"/>
    <w:rsid w:val="0A3E6181"/>
    <w:rsid w:val="1EB550BA"/>
    <w:rsid w:val="2A0219BA"/>
    <w:rsid w:val="37C52ACB"/>
    <w:rsid w:val="3F813370"/>
    <w:rsid w:val="47364BD9"/>
    <w:rsid w:val="496C0490"/>
    <w:rsid w:val="4C625D03"/>
    <w:rsid w:val="6EFB452D"/>
    <w:rsid w:val="75B63E54"/>
    <w:rsid w:val="78A57E99"/>
    <w:rsid w:val="7D810F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方正仿宋_GBK" w:cs="Times New Roman"/>
      <w:kern w:val="2"/>
      <w:sz w:val="32"/>
      <w:szCs w:val="22"/>
      <w:lang w:val="en-US" w:eastAsia="zh-CN" w:bidi="ar-SA"/>
    </w:rPr>
  </w:style>
  <w:style w:type="paragraph" w:styleId="2">
    <w:name w:val="heading 1"/>
    <w:basedOn w:val="1"/>
    <w:next w:val="1"/>
    <w:link w:val="13"/>
    <w:qFormat/>
    <w:uiPriority w:val="99"/>
    <w:pPr>
      <w:keepNext/>
      <w:keepLines/>
      <w:outlineLvl w:val="0"/>
    </w:pPr>
    <w:rPr>
      <w:rFonts w:ascii="方正黑体_GBK" w:hAnsi="方正黑体_GBK" w:eastAsia="方正黑体_GBK" w:cs="方正黑体_GBK"/>
      <w:kern w:val="44"/>
    </w:rPr>
  </w:style>
  <w:style w:type="paragraph" w:styleId="3">
    <w:name w:val="heading 2"/>
    <w:basedOn w:val="1"/>
    <w:next w:val="1"/>
    <w:link w:val="14"/>
    <w:qFormat/>
    <w:uiPriority w:val="99"/>
    <w:pPr>
      <w:keepNext/>
      <w:keepLines/>
      <w:outlineLvl w:val="1"/>
    </w:pPr>
    <w:rPr>
      <w:rFonts w:ascii="方正楷体_GBK" w:hAnsi="方正楷体_GBK" w:eastAsia="方正楷体_GBK" w:cs="方正楷体_GBK"/>
    </w:rPr>
  </w:style>
  <w:style w:type="paragraph" w:styleId="4">
    <w:name w:val="heading 3"/>
    <w:basedOn w:val="1"/>
    <w:next w:val="1"/>
    <w:link w:val="15"/>
    <w:qFormat/>
    <w:uiPriority w:val="99"/>
    <w:pPr>
      <w:keepNext/>
      <w:keepLines/>
      <w:spacing w:line="592" w:lineRule="exact"/>
      <w:ind w:firstLine="200"/>
      <w:outlineLvl w:val="2"/>
    </w:pPr>
    <w:rPr>
      <w:b/>
      <w:bCs/>
      <w:szCs w:val="32"/>
    </w:rPr>
  </w:style>
  <w:style w:type="character" w:default="1" w:styleId="10">
    <w:name w:val="Default Paragraph Font"/>
    <w:semiHidden/>
    <w:unhideWhenUsed/>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8"/>
    <w:qFormat/>
    <w:uiPriority w:val="99"/>
    <w:pPr>
      <w:jc w:val="center"/>
      <w:outlineLvl w:val="0"/>
    </w:pPr>
    <w:rPr>
      <w:rFonts w:ascii="方正小标宋_GBK" w:hAnsi="方正小标宋_GBK" w:eastAsia="方正小标宋_GBK" w:cs="方正小标宋_GBK"/>
      <w:bCs/>
      <w:sz w:val="44"/>
      <w:szCs w:val="44"/>
    </w:rPr>
  </w:style>
  <w:style w:type="character" w:styleId="11">
    <w:name w:val="page number"/>
    <w:qFormat/>
    <w:uiPriority w:val="99"/>
    <w:rPr>
      <w:rFonts w:cs="Times New Roman"/>
    </w:rPr>
  </w:style>
  <w:style w:type="character" w:styleId="12">
    <w:name w:val="Hyperlink"/>
    <w:semiHidden/>
    <w:qFormat/>
    <w:uiPriority w:val="99"/>
    <w:rPr>
      <w:rFonts w:cs="Times New Roman"/>
      <w:color w:val="0000FF"/>
      <w:u w:val="single"/>
    </w:rPr>
  </w:style>
  <w:style w:type="character" w:customStyle="1" w:styleId="13">
    <w:name w:val="标题 1 字符"/>
    <w:link w:val="2"/>
    <w:qFormat/>
    <w:locked/>
    <w:uiPriority w:val="99"/>
    <w:rPr>
      <w:rFonts w:ascii="方正黑体_GBK" w:hAnsi="方正黑体_GBK" w:eastAsia="方正黑体_GBK" w:cs="方正黑体_GBK"/>
      <w:kern w:val="44"/>
      <w:sz w:val="32"/>
      <w:szCs w:val="32"/>
    </w:rPr>
  </w:style>
  <w:style w:type="character" w:customStyle="1" w:styleId="14">
    <w:name w:val="标题 2 字符"/>
    <w:link w:val="3"/>
    <w:semiHidden/>
    <w:qFormat/>
    <w:locked/>
    <w:uiPriority w:val="99"/>
    <w:rPr>
      <w:rFonts w:ascii="方正楷体_GBK" w:hAnsi="方正楷体_GBK" w:eastAsia="方正楷体_GBK" w:cs="方正楷体_GBK"/>
      <w:sz w:val="32"/>
      <w:szCs w:val="32"/>
    </w:rPr>
  </w:style>
  <w:style w:type="character" w:customStyle="1" w:styleId="15">
    <w:name w:val="标题 3 字符"/>
    <w:link w:val="4"/>
    <w:qFormat/>
    <w:locked/>
    <w:uiPriority w:val="99"/>
    <w:rPr>
      <w:rFonts w:ascii="Times New Roman" w:hAnsi="Times New Roman" w:eastAsia="方正仿宋_GBK" w:cs="Times New Roman"/>
      <w:b/>
      <w:bCs/>
      <w:sz w:val="32"/>
      <w:szCs w:val="32"/>
    </w:rPr>
  </w:style>
  <w:style w:type="character" w:customStyle="1" w:styleId="16">
    <w:name w:val="页脚 字符"/>
    <w:link w:val="6"/>
    <w:qFormat/>
    <w:locked/>
    <w:uiPriority w:val="99"/>
    <w:rPr>
      <w:rFonts w:eastAsia="方正仿宋_GBK" w:cs="Times New Roman"/>
      <w:sz w:val="18"/>
      <w:szCs w:val="18"/>
    </w:rPr>
  </w:style>
  <w:style w:type="character" w:customStyle="1" w:styleId="17">
    <w:name w:val="页眉 字符"/>
    <w:link w:val="7"/>
    <w:qFormat/>
    <w:locked/>
    <w:uiPriority w:val="99"/>
    <w:rPr>
      <w:rFonts w:eastAsia="方正仿宋_GBK" w:cs="Times New Roman"/>
      <w:sz w:val="18"/>
      <w:szCs w:val="18"/>
    </w:rPr>
  </w:style>
  <w:style w:type="character" w:customStyle="1" w:styleId="18">
    <w:name w:val="标题 字符"/>
    <w:link w:val="8"/>
    <w:qFormat/>
    <w:locked/>
    <w:uiPriority w:val="99"/>
    <w:rPr>
      <w:rFonts w:ascii="方正小标宋_GBK" w:hAnsi="方正小标宋_GBK" w:eastAsia="方正小标宋_GBK" w:cs="方正小标宋_GBK"/>
      <w:bCs/>
      <w:sz w:val="44"/>
      <w:szCs w:val="44"/>
    </w:rPr>
  </w:style>
  <w:style w:type="paragraph" w:customStyle="1" w:styleId="19">
    <w:name w:val="Char Char Char1 Char Char Char Char Char Char Char Char Char Char"/>
    <w:basedOn w:val="1"/>
    <w:semiHidden/>
    <w:qFormat/>
    <w:uiPriority w:val="99"/>
    <w:pPr>
      <w:adjustRightInd w:val="0"/>
      <w:snapToGrid w:val="0"/>
      <w:spacing w:line="360" w:lineRule="auto"/>
      <w:ind w:firstLine="200" w:firstLineChars="200"/>
    </w:pPr>
    <w:rPr>
      <w:rFonts w:ascii="宋体" w:hAnsi="宋体" w:eastAsia="宋体" w:cs="宋体"/>
      <w:sz w:val="24"/>
      <w:szCs w:val="26"/>
    </w:rPr>
  </w:style>
  <w:style w:type="character" w:customStyle="1" w:styleId="20">
    <w:name w:val=" Char Char3"/>
    <w:basedOn w:val="10"/>
    <w:link w:val="6"/>
    <w:qFormat/>
    <w:uiPriority w:val="0"/>
    <w:rPr>
      <w:rFonts w:hint="eastAsia" w:ascii="宋体" w:hAnsi="宋体" w:eastAsia="宋体" w:cs="宋体"/>
      <w:kern w:val="2"/>
      <w:sz w:val="18"/>
      <w:szCs w:val="18"/>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1667</Words>
  <Characters>9505</Characters>
  <Lines>79</Lines>
  <Paragraphs>22</Paragraphs>
  <TotalTime>0</TotalTime>
  <ScaleCrop>false</ScaleCrop>
  <LinksUpToDate>false</LinksUpToDate>
  <CharactersWithSpaces>11150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2024-02-07T07:49:00Z</dcterms:created>
  <dc:creator>黄影蒂</dc:creator>
  <cp:lastModifiedBy>Administrator</cp:lastModifiedBy>
  <cp:lastPrinted>2024-03-01T01:57:00Z</cp:lastPrinted>
  <dcterms:modified xsi:type="dcterms:W3CDTF">2024-03-04T08:26:11Z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