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line="240" w:lineRule="auto"/>
        <w:jc w:val="both"/>
        <w:rPr>
          <w:rStyle w:val="13"/>
          <w:rFonts w:hint="eastAsia" w:eastAsia="方正仿宋_GBK"/>
          <w:b w:val="0"/>
          <w:bCs w:val="0"/>
          <w:color w:val="auto"/>
          <w:lang w:eastAsia="zh-CN" w:bidi="ar"/>
        </w:rPr>
      </w:pPr>
      <w:r>
        <w:rPr>
          <w:rFonts w:hint="eastAsia" w:ascii="Times New Roman" w:hAnsi="Times New Roman" w:eastAsia="方正黑体_GBK" w:cs="方正黑体_GBK"/>
          <w:b w:val="0"/>
          <w:bCs w:val="0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方正黑体_GBK" w:cs="方正黑体_GBK"/>
          <w:b w:val="0"/>
          <w:bCs w:val="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bidi="ar"/>
        </w:rPr>
        <w:t>-</w:t>
      </w:r>
      <w:r>
        <w:rPr>
          <w:rFonts w:hint="eastAsia" w:ascii="Times New Roman" w:hAnsi="Times New Roman" w:eastAsia="方正黑体_GBK" w:cs="方正黑体_GBK"/>
          <w:b w:val="0"/>
          <w:bCs w:val="0"/>
          <w:kern w:val="0"/>
          <w:sz w:val="32"/>
          <w:szCs w:val="32"/>
          <w:lang w:val="en-US" w:eastAsia="zh-CN" w:bidi="ar"/>
        </w:rPr>
        <w:t>1</w:t>
      </w:r>
    </w:p>
    <w:p>
      <w:pPr>
        <w:snapToGrid w:val="0"/>
        <w:jc w:val="center"/>
        <w:rPr>
          <w:rFonts w:eastAsia="方正小标宋_GBK" w:cs="方正小标宋_GBK"/>
          <w:kern w:val="0"/>
          <w:sz w:val="44"/>
          <w:szCs w:val="44"/>
          <w:lang w:bidi="ar"/>
        </w:rPr>
      </w:pPr>
      <w:r>
        <w:rPr>
          <w:rFonts w:hint="eastAsia" w:eastAsia="方正小标宋_GBK" w:cs="方正小标宋_GBK"/>
          <w:kern w:val="0"/>
          <w:sz w:val="44"/>
          <w:szCs w:val="44"/>
          <w:lang w:bidi="ar"/>
        </w:rPr>
        <w:t>2025年第二批“以奖促治”资金项目法分配表</w:t>
      </w:r>
    </w:p>
    <w:p>
      <w:pPr>
        <w:snapToGrid w:val="0"/>
        <w:jc w:val="center"/>
        <w:rPr>
          <w:rFonts w:eastAsia="方正楷体_GBK" w:cs="方正楷体_GBK"/>
          <w:kern w:val="0"/>
          <w:szCs w:val="32"/>
          <w:lang w:bidi="ar"/>
        </w:rPr>
      </w:pPr>
      <w:r>
        <w:rPr>
          <w:rFonts w:hint="eastAsia" w:eastAsia="方正楷体_GBK" w:cs="方正楷体_GBK"/>
          <w:kern w:val="0"/>
          <w:szCs w:val="32"/>
          <w:lang w:bidi="ar"/>
        </w:rPr>
        <w:t>——</w:t>
      </w:r>
      <w:r>
        <w:rPr>
          <w:rFonts w:hint="eastAsia" w:eastAsia="方正楷体_GBK" w:cs="方正楷体_GBK"/>
          <w:szCs w:val="32"/>
        </w:rPr>
        <w:t>重点区域餐饮油烟深度治理项目</w:t>
      </w:r>
    </w:p>
    <w:p>
      <w:pPr>
        <w:pStyle w:val="3"/>
        <w:wordWrap w:val="0"/>
        <w:snapToGrid w:val="0"/>
        <w:spacing w:line="240" w:lineRule="auto"/>
        <w:rPr>
          <w:rFonts w:ascii="Times New Roman" w:hAnsi="Times New Roman"/>
          <w:b w:val="0"/>
          <w:bCs w:val="0"/>
        </w:rPr>
      </w:pPr>
      <w:r>
        <w:rPr>
          <w:rStyle w:val="14"/>
          <w:rFonts w:hint="eastAsia" w:ascii="Times New Roman" w:hAnsi="Times New Roman"/>
          <w:b w:val="0"/>
          <w:bCs w:val="0"/>
          <w:lang w:bidi="ar"/>
        </w:rPr>
        <w:t xml:space="preserve">                                                                                       </w:t>
      </w:r>
      <w:r>
        <w:rPr>
          <w:rStyle w:val="14"/>
          <w:rFonts w:ascii="Times New Roman" w:hAnsi="Times New Roman"/>
          <w:b w:val="0"/>
          <w:bCs w:val="0"/>
          <w:lang w:bidi="ar"/>
        </w:rPr>
        <w:t>单位：万元</w:t>
      </w:r>
    </w:p>
    <w:tbl>
      <w:tblPr>
        <w:tblStyle w:val="6"/>
        <w:tblW w:w="1096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3"/>
        <w:gridCol w:w="1111"/>
        <w:gridCol w:w="622"/>
        <w:gridCol w:w="1733"/>
        <w:gridCol w:w="4554"/>
        <w:gridCol w:w="860"/>
        <w:gridCol w:w="15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项目单位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所在</w:t>
            </w:r>
            <w:r>
              <w:rPr>
                <w:rFonts w:eastAsia="方正黑体_GBK"/>
                <w:kern w:val="0"/>
                <w:sz w:val="24"/>
                <w:lang w:bidi="ar"/>
              </w:rPr>
              <w:br w:type="textWrapping"/>
            </w:r>
            <w:r>
              <w:rPr>
                <w:rFonts w:eastAsia="方正黑体_GBK"/>
                <w:kern w:val="0"/>
                <w:sz w:val="24"/>
                <w:lang w:bidi="ar"/>
              </w:rPr>
              <w:t>区县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项目概况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总投资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补助</w:t>
            </w:r>
            <w:r>
              <w:rPr>
                <w:rFonts w:hint="eastAsia" w:eastAsia="方正黑体_GBK"/>
                <w:kern w:val="0"/>
                <w:sz w:val="24"/>
                <w:lang w:bidi="ar"/>
              </w:rPr>
              <w:t>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highlight w:val="none"/>
              </w:rPr>
            </w:pPr>
            <w:r>
              <w:rPr>
                <w:rFonts w:hint="eastAsia" w:eastAsia="方正仿宋_GBK"/>
                <w:sz w:val="28"/>
                <w:szCs w:val="28"/>
                <w:highlight w:val="none"/>
              </w:rPr>
              <w:t>涪陵区生态环境局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涪陵区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涪陵区居民楼油烟污染综合治理项目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对涪陵区迎宾大道国控站周边餐饮油烟排放集中的涪陵五中宿舍楼、天子苑小区2个片区开展餐饮油烟面源综合治理，拟完成7栋楼488户居民直排油烟的50套油烟净化设备和50组公共烟道的加装。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  <w:lang w:bidi="ar"/>
              </w:rPr>
              <w:t>390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  <w:lang w:bidi="ar"/>
              </w:rPr>
              <w:t>308</w:t>
            </w:r>
          </w:p>
        </w:tc>
      </w:tr>
    </w:tbl>
    <w:p>
      <w:pPr>
        <w:pStyle w:val="3"/>
        <w:snapToGrid w:val="0"/>
        <w:spacing w:line="240" w:lineRule="auto"/>
        <w:jc w:val="both"/>
        <w:rPr>
          <w:rStyle w:val="13"/>
          <w:rFonts w:hint="eastAsia" w:eastAsia="方正仿宋_GBK"/>
          <w:b w:val="0"/>
          <w:bCs w:val="0"/>
          <w:color w:val="auto"/>
          <w:lang w:eastAsia="zh-CN" w:bidi="ar"/>
        </w:rPr>
      </w:pPr>
      <w:r>
        <w:rPr>
          <w:rFonts w:hint="eastAsia" w:ascii="Times New Roman" w:hAnsi="Times New Roman"/>
        </w:rPr>
        <w:br w:type="page"/>
      </w:r>
      <w:r>
        <w:rPr>
          <w:rFonts w:hint="eastAsia" w:ascii="Times New Roman" w:hAnsi="Times New Roman" w:eastAsia="方正黑体_GBK" w:cs="方正黑体_GBK"/>
          <w:b w:val="0"/>
          <w:bCs w:val="0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方正黑体_GBK" w:cs="方正黑体_GBK"/>
          <w:b w:val="0"/>
          <w:bCs w:val="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bidi="ar"/>
        </w:rPr>
        <w:t>-</w:t>
      </w:r>
      <w:r>
        <w:rPr>
          <w:rFonts w:hint="eastAsia" w:ascii="Times New Roman" w:hAnsi="Times New Roman" w:eastAsia="方正黑体_GBK" w:cs="方正黑体_GBK"/>
          <w:b w:val="0"/>
          <w:bCs w:val="0"/>
          <w:kern w:val="0"/>
          <w:sz w:val="32"/>
          <w:szCs w:val="32"/>
          <w:lang w:val="en-US" w:eastAsia="zh-CN" w:bidi="ar"/>
        </w:rPr>
        <w:t>2</w:t>
      </w:r>
    </w:p>
    <w:p/>
    <w:p>
      <w:pPr>
        <w:snapToGrid w:val="0"/>
        <w:jc w:val="center"/>
        <w:rPr>
          <w:rFonts w:eastAsia="方正小标宋_GBK" w:cs="方正小标宋_GBK"/>
          <w:kern w:val="0"/>
          <w:sz w:val="44"/>
          <w:szCs w:val="44"/>
          <w:lang w:bidi="ar"/>
        </w:rPr>
      </w:pPr>
      <w:r>
        <w:rPr>
          <w:rFonts w:hint="eastAsia" w:eastAsia="方正小标宋_GBK" w:cs="方正小标宋_GBK"/>
          <w:kern w:val="0"/>
          <w:sz w:val="44"/>
          <w:szCs w:val="44"/>
          <w:lang w:bidi="ar"/>
        </w:rPr>
        <w:t>2025年第二批“以奖促治”资金项目法分配表</w:t>
      </w:r>
    </w:p>
    <w:p>
      <w:pPr>
        <w:snapToGrid w:val="0"/>
        <w:jc w:val="center"/>
        <w:rPr>
          <w:rFonts w:eastAsia="方正楷体_GBK" w:cs="方正楷体_GBK"/>
          <w:szCs w:val="32"/>
        </w:rPr>
      </w:pPr>
      <w:r>
        <w:rPr>
          <w:rFonts w:hint="eastAsia" w:eastAsia="方正楷体_GBK" w:cs="方正楷体_GBK"/>
          <w:kern w:val="0"/>
          <w:szCs w:val="32"/>
          <w:lang w:bidi="ar"/>
        </w:rPr>
        <w:t>——</w:t>
      </w:r>
      <w:r>
        <w:rPr>
          <w:rFonts w:hint="eastAsia" w:eastAsia="方正楷体_GBK" w:cs="方正楷体_GBK"/>
          <w:szCs w:val="32"/>
        </w:rPr>
        <w:t>农村环境治理项目</w:t>
      </w:r>
    </w:p>
    <w:p>
      <w:pPr>
        <w:snapToGrid w:val="0"/>
        <w:jc w:val="center"/>
        <w:rPr>
          <w:rFonts w:eastAsia="方正楷体_GBK" w:cs="方正楷体_GBK"/>
          <w:szCs w:val="32"/>
        </w:rPr>
      </w:pPr>
    </w:p>
    <w:p>
      <w:pPr>
        <w:pStyle w:val="3"/>
        <w:wordWrap w:val="0"/>
        <w:snapToGrid w:val="0"/>
        <w:spacing w:line="240" w:lineRule="auto"/>
        <w:jc w:val="right"/>
        <w:rPr>
          <w:rFonts w:ascii="Times New Roman" w:hAnsi="Times New Roman"/>
          <w:b w:val="0"/>
          <w:bCs w:val="0"/>
        </w:rPr>
      </w:pPr>
      <w:r>
        <w:rPr>
          <w:rStyle w:val="14"/>
          <w:rFonts w:ascii="Times New Roman" w:hAnsi="Times New Roman"/>
          <w:b w:val="0"/>
          <w:bCs w:val="0"/>
          <w:lang w:bidi="ar"/>
        </w:rPr>
        <w:t>单位：万元</w:t>
      </w:r>
    </w:p>
    <w:tbl>
      <w:tblPr>
        <w:tblStyle w:val="6"/>
        <w:tblW w:w="95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3"/>
        <w:gridCol w:w="1032"/>
        <w:gridCol w:w="567"/>
        <w:gridCol w:w="1417"/>
        <w:gridCol w:w="4111"/>
        <w:gridCol w:w="850"/>
        <w:gridCol w:w="99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项目单位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所在</w:t>
            </w:r>
            <w:r>
              <w:rPr>
                <w:rFonts w:eastAsia="方正黑体_GBK"/>
                <w:kern w:val="0"/>
                <w:sz w:val="24"/>
                <w:lang w:bidi="ar"/>
              </w:rPr>
              <w:br w:type="textWrapping"/>
            </w:r>
            <w:r>
              <w:rPr>
                <w:rFonts w:eastAsia="方正黑体_GBK"/>
                <w:kern w:val="0"/>
                <w:sz w:val="24"/>
                <w:lang w:bidi="ar"/>
              </w:rPr>
              <w:t>区县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项目概况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总投资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补助金额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6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hint="eastAsia" w:eastAsia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  <w:highlight w:val="none"/>
              </w:rPr>
            </w:pPr>
            <w:r>
              <w:rPr>
                <w:rStyle w:val="12"/>
                <w:rFonts w:ascii="Times New Roman" w:hAnsi="Times New Roman" w:cs="Times New Roman"/>
                <w:color w:val="auto"/>
                <w:sz w:val="28"/>
                <w:szCs w:val="28"/>
                <w:highlight w:val="none"/>
                <w:lang w:bidi="ar"/>
              </w:rPr>
              <w:t>重庆市涪陵区拓源环境治理有限公司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涪陵区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涪陵区农村环境整治工程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设计污水处理规模为57m3/d；建设污水收集管网8093m，建设DN300污水管530m、DN200污水管5863m、DN100污水管1700m，装配式检查井244座。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519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415</w:t>
            </w:r>
          </w:p>
        </w:tc>
      </w:tr>
    </w:tbl>
    <w:p>
      <w:pPr>
        <w:pStyle w:val="3"/>
        <w:rPr>
          <w:rFonts w:ascii="Times New Roman" w:hAnsi="Times New Roman" w:eastAsia="方正仿宋_GBK"/>
        </w:rPr>
        <w:sectPr>
          <w:pgSz w:w="11907" w:h="16840"/>
          <w:pgMar w:top="1701" w:right="1474" w:bottom="1701" w:left="1587" w:header="851" w:footer="1134" w:gutter="0"/>
          <w:cols w:space="720" w:num="1"/>
          <w:docGrid w:type="linesAndChars" w:linePitch="589" w:charSpace="-842"/>
        </w:sectPr>
      </w:pPr>
    </w:p>
    <w:p>
      <w:pPr>
        <w:pStyle w:val="3"/>
        <w:snapToGrid w:val="0"/>
        <w:spacing w:line="240" w:lineRule="auto"/>
        <w:jc w:val="both"/>
        <w:rPr>
          <w:rStyle w:val="13"/>
          <w:rFonts w:hint="eastAsia" w:eastAsia="方正黑体_GBK"/>
          <w:b w:val="0"/>
          <w:bCs w:val="0"/>
          <w:color w:val="auto"/>
          <w:lang w:eastAsia="zh-CN" w:bidi="ar"/>
        </w:rPr>
      </w:pPr>
      <w:r>
        <w:rPr>
          <w:rFonts w:hint="eastAsia" w:ascii="Times New Roman" w:hAnsi="Times New Roman" w:eastAsia="方正黑体_GBK" w:cs="方正黑体_GBK"/>
          <w:b w:val="0"/>
          <w:bCs w:val="0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方正黑体_GBK" w:cs="方正黑体_GBK"/>
          <w:b w:val="0"/>
          <w:bCs w:val="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方正黑体_GBK" w:cs="方正黑体_GBK"/>
          <w:b w:val="0"/>
          <w:bCs w:val="0"/>
          <w:kern w:val="0"/>
          <w:sz w:val="32"/>
          <w:szCs w:val="32"/>
          <w:lang w:bidi="ar"/>
        </w:rPr>
        <w:t>-</w:t>
      </w:r>
      <w:r>
        <w:rPr>
          <w:rFonts w:hint="eastAsia" w:ascii="Times New Roman" w:hAnsi="Times New Roman" w:eastAsia="方正黑体_GBK" w:cs="方正黑体_GBK"/>
          <w:b w:val="0"/>
          <w:bCs w:val="0"/>
          <w:kern w:val="0"/>
          <w:sz w:val="32"/>
          <w:szCs w:val="32"/>
          <w:lang w:val="en-US" w:eastAsia="zh-CN" w:bidi="ar"/>
        </w:rPr>
        <w:t>3</w:t>
      </w:r>
    </w:p>
    <w:p/>
    <w:p>
      <w:pPr>
        <w:snapToGrid w:val="0"/>
        <w:jc w:val="center"/>
        <w:rPr>
          <w:rFonts w:eastAsia="方正小标宋_GBK" w:cs="方正小标宋_GBK"/>
          <w:kern w:val="0"/>
          <w:sz w:val="44"/>
          <w:szCs w:val="44"/>
          <w:lang w:bidi="ar"/>
        </w:rPr>
      </w:pPr>
      <w:r>
        <w:rPr>
          <w:rFonts w:hint="eastAsia" w:eastAsia="方正小标宋_GBK" w:cs="方正小标宋_GBK"/>
          <w:kern w:val="0"/>
          <w:sz w:val="44"/>
          <w:szCs w:val="44"/>
          <w:lang w:bidi="ar"/>
        </w:rPr>
        <w:t>2025年第二批“以奖促治”资金项目法分配表</w:t>
      </w:r>
    </w:p>
    <w:p>
      <w:pPr>
        <w:snapToGrid w:val="0"/>
        <w:jc w:val="center"/>
        <w:rPr>
          <w:rFonts w:eastAsia="方正楷体_GBK" w:cs="方正楷体_GBK"/>
          <w:kern w:val="0"/>
          <w:szCs w:val="32"/>
          <w:lang w:bidi="ar"/>
        </w:rPr>
      </w:pPr>
      <w:r>
        <w:rPr>
          <w:rFonts w:hint="eastAsia" w:eastAsia="方正楷体_GBK" w:cs="方正楷体_GBK"/>
          <w:kern w:val="0"/>
          <w:szCs w:val="32"/>
          <w:lang w:bidi="ar"/>
        </w:rPr>
        <w:t>——</w:t>
      </w:r>
      <w:r>
        <w:rPr>
          <w:rFonts w:hint="eastAsia" w:eastAsia="方正楷体_GBK" w:cs="方正楷体_GBK"/>
          <w:szCs w:val="32"/>
        </w:rPr>
        <w:t>环境监测能力建设项目</w:t>
      </w:r>
    </w:p>
    <w:p/>
    <w:tbl>
      <w:tblPr>
        <w:tblStyle w:val="6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4"/>
        <w:gridCol w:w="1290"/>
        <w:gridCol w:w="1079"/>
        <w:gridCol w:w="1079"/>
        <w:gridCol w:w="1079"/>
        <w:gridCol w:w="1079"/>
        <w:gridCol w:w="1079"/>
        <w:gridCol w:w="1079"/>
        <w:gridCol w:w="1282"/>
        <w:gridCol w:w="1323"/>
        <w:gridCol w:w="1133"/>
        <w:gridCol w:w="138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Header/>
          <w:jc w:val="center"/>
        </w:trPr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sz w:val="24"/>
              </w:rPr>
            </w:pPr>
            <w:r>
              <w:rPr>
                <w:rFonts w:hint="eastAsia" w:eastAsia="方正黑体_GBK" w:cs="方正黑体_GBK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sz w:val="24"/>
              </w:rPr>
            </w:pPr>
            <w:r>
              <w:rPr>
                <w:rFonts w:hint="eastAsia" w:eastAsia="方正黑体_GBK" w:cs="方正黑体_GBK"/>
                <w:kern w:val="0"/>
                <w:sz w:val="24"/>
                <w:lang w:bidi="ar"/>
              </w:rPr>
              <w:t>区县</w:t>
            </w:r>
          </w:p>
        </w:tc>
        <w:tc>
          <w:tcPr>
            <w:tcW w:w="64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sz w:val="24"/>
              </w:rPr>
            </w:pPr>
            <w:r>
              <w:rPr>
                <w:rFonts w:hint="eastAsia" w:eastAsia="方正黑体_GBK" w:cs="方正黑体_GBK"/>
                <w:kern w:val="0"/>
                <w:sz w:val="24"/>
                <w:lang w:bidi="ar"/>
              </w:rPr>
              <w:t>应急监测能力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sz w:val="24"/>
              </w:rPr>
            </w:pPr>
            <w:r>
              <w:rPr>
                <w:rFonts w:hint="eastAsia" w:eastAsia="方正黑体_GBK" w:cs="方正黑体_GBK"/>
                <w:kern w:val="0"/>
                <w:sz w:val="24"/>
                <w:lang w:bidi="ar"/>
              </w:rPr>
              <w:t>监测数据质量控制能力</w:t>
            </w:r>
            <w:r>
              <w:rPr>
                <w:rFonts w:hint="eastAsia" w:eastAsia="方正黑体_GBK" w:cs="方正黑体_GBK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eastAsia="方正黑体_GBK" w:cs="方正黑体_GBK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sz w:val="24"/>
              </w:rPr>
            </w:pPr>
            <w:r>
              <w:rPr>
                <w:rFonts w:hint="eastAsia" w:eastAsia="方正黑体_GBK" w:cs="方正黑体_GBK"/>
                <w:kern w:val="0"/>
                <w:sz w:val="24"/>
                <w:lang w:bidi="ar"/>
              </w:rPr>
              <w:t>重点流域水环境重金属污染预警能力建设</w:t>
            </w:r>
            <w:r>
              <w:rPr>
                <w:rFonts w:hint="eastAsia" w:eastAsia="方正黑体_GBK" w:cs="方正黑体_GBK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eastAsia="方正黑体_GBK" w:cs="方正黑体_GBK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sz w:val="24"/>
              </w:rPr>
            </w:pPr>
            <w:r>
              <w:rPr>
                <w:rFonts w:hint="eastAsia" w:eastAsia="方正黑体_GBK" w:cs="方正黑体_GBK"/>
                <w:kern w:val="0"/>
                <w:sz w:val="24"/>
                <w:lang w:bidi="ar"/>
              </w:rPr>
              <w:t>无人机辅助监测支撑“治气”试点</w:t>
            </w:r>
            <w:r>
              <w:rPr>
                <w:rFonts w:hint="eastAsia" w:eastAsia="方正黑体_GBK" w:cs="方正黑体_GBK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eastAsia="方正黑体_GBK" w:cs="方正黑体_GBK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sz w:val="24"/>
              </w:rPr>
            </w:pPr>
            <w:r>
              <w:rPr>
                <w:rFonts w:hint="eastAsia" w:eastAsia="方正黑体_GBK" w:cs="方正黑体_GBK"/>
                <w:kern w:val="0"/>
                <w:sz w:val="24"/>
                <w:lang w:bidi="ar"/>
              </w:rPr>
              <w:t>合计</w:t>
            </w:r>
            <w:r>
              <w:rPr>
                <w:rFonts w:hint="eastAsia" w:eastAsia="方正黑体_GBK" w:cs="方正黑体_GBK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eastAsia="方正黑体_GBK" w:cs="方正黑体_GBK"/>
                <w:kern w:val="0"/>
                <w:sz w:val="24"/>
                <w:lang w:bidi="ar"/>
              </w:rPr>
              <w:t>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tblHeader/>
          <w:jc w:val="center"/>
        </w:trPr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方正黑体_GBK" w:cs="方正黑体_GBK"/>
                <w:sz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方正黑体_GBK" w:cs="方正黑体_GBK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sz w:val="24"/>
              </w:rPr>
            </w:pPr>
            <w:r>
              <w:rPr>
                <w:rFonts w:hint="eastAsia" w:eastAsia="方正黑体_GBK" w:cs="方正黑体_GBK"/>
                <w:kern w:val="0"/>
                <w:sz w:val="24"/>
                <w:lang w:bidi="ar"/>
              </w:rPr>
              <w:t>便携式测油仪</w:t>
            </w:r>
            <w:r>
              <w:rPr>
                <w:rFonts w:hint="eastAsia" w:eastAsia="方正黑体_GBK" w:cs="方正黑体_GBK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eastAsia="方正黑体_GBK" w:cs="方正黑体_GBK"/>
                <w:kern w:val="0"/>
                <w:sz w:val="24"/>
                <w:lang w:bidi="ar"/>
              </w:rPr>
              <w:t>（25万元/台）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sz w:val="24"/>
              </w:rPr>
            </w:pPr>
            <w:r>
              <w:rPr>
                <w:rFonts w:hint="eastAsia" w:eastAsia="方正黑体_GBK" w:cs="方正黑体_GBK"/>
                <w:kern w:val="0"/>
                <w:sz w:val="24"/>
                <w:lang w:bidi="ar"/>
              </w:rPr>
              <w:t>车载ICP-MS</w:t>
            </w:r>
            <w:r>
              <w:rPr>
                <w:rFonts w:hint="eastAsia" w:eastAsia="方正黑体_GBK" w:cs="方正黑体_GBK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eastAsia="方正黑体_GBK" w:cs="方正黑体_GBK"/>
                <w:kern w:val="0"/>
                <w:sz w:val="24"/>
                <w:lang w:bidi="ar"/>
              </w:rPr>
              <w:t>（250万元/套）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sz w:val="24"/>
              </w:rPr>
            </w:pPr>
            <w:r>
              <w:rPr>
                <w:rFonts w:hint="eastAsia" w:eastAsia="方正黑体_GBK" w:cs="方正黑体_GBK"/>
                <w:kern w:val="0"/>
                <w:sz w:val="24"/>
                <w:lang w:bidi="ar"/>
              </w:rPr>
              <w:t>实验室ICP-MS</w:t>
            </w:r>
            <w:r>
              <w:rPr>
                <w:rFonts w:hint="eastAsia" w:eastAsia="方正黑体_GBK" w:cs="方正黑体_GBK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eastAsia="方正黑体_GBK" w:cs="方正黑体_GBK"/>
                <w:kern w:val="0"/>
                <w:sz w:val="24"/>
                <w:lang w:bidi="ar"/>
              </w:rPr>
              <w:t>（125万元/台）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sz w:val="24"/>
              </w:rPr>
            </w:pPr>
            <w:r>
              <w:rPr>
                <w:rFonts w:hint="eastAsia" w:eastAsia="方正黑体_GBK" w:cs="方正黑体_GBK"/>
                <w:kern w:val="0"/>
                <w:sz w:val="24"/>
                <w:lang w:bidi="ar"/>
              </w:rPr>
              <w:t>原子荧光</w:t>
            </w:r>
            <w:r>
              <w:rPr>
                <w:rFonts w:hint="eastAsia" w:eastAsia="方正黑体_GBK" w:cs="方正黑体_GBK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eastAsia="方正黑体_GBK" w:cs="方正黑体_GBK"/>
                <w:kern w:val="0"/>
                <w:sz w:val="24"/>
                <w:lang w:bidi="ar"/>
              </w:rPr>
              <w:t>（35万元/台）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sz w:val="24"/>
              </w:rPr>
            </w:pPr>
            <w:r>
              <w:rPr>
                <w:rFonts w:hint="eastAsia" w:eastAsia="方正黑体_GBK" w:cs="方正黑体_GBK"/>
                <w:kern w:val="0"/>
                <w:sz w:val="24"/>
                <w:lang w:bidi="ar"/>
              </w:rPr>
              <w:t>采样船</w:t>
            </w:r>
            <w:r>
              <w:rPr>
                <w:rFonts w:hint="eastAsia" w:eastAsia="方正黑体_GBK" w:cs="方正黑体_GBK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eastAsia="方正黑体_GBK" w:cs="方正黑体_GBK"/>
                <w:kern w:val="0"/>
                <w:sz w:val="24"/>
                <w:lang w:bidi="ar"/>
              </w:rPr>
              <w:t>（100万元/台）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sz w:val="24"/>
              </w:rPr>
            </w:pPr>
            <w:r>
              <w:rPr>
                <w:rFonts w:hint="eastAsia" w:eastAsia="方正黑体_GBK" w:cs="方正黑体_GBK"/>
                <w:kern w:val="0"/>
                <w:sz w:val="24"/>
                <w:lang w:bidi="ar"/>
              </w:rPr>
              <w:t>小计</w:t>
            </w:r>
            <w:r>
              <w:rPr>
                <w:rFonts w:hint="eastAsia" w:eastAsia="方正黑体_GBK" w:cs="方正黑体_GBK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eastAsia="方正黑体_GBK" w:cs="方正黑体_GBK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eastAsia="方正黑体_GBK" w:cs="方正黑体_GBK"/>
                <w:sz w:val="24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eastAsia="方正黑体_GBK" w:cs="方正黑体_GBK"/>
                <w:sz w:val="24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eastAsia="方正黑体_GBK" w:cs="方正黑体_GBK"/>
                <w:sz w:val="24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黑体_GBK" w:cs="方正黑体_GBK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sz w:val="24"/>
              </w:rPr>
            </w:pPr>
            <w:r>
              <w:rPr>
                <w:rFonts w:hint="eastAsia" w:eastAsia="方正黑体_GBK" w:cs="方正黑体_GBK"/>
                <w:kern w:val="0"/>
                <w:sz w:val="24"/>
                <w:lang w:bidi="ar"/>
              </w:rPr>
              <w:t>合计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1145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268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573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200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2186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lang w:bidi="ar"/>
              </w:rPr>
              <w:t>涪陵区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bookmarkStart w:id="0" w:name="_GoBack"/>
            <w:bookmarkEnd w:id="0"/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10.5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10.5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D8"/>
    <w:rsid w:val="00011FD8"/>
    <w:rsid w:val="00043ED5"/>
    <w:rsid w:val="004B28E0"/>
    <w:rsid w:val="006B2A32"/>
    <w:rsid w:val="007A1AD4"/>
    <w:rsid w:val="007A1CBE"/>
    <w:rsid w:val="007D24F9"/>
    <w:rsid w:val="00A10825"/>
    <w:rsid w:val="00AB0C25"/>
    <w:rsid w:val="00B10041"/>
    <w:rsid w:val="00DF0569"/>
    <w:rsid w:val="00F773F4"/>
    <w:rsid w:val="00FA2686"/>
    <w:rsid w:val="15C04CE2"/>
    <w:rsid w:val="29ED0BC1"/>
    <w:rsid w:val="3ED66929"/>
    <w:rsid w:val="71A0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3">
    <w:name w:val="heading 4"/>
    <w:basedOn w:val="2"/>
    <w:next w:val="1"/>
    <w:link w:val="10"/>
    <w:qFormat/>
    <w:uiPriority w:val="0"/>
    <w:pPr>
      <w:spacing w:before="0" w:after="0" w:line="360" w:lineRule="auto"/>
      <w:jc w:val="center"/>
      <w:outlineLvl w:val="3"/>
    </w:pPr>
    <w:rPr>
      <w:rFonts w:ascii="Cambria" w:hAnsi="Cambria" w:eastAsia="仿宋_GB2312" w:cs="Times New Roman"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4 Char"/>
    <w:basedOn w:val="7"/>
    <w:link w:val="3"/>
    <w:qFormat/>
    <w:uiPriority w:val="0"/>
    <w:rPr>
      <w:rFonts w:ascii="Cambria" w:hAnsi="Cambria" w:eastAsia="仿宋_GB2312" w:cs="Times New Roman"/>
      <w:b/>
      <w:bCs/>
      <w:sz w:val="28"/>
      <w:szCs w:val="28"/>
    </w:rPr>
  </w:style>
  <w:style w:type="character" w:customStyle="1" w:styleId="11">
    <w:name w:val="font171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2">
    <w:name w:val="font11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241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4">
    <w:name w:val="font01"/>
    <w:qFormat/>
    <w:uiPriority w:val="0"/>
    <w:rPr>
      <w:rFonts w:ascii="方正楷体_GBK" w:hAnsi="方正楷体_GBK" w:eastAsia="方正楷体_GBK" w:cs="方正楷体_GBK"/>
      <w:color w:val="000000"/>
      <w:sz w:val="24"/>
      <w:szCs w:val="24"/>
      <w:u w:val="none"/>
    </w:rPr>
  </w:style>
  <w:style w:type="character" w:customStyle="1" w:styleId="15">
    <w:name w:val="font14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6">
    <w:name w:val="font15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标题 2 Char"/>
    <w:basedOn w:val="7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606</Words>
  <Characters>3457</Characters>
  <Lines>28</Lines>
  <Paragraphs>8</Paragraphs>
  <TotalTime>22</TotalTime>
  <ScaleCrop>false</ScaleCrop>
  <LinksUpToDate>false</LinksUpToDate>
  <CharactersWithSpaces>4055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2025-07-06T04:24:00Z</dcterms:created>
  <dc:creator>dell</dc:creator>
  <cp:lastModifiedBy>Administrator</cp:lastModifiedBy>
  <cp:lastPrinted>2025-08-14T06:11:40Z</cp:lastPrinted>
  <dcterms:modified xsi:type="dcterms:W3CDTF">2025-08-14T06:13:18Z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