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eastAsia="方正黑体_GBK" w:cs="方正黑体_GBK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eastAsia="方正黑体_GBK" w:cs="方正黑体_GBK"/>
          <w:kern w:val="0"/>
          <w:sz w:val="28"/>
          <w:szCs w:val="28"/>
          <w:highlight w:val="none"/>
          <w:lang w:bidi="ar"/>
        </w:rPr>
        <w:t>附件</w:t>
      </w:r>
      <w:r>
        <w:rPr>
          <w:rFonts w:hint="eastAsia" w:eastAsia="方正黑体_GBK" w:cs="方正黑体_GBK"/>
          <w:kern w:val="0"/>
          <w:sz w:val="28"/>
          <w:szCs w:val="28"/>
          <w:highlight w:val="none"/>
          <w:lang w:val="en-US" w:eastAsia="zh-CN" w:bidi="ar"/>
        </w:rPr>
        <w:t>3-1</w:t>
      </w:r>
    </w:p>
    <w:p>
      <w:pPr>
        <w:spacing w:line="594" w:lineRule="exact"/>
        <w:rPr>
          <w:rFonts w:eastAsia="方正黑体_GBK" w:cs="方正黑体_GBK"/>
          <w:kern w:val="0"/>
          <w:sz w:val="28"/>
          <w:szCs w:val="28"/>
          <w:highlight w:val="none"/>
          <w:lang w:bidi="ar"/>
        </w:rPr>
      </w:pPr>
    </w:p>
    <w:p>
      <w:pPr>
        <w:spacing w:line="594" w:lineRule="exact"/>
        <w:jc w:val="center"/>
        <w:rPr>
          <w:rFonts w:eastAsia="方正小标宋_GBK" w:cs="方正小标宋_GBK"/>
          <w:kern w:val="0"/>
          <w:sz w:val="44"/>
          <w:szCs w:val="44"/>
          <w:highlight w:val="none"/>
          <w:lang w:bidi="ar"/>
        </w:rPr>
      </w:pPr>
      <w:r>
        <w:rPr>
          <w:rFonts w:hint="eastAsia" w:eastAsia="方正小标宋_GBK" w:cs="方正小标宋_GBK"/>
          <w:kern w:val="0"/>
          <w:sz w:val="44"/>
          <w:szCs w:val="44"/>
          <w:highlight w:val="none"/>
          <w:lang w:bidi="ar"/>
        </w:rPr>
        <w:t>生态环境“以奖促治”资金绩效目标表</w:t>
      </w:r>
    </w:p>
    <w:p>
      <w:pPr>
        <w:spacing w:line="594" w:lineRule="exact"/>
        <w:rPr>
          <w:rFonts w:eastAsia="方正小标宋_GBK" w:cs="方正小标宋_GBK"/>
          <w:kern w:val="0"/>
          <w:sz w:val="44"/>
          <w:szCs w:val="44"/>
          <w:highlight w:val="none"/>
          <w:lang w:bidi="ar"/>
        </w:rPr>
      </w:pP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9"/>
        <w:gridCol w:w="1497"/>
        <w:gridCol w:w="1441"/>
        <w:gridCol w:w="570"/>
        <w:gridCol w:w="1598"/>
        <w:gridCol w:w="1141"/>
        <w:gridCol w:w="1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6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涪陵区居民楼油烟污染综合治理项目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所属领域</w:t>
            </w:r>
          </w:p>
        </w:tc>
        <w:tc>
          <w:tcPr>
            <w:tcW w:w="6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大气污染防治领域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市级主管部门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重庆市生态环境局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市级财政部门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重庆市财政局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区县主管部门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涪陵区生态环境局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区县财政部门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具体实施单位</w:t>
            </w:r>
          </w:p>
        </w:tc>
        <w:tc>
          <w:tcPr>
            <w:tcW w:w="6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资金情况（万元）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项目总投资：</w:t>
            </w:r>
          </w:p>
        </w:tc>
        <w:tc>
          <w:tcPr>
            <w:tcW w:w="4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390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其中：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“以奖促治”资金补助金额</w:t>
            </w:r>
          </w:p>
        </w:tc>
        <w:tc>
          <w:tcPr>
            <w:tcW w:w="4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308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其他资金</w:t>
            </w:r>
          </w:p>
        </w:tc>
        <w:tc>
          <w:tcPr>
            <w:tcW w:w="4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总体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目标</w:t>
            </w:r>
          </w:p>
        </w:tc>
        <w:tc>
          <w:tcPr>
            <w:tcW w:w="810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left"/>
              <w:textAlignment w:val="top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目标1：建设50套油烟净化设备和50组公共烟道。目标2：油烟排放浓度≤0.3mg/m³，非甲烷总烃≤5mg/m³。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81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left"/>
              <w:rPr>
                <w:rFonts w:eastAsia="方正仿宋_GBK" w:cs="方正仿宋_GBK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绩效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指标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一级指标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二级指标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三级指标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产出指标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数量指标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安装油烟净化设施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50套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质量指标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油烟排放浓度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≤0.3mg/m³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非甲烷总烃排放浓度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≤5mg/m³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效益指标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社会效益指标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惠及户数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≥488户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生态效益指标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颗粒物减排量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0.8159吨/年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可持续影响指标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设备稳定运行期限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≥10年</w:t>
            </w:r>
          </w:p>
        </w:tc>
      </w:tr>
    </w:tbl>
    <w:p>
      <w:pPr>
        <w:spacing w:line="594" w:lineRule="exact"/>
        <w:rPr>
          <w:rFonts w:eastAsia="方正黑体_GBK" w:cs="方正黑体_GBK"/>
          <w:kern w:val="0"/>
          <w:sz w:val="28"/>
          <w:szCs w:val="28"/>
          <w:highlight w:val="none"/>
          <w:lang w:bidi="ar"/>
        </w:rPr>
      </w:pPr>
      <w:r>
        <w:rPr>
          <w:rFonts w:hint="eastAsia" w:eastAsia="方正黑体_GBK" w:cs="方正黑体_GBK"/>
          <w:kern w:val="0"/>
          <w:sz w:val="28"/>
          <w:szCs w:val="28"/>
          <w:highlight w:val="none"/>
          <w:lang w:bidi="ar"/>
        </w:rPr>
        <w:t>附件</w:t>
      </w:r>
      <w:r>
        <w:rPr>
          <w:rFonts w:hint="eastAsia" w:eastAsia="方正黑体_GBK" w:cs="方正黑体_GBK"/>
          <w:kern w:val="0"/>
          <w:sz w:val="28"/>
          <w:szCs w:val="28"/>
          <w:highlight w:val="none"/>
          <w:lang w:val="en-US" w:eastAsia="zh-CN" w:bidi="ar"/>
        </w:rPr>
        <w:t>3-1</w:t>
      </w:r>
      <w:r>
        <w:rPr>
          <w:rFonts w:hint="eastAsia" w:eastAsia="方正黑体_GBK" w:cs="方正黑体_GBK"/>
          <w:kern w:val="0"/>
          <w:sz w:val="28"/>
          <w:szCs w:val="28"/>
          <w:highlight w:val="none"/>
          <w:lang w:bidi="ar"/>
        </w:rPr>
        <w:t>-1</w:t>
      </w:r>
    </w:p>
    <w:p>
      <w:pPr>
        <w:spacing w:line="594" w:lineRule="exact"/>
        <w:rPr>
          <w:rFonts w:eastAsia="方正黑体_GBK" w:cs="方正黑体_GBK"/>
          <w:kern w:val="0"/>
          <w:sz w:val="28"/>
          <w:szCs w:val="28"/>
          <w:highlight w:val="none"/>
          <w:lang w:bidi="ar"/>
        </w:rPr>
      </w:pPr>
    </w:p>
    <w:p>
      <w:pPr>
        <w:spacing w:line="594" w:lineRule="exact"/>
        <w:jc w:val="center"/>
        <w:rPr>
          <w:rFonts w:eastAsia="方正小标宋_GBK" w:cs="方正小标宋_GBK"/>
          <w:kern w:val="0"/>
          <w:sz w:val="44"/>
          <w:szCs w:val="44"/>
          <w:highlight w:val="none"/>
          <w:lang w:bidi="ar"/>
        </w:rPr>
      </w:pPr>
      <w:r>
        <w:rPr>
          <w:rFonts w:hint="eastAsia" w:eastAsia="方正小标宋_GBK" w:cs="方正小标宋_GBK"/>
          <w:kern w:val="0"/>
          <w:sz w:val="44"/>
          <w:szCs w:val="44"/>
          <w:highlight w:val="none"/>
          <w:lang w:bidi="ar"/>
        </w:rPr>
        <w:t>2025年生态环境“以奖促治”资金绩效目标表</w:t>
      </w:r>
    </w:p>
    <w:p>
      <w:pPr>
        <w:spacing w:line="594" w:lineRule="exact"/>
        <w:rPr>
          <w:rFonts w:eastAsia="方正小标宋_GBK" w:cs="方正小标宋_GBK"/>
          <w:kern w:val="0"/>
          <w:sz w:val="44"/>
          <w:szCs w:val="44"/>
          <w:highlight w:val="none"/>
          <w:lang w:bidi="ar"/>
        </w:rPr>
      </w:pP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9"/>
        <w:gridCol w:w="1497"/>
        <w:gridCol w:w="1441"/>
        <w:gridCol w:w="570"/>
        <w:gridCol w:w="1598"/>
        <w:gridCol w:w="1141"/>
        <w:gridCol w:w="1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6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涪陵区居民楼油烟污染综合治理项目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所属领域</w:t>
            </w:r>
          </w:p>
        </w:tc>
        <w:tc>
          <w:tcPr>
            <w:tcW w:w="6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大气污染防治领域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市级主管部门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重庆市生态环境局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市级财政部门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重庆市财政局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区县主管部门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涪陵区生态环境局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区县财政部门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具体实施单位</w:t>
            </w:r>
          </w:p>
        </w:tc>
        <w:tc>
          <w:tcPr>
            <w:tcW w:w="6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资金情况（万元）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项目总投资：</w:t>
            </w:r>
          </w:p>
        </w:tc>
        <w:tc>
          <w:tcPr>
            <w:tcW w:w="4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390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其中：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“以奖促治”</w:t>
            </w:r>
            <w:bookmarkStart w:id="0" w:name="_GoBack"/>
            <w:bookmarkEnd w:id="0"/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资金补助金额</w:t>
            </w:r>
          </w:p>
        </w:tc>
        <w:tc>
          <w:tcPr>
            <w:tcW w:w="4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308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其他资金</w:t>
            </w:r>
          </w:p>
        </w:tc>
        <w:tc>
          <w:tcPr>
            <w:tcW w:w="4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总体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目标</w:t>
            </w:r>
          </w:p>
        </w:tc>
        <w:tc>
          <w:tcPr>
            <w:tcW w:w="810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left"/>
              <w:textAlignment w:val="top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目标1：建设50套油烟净化设备和50组公共烟道。目标2：油烟排放浓度≤0.3mg/m³，非甲烷总烃≤5mg/m³。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81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left"/>
              <w:rPr>
                <w:rFonts w:eastAsia="方正仿宋_GBK" w:cs="方正仿宋_GBK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绩效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指标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一级指标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二级指标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三级指标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产出指标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时效指标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是否完成招标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开工时间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2025年9月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sz w:val="24"/>
                <w:highlight w:val="none"/>
              </w:rPr>
              <w:t>数量指标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sz w:val="24"/>
                <w:highlight w:val="none"/>
              </w:rPr>
              <w:t>投资完成率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≥10%</w:t>
            </w:r>
          </w:p>
        </w:tc>
      </w:tr>
    </w:tbl>
    <w:p>
      <w:pPr>
        <w:spacing w:line="594" w:lineRule="exact"/>
        <w:rPr>
          <w:rFonts w:eastAsia="方正黑体_GBK" w:cs="方正黑体_GBK"/>
          <w:kern w:val="0"/>
          <w:sz w:val="28"/>
          <w:szCs w:val="28"/>
          <w:highlight w:val="none"/>
          <w:lang w:bidi="ar"/>
        </w:rPr>
      </w:pPr>
    </w:p>
    <w:p>
      <w:pPr>
        <w:spacing w:line="594" w:lineRule="exact"/>
        <w:rPr>
          <w:rFonts w:eastAsia="方正黑体_GBK" w:cs="方正黑体_GBK"/>
          <w:kern w:val="0"/>
          <w:sz w:val="28"/>
          <w:szCs w:val="28"/>
          <w:highlight w:val="none"/>
          <w:lang w:bidi="ar"/>
        </w:rPr>
      </w:pPr>
      <w:r>
        <w:rPr>
          <w:rFonts w:hint="eastAsia" w:eastAsia="方正黑体_GBK" w:cs="方正黑体_GBK"/>
          <w:kern w:val="0"/>
          <w:sz w:val="28"/>
          <w:szCs w:val="28"/>
          <w:highlight w:val="none"/>
          <w:lang w:bidi="ar"/>
        </w:rPr>
        <w:br w:type="page"/>
      </w:r>
      <w:r>
        <w:rPr>
          <w:rFonts w:hint="eastAsia" w:eastAsia="方正黑体_GBK" w:cs="方正黑体_GBK"/>
          <w:kern w:val="0"/>
          <w:sz w:val="28"/>
          <w:szCs w:val="28"/>
          <w:highlight w:val="none"/>
          <w:lang w:bidi="ar"/>
        </w:rPr>
        <w:t>附件</w:t>
      </w:r>
      <w:r>
        <w:rPr>
          <w:rFonts w:hint="eastAsia" w:eastAsia="方正黑体_GBK" w:cs="方正黑体_GBK"/>
          <w:kern w:val="0"/>
          <w:sz w:val="28"/>
          <w:szCs w:val="28"/>
          <w:highlight w:val="none"/>
          <w:lang w:val="en-US" w:eastAsia="zh-CN" w:bidi="ar"/>
        </w:rPr>
        <w:t>3-1</w:t>
      </w:r>
      <w:r>
        <w:rPr>
          <w:rFonts w:hint="eastAsia" w:eastAsia="方正黑体_GBK" w:cs="方正黑体_GBK"/>
          <w:kern w:val="0"/>
          <w:sz w:val="28"/>
          <w:szCs w:val="28"/>
          <w:highlight w:val="none"/>
          <w:lang w:bidi="ar"/>
        </w:rPr>
        <w:t>-2</w:t>
      </w:r>
    </w:p>
    <w:p>
      <w:pPr>
        <w:spacing w:line="594" w:lineRule="exact"/>
        <w:rPr>
          <w:rFonts w:eastAsia="方正黑体_GBK" w:cs="方正黑体_GBK"/>
          <w:kern w:val="0"/>
          <w:sz w:val="28"/>
          <w:szCs w:val="28"/>
          <w:highlight w:val="none"/>
          <w:lang w:bidi="ar"/>
        </w:rPr>
      </w:pPr>
    </w:p>
    <w:p>
      <w:pPr>
        <w:spacing w:line="594" w:lineRule="exact"/>
        <w:jc w:val="center"/>
        <w:rPr>
          <w:rFonts w:eastAsia="方正小标宋_GBK" w:cs="方正小标宋_GBK"/>
          <w:kern w:val="0"/>
          <w:sz w:val="44"/>
          <w:szCs w:val="44"/>
          <w:highlight w:val="none"/>
          <w:lang w:bidi="ar"/>
        </w:rPr>
      </w:pPr>
      <w:r>
        <w:rPr>
          <w:rFonts w:hint="eastAsia" w:eastAsia="方正小标宋_GBK" w:cs="方正小标宋_GBK"/>
          <w:kern w:val="0"/>
          <w:sz w:val="44"/>
          <w:szCs w:val="44"/>
          <w:highlight w:val="none"/>
          <w:lang w:bidi="ar"/>
        </w:rPr>
        <w:t>2026年生态环境“以奖促治”资金绩效目标表</w:t>
      </w:r>
    </w:p>
    <w:p>
      <w:pPr>
        <w:spacing w:line="594" w:lineRule="exact"/>
        <w:rPr>
          <w:rFonts w:eastAsia="方正小标宋_GBK" w:cs="方正小标宋_GBK"/>
          <w:kern w:val="0"/>
          <w:sz w:val="44"/>
          <w:szCs w:val="44"/>
          <w:highlight w:val="none"/>
          <w:lang w:bidi="ar"/>
        </w:rPr>
      </w:pP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9"/>
        <w:gridCol w:w="1497"/>
        <w:gridCol w:w="1441"/>
        <w:gridCol w:w="570"/>
        <w:gridCol w:w="1598"/>
        <w:gridCol w:w="1141"/>
        <w:gridCol w:w="1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6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涪陵区居民楼油烟污染综合治理项目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所属领域</w:t>
            </w:r>
          </w:p>
        </w:tc>
        <w:tc>
          <w:tcPr>
            <w:tcW w:w="6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大气污染防治领域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市级主管部门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重庆市生态环境局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市级财政部门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重庆市财政局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区县主管部门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涪陵区生态环境局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区县财政部门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具体实施单位</w:t>
            </w:r>
          </w:p>
        </w:tc>
        <w:tc>
          <w:tcPr>
            <w:tcW w:w="6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资金情况（万元）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项目总投资：</w:t>
            </w:r>
          </w:p>
        </w:tc>
        <w:tc>
          <w:tcPr>
            <w:tcW w:w="4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390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其中：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“以奖促治”资金补助金额</w:t>
            </w:r>
          </w:p>
        </w:tc>
        <w:tc>
          <w:tcPr>
            <w:tcW w:w="4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308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其他资金</w:t>
            </w:r>
          </w:p>
        </w:tc>
        <w:tc>
          <w:tcPr>
            <w:tcW w:w="4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总体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目标</w:t>
            </w:r>
          </w:p>
        </w:tc>
        <w:tc>
          <w:tcPr>
            <w:tcW w:w="810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left"/>
              <w:textAlignment w:val="top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目标1：建设50套油烟净化设备和50组公共烟道。目标2：油烟排放浓度≤0.3mg/m³，非甲烷总烃≤5mg/m³。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81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left"/>
              <w:rPr>
                <w:rFonts w:eastAsia="方正仿宋_GBK" w:cs="方正仿宋_GBK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绩效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指标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一级指标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二级指标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三级指标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产出指标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数量指标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安装油烟净化设施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50套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质量指标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油烟排放浓度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≤0.3mg/m³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非甲烷总烃排放浓度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≤5mg/m³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效益指标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社会效益指标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惠及户数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≥488户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生态效益指标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颗粒物减排量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0.8159吨/年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可持续影响指标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设备稳定运行期限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≥10年</w:t>
            </w:r>
          </w:p>
        </w:tc>
      </w:tr>
    </w:tbl>
    <w:p>
      <w:pPr>
        <w:spacing w:line="594" w:lineRule="exact"/>
        <w:rPr>
          <w:rFonts w:hint="default" w:eastAsia="方正黑体_GBK" w:cs="方正黑体_GBK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eastAsia="方正黑体_GBK" w:cs="方正黑体_GBK"/>
          <w:szCs w:val="32"/>
          <w:highlight w:val="none"/>
        </w:rPr>
        <w:br w:type="page"/>
      </w:r>
      <w:r>
        <w:rPr>
          <w:rFonts w:hint="eastAsia" w:eastAsia="方正黑体_GBK" w:cs="方正黑体_GBK"/>
          <w:kern w:val="0"/>
          <w:szCs w:val="32"/>
          <w:highlight w:val="none"/>
          <w:lang w:bidi="ar"/>
        </w:rPr>
        <w:t>附件</w:t>
      </w:r>
      <w:r>
        <w:rPr>
          <w:rFonts w:hint="eastAsia" w:eastAsia="方正黑体_GBK" w:cs="方正黑体_GBK"/>
          <w:kern w:val="0"/>
          <w:szCs w:val="32"/>
          <w:highlight w:val="none"/>
          <w:lang w:val="en-US" w:eastAsia="zh-CN" w:bidi="ar"/>
        </w:rPr>
        <w:t>3-2</w:t>
      </w:r>
    </w:p>
    <w:p>
      <w:pPr>
        <w:spacing w:line="594" w:lineRule="exact"/>
        <w:jc w:val="center"/>
        <w:rPr>
          <w:rFonts w:eastAsia="方正小标宋_GBK" w:cs="方正小标宋_GBK"/>
          <w:kern w:val="0"/>
          <w:sz w:val="44"/>
          <w:szCs w:val="44"/>
          <w:highlight w:val="none"/>
          <w:lang w:bidi="ar"/>
        </w:rPr>
      </w:pPr>
      <w:r>
        <w:rPr>
          <w:rFonts w:hint="eastAsia" w:eastAsia="方正小标宋_GBK" w:cs="方正小标宋_GBK"/>
          <w:kern w:val="0"/>
          <w:sz w:val="44"/>
          <w:szCs w:val="44"/>
          <w:highlight w:val="none"/>
          <w:lang w:bidi="ar"/>
        </w:rPr>
        <w:t>生态环境“以奖促治”资金绩效目标表</w:t>
      </w:r>
    </w:p>
    <w:p>
      <w:pPr>
        <w:spacing w:line="594" w:lineRule="exact"/>
        <w:rPr>
          <w:rFonts w:eastAsia="方正小标宋_GBK" w:cs="方正小标宋_GBK"/>
          <w:kern w:val="0"/>
          <w:sz w:val="36"/>
          <w:szCs w:val="36"/>
          <w:highlight w:val="none"/>
          <w:lang w:bidi="ar"/>
        </w:rPr>
      </w:pP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020"/>
        <w:gridCol w:w="800"/>
        <w:gridCol w:w="1239"/>
        <w:gridCol w:w="1019"/>
        <w:gridCol w:w="1020"/>
        <w:gridCol w:w="1266"/>
        <w:gridCol w:w="22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涪陵区农村环境整治工程实施方案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所属领域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市级主管部门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重庆市生态环境局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市级财政部门</w:t>
            </w:r>
          </w:p>
        </w:tc>
        <w:tc>
          <w:tcPr>
            <w:tcW w:w="3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重庆市财政局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区县主管部门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涪陵区生态环境局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区县财政部门</w:t>
            </w:r>
          </w:p>
        </w:tc>
        <w:tc>
          <w:tcPr>
            <w:tcW w:w="3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涪陵区财政局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具体实施单位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"http://www.baidu.com/link?url=S1p5cyvKFDIZcauyY6UGy9dEIouTIXPSD3Zq9kVVE0FWUMx5NkSxSTVwq8_yHMn_MRjSfODIOQmFVBJZsJn_MVnmhcUxZUS9fpKrpzD1QPjdOQVTTrSNGu9-oI6oPntZN1RTqQObLUZJqWcZH1yW1YpsM1vcDFHeFWaLsDV0q2XiYnwRkqtjZl2CGNF_iov-q75FOTxwFywypq6JYwn5Oa"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1"/>
                <w:rFonts w:hint="eastAsia" w:eastAsia="方正仿宋_GBK" w:cs="方正仿宋_GBK"/>
                <w:sz w:val="24"/>
                <w:highlight w:val="none"/>
              </w:rPr>
              <w:t>涪陵拓源污水治理有限公司</w:t>
            </w:r>
            <w:r>
              <w:rPr>
                <w:rStyle w:val="11"/>
                <w:rFonts w:hint="eastAsia" w:eastAsia="方正仿宋_GBK" w:cs="方正仿宋_GBK"/>
                <w:sz w:val="24"/>
                <w:highlight w:val="none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资金情况（万元）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项目总投资：</w:t>
            </w:r>
          </w:p>
        </w:tc>
        <w:tc>
          <w:tcPr>
            <w:tcW w:w="5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519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其中：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“以奖促治”资金补助金额</w:t>
            </w:r>
          </w:p>
        </w:tc>
        <w:tc>
          <w:tcPr>
            <w:tcW w:w="5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415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其他资金</w:t>
            </w:r>
          </w:p>
        </w:tc>
        <w:tc>
          <w:tcPr>
            <w:tcW w:w="5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总体目标</w:t>
            </w:r>
          </w:p>
        </w:tc>
        <w:tc>
          <w:tcPr>
            <w:tcW w:w="85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目标1：完善处理设施配套管网，做到应收尽收，避免管网不足导致处理设施运行负荷低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目标2：居民点污水得到治理，生活污水开展资源化利用或水质达到《农村生活污水集中处理设施污染物排放标准》（DB50/848-2021）</w:t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目标3：农村生活污水治理率得到提升，农村人居环境得到极大改善。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绩效指标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一级指标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二级指标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三级指标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产出指标</w:t>
            </w:r>
          </w:p>
        </w:tc>
        <w:tc>
          <w:tcPr>
            <w:tcW w:w="22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数量指标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完成环境整治（污水治理）的行政村数量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5个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新改建农村生活污水处理设施建设数量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8个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新建污水管网数量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8093m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覆盖农村户数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389户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质量指标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项目验收合格率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完成环境整治的行政村污水治理率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≥70%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  <w:highlight w:val="none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时效指标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建设周期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  <w:highlight w:val="none"/>
              </w:rPr>
            </w:pPr>
            <w:r>
              <w:rPr>
                <w:rFonts w:hint="eastAsia" w:eastAsia="方正仿宋_GBK" w:cs="方正仿宋_GBK"/>
                <w:kern w:val="0"/>
                <w:sz w:val="24"/>
                <w:highlight w:val="none"/>
                <w:lang w:bidi="ar"/>
              </w:rPr>
              <w:t>自开工至竣工12个月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完工时间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2025年12月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总投资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不高于519万元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运行成本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不高于8万元/年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22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经济效益指标</w:t>
            </w:r>
          </w:p>
        </w:tc>
        <w:tc>
          <w:tcPr>
            <w:tcW w:w="2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单位污水处理占地面积（平方米/立方米）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2.83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单位污水处理建设成本（元/立方米）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14862.03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单位污水处理综合成本（元/立方米）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0.3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单位污水处理电耗（千瓦时/吨）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0.5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服务辖区企业及居民覆盖率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≥90%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生态效益指标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污染物削减量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COD消减3.49吨/年，SS削减4.72吨/年，NH3-N削减0.45吨/年；TP削减0.02吨/年。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新增农村生活污水处理能力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49吨/天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污水设施正常运行率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22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2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群众满意度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≥90%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 w:cs="方正仿宋_GBK"/>
                <w:sz w:val="24"/>
              </w:rPr>
            </w:pPr>
          </w:p>
        </w:tc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 w:cs="方正仿宋_GBK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2098" w:right="1474" w:bottom="1984" w:left="1588" w:header="851" w:footer="1474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à.ā">
    <w:altName w:val="方正楷体_GBK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78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52"/>
    <w:rsid w:val="000B265F"/>
    <w:rsid w:val="00217652"/>
    <w:rsid w:val="007655E6"/>
    <w:rsid w:val="007A1CBE"/>
    <w:rsid w:val="008E5F7C"/>
    <w:rsid w:val="00BB3945"/>
    <w:rsid w:val="00DF0569"/>
    <w:rsid w:val="00E9769D"/>
    <w:rsid w:val="2BDD2C9F"/>
    <w:rsid w:val="6F1F901D"/>
    <w:rsid w:val="733B1409"/>
    <w:rsid w:val="79B3F1E7"/>
    <w:rsid w:val="7DDF426F"/>
    <w:rsid w:val="7F2E3BC3"/>
    <w:rsid w:val="7F67C0B4"/>
    <w:rsid w:val="EEF751D0"/>
    <w:rsid w:val="FCFCFF11"/>
    <w:rsid w:val="FE3BD9B9"/>
    <w:rsid w:val="FFEF54EB"/>
    <w:rsid w:val="FFEFB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 w:eastAsia="楷体_GB2312"/>
      <w:szCs w:val="32"/>
    </w:rPr>
  </w:style>
  <w:style w:type="paragraph" w:styleId="3">
    <w:name w:val="heading 4"/>
    <w:basedOn w:val="2"/>
    <w:next w:val="1"/>
    <w:link w:val="15"/>
    <w:qFormat/>
    <w:uiPriority w:val="0"/>
    <w:pPr>
      <w:outlineLvl w:val="3"/>
    </w:pPr>
    <w:rPr>
      <w:rFonts w:eastAsia="仿宋_GB2312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5">
    <w:name w:val="Body Text Indent"/>
    <w:basedOn w:val="1"/>
    <w:link w:val="35"/>
    <w:qFormat/>
    <w:uiPriority w:val="0"/>
    <w:pPr>
      <w:ind w:firstLine="626"/>
    </w:pPr>
    <w:rPr>
      <w:rFonts w:ascii="仿宋_GB2312"/>
      <w:bCs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标题 2 Char"/>
    <w:basedOn w:val="9"/>
    <w:link w:val="2"/>
    <w:qFormat/>
    <w:uiPriority w:val="0"/>
    <w:rPr>
      <w:rFonts w:ascii="Cambria" w:hAnsi="Cambria" w:eastAsia="楷体_GB2312" w:cs="Times New Roman"/>
      <w:sz w:val="32"/>
      <w:szCs w:val="32"/>
    </w:rPr>
  </w:style>
  <w:style w:type="character" w:customStyle="1" w:styleId="15">
    <w:name w:val="标题 4 Char"/>
    <w:basedOn w:val="9"/>
    <w:link w:val="3"/>
    <w:qFormat/>
    <w:uiPriority w:val="0"/>
    <w:rPr>
      <w:rFonts w:ascii="Cambria" w:hAnsi="Cambria" w:eastAsia="仿宋_GB2312" w:cs="Times New Roman"/>
      <w:b/>
      <w:bCs/>
      <w:sz w:val="28"/>
      <w:szCs w:val="28"/>
    </w:rPr>
  </w:style>
  <w:style w:type="character" w:customStyle="1" w:styleId="16">
    <w:name w:val="font121"/>
    <w:basedOn w:val="9"/>
    <w:qFormat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7">
    <w:name w:val="font132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7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9">
    <w:name w:val="font142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0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1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24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4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1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01"/>
    <w:qFormat/>
    <w:uiPriority w:val="0"/>
    <w:rPr>
      <w:rFonts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27">
    <w:name w:val="font1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8">
    <w:name w:val="文档结构图 Char"/>
    <w:link w:val="4"/>
    <w:qFormat/>
    <w:uiPriority w:val="0"/>
    <w:rPr>
      <w:rFonts w:ascii="宋体"/>
      <w:sz w:val="18"/>
      <w:szCs w:val="18"/>
    </w:rPr>
  </w:style>
  <w:style w:type="character" w:customStyle="1" w:styleId="29">
    <w:name w:val="font10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30">
    <w:name w:val="font9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122"/>
    <w:basedOn w:val="9"/>
    <w:qFormat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32">
    <w:name w:val="font1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文档结构图 字符1"/>
    <w:basedOn w:val="9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35">
    <w:name w:val="正文文本缩进 Char"/>
    <w:basedOn w:val="9"/>
    <w:link w:val="5"/>
    <w:qFormat/>
    <w:uiPriority w:val="0"/>
    <w:rPr>
      <w:rFonts w:ascii="仿宋_GB2312" w:hAnsi="Times New Roman" w:eastAsia="仿宋_GB2312" w:cs="Times New Roman"/>
      <w:bCs/>
      <w:sz w:val="32"/>
      <w:szCs w:val="24"/>
    </w:rPr>
  </w:style>
  <w:style w:type="paragraph" w:customStyle="1" w:styleId="36">
    <w:name w:val="Char Char1 Char"/>
    <w:basedOn w:val="1"/>
    <w:qFormat/>
    <w:uiPriority w:val="0"/>
    <w:rPr>
      <w:rFonts w:ascii="Calibri" w:hAnsi="Calibri" w:eastAsia="宋体"/>
      <w:sz w:val="21"/>
      <w:szCs w:val="21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Calibri" w:eastAsia="楷体à.ā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4074</Words>
  <Characters>23223</Characters>
  <Lines>193</Lines>
  <Paragraphs>54</Paragraphs>
  <TotalTime>142</TotalTime>
  <ScaleCrop>false</ScaleCrop>
  <LinksUpToDate>false</LinksUpToDate>
  <CharactersWithSpaces>27243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2025-07-07T12:29:00Z</dcterms:created>
  <dc:creator>dell</dc:creator>
  <cp:lastModifiedBy>Administrator</cp:lastModifiedBy>
  <cp:lastPrinted>2025-08-14T04:12:00Z</cp:lastPrinted>
  <dcterms:modified xsi:type="dcterms:W3CDTF">2025-08-14T06:11:28Z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