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Times New Roman" w:hAnsi="Times New Roman" w:eastAsia="方正黑体_GBK" w:cs="方正黑体_GBK"/>
          <w:lang w:val="en-US" w:eastAsia="zh-CN"/>
        </w:rPr>
      </w:pPr>
      <w:bookmarkStart w:id="0" w:name="_GoBack"/>
      <w:bookmarkEnd w:id="0"/>
      <w:r>
        <w:rPr>
          <w:rFonts w:hint="eastAsia" w:ascii="Times New Roman" w:hAnsi="Times New Roman" w:eastAsia="方正黑体_GBK" w:cs="方正黑体_GBK"/>
          <w:lang w:eastAsia="zh-CN"/>
        </w:rPr>
        <w:t>附件</w:t>
      </w:r>
      <w:r>
        <w:rPr>
          <w:rFonts w:hint="eastAsia" w:eastAsia="方正黑体_GBK" w:cs="方正黑体_GBK"/>
          <w:lang w:val="en-US" w:eastAsia="zh-CN"/>
        </w:rPr>
        <w:t>1</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Times New Roman" w:hAnsi="Times New Roman" w:eastAsia="方正黑体_GBK" w:cs="方正黑体_GBK"/>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中央大气污染防治资金支持项目表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方正小标宋_GBK" w:cs="方正小标宋_GBK"/>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outlineLvl w:val="9"/>
        <w:rPr>
          <w:rFonts w:hint="eastAsia" w:ascii="Times New Roman" w:hAnsi="Times New Roman"/>
          <w:lang w:eastAsia="zh-CN"/>
        </w:rPr>
      </w:pPr>
      <w:r>
        <w:rPr>
          <w:rFonts w:hint="eastAsia" w:ascii="Times New Roman" w:hAnsi="Times New Roman" w:eastAsia="方正仿宋_GBK" w:cs="方正仿宋_GBK"/>
          <w:b w:val="0"/>
          <w:bCs w:val="0"/>
          <w:sz w:val="28"/>
          <w:szCs w:val="28"/>
        </w:rPr>
        <w:t>单位：万元</w:t>
      </w:r>
      <w:r>
        <w:rPr>
          <w:rFonts w:hint="eastAsia" w:ascii="Times New Roman" w:hAnsi="Times New Roman" w:eastAsia="方正仿宋_GBK" w:cs="方正仿宋_GBK"/>
          <w:b w:val="0"/>
          <w:bCs w:val="0"/>
          <w:sz w:val="28"/>
          <w:szCs w:val="28"/>
          <w:lang w:val="en-US" w:eastAsia="zh-CN"/>
        </w:rPr>
        <w:t xml:space="preserve">  </w:t>
      </w:r>
    </w:p>
    <w:tbl>
      <w:tblPr>
        <w:tblStyle w:val="10"/>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800"/>
        <w:gridCol w:w="575"/>
        <w:gridCol w:w="750"/>
        <w:gridCol w:w="867"/>
        <w:gridCol w:w="1258"/>
        <w:gridCol w:w="4982"/>
        <w:gridCol w:w="973"/>
        <w:gridCol w:w="872"/>
        <w:gridCol w:w="99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项目编号</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项目类型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区县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承担单位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项目名称</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建设内容与规模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总投资</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申请中央资金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本次支持中央资金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方正黑体_GBK" w:cs="Times New Roman"/>
                <w:i w:val="0"/>
                <w:iCs w:val="0"/>
                <w:color w:val="000000"/>
                <w:sz w:val="16"/>
                <w:szCs w:val="16"/>
                <w:u w:val="none"/>
              </w:rPr>
            </w:pPr>
          </w:p>
        </w:tc>
        <w:tc>
          <w:tcPr>
            <w:tcW w:w="42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合计</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方正黑体_GBK" w:cs="Times New Roman"/>
                <w:i w:val="0"/>
                <w:iCs w:val="0"/>
                <w:color w:val="000000"/>
                <w:sz w:val="16"/>
                <w:szCs w:val="16"/>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kern w:val="0"/>
                <w:sz w:val="16"/>
                <w:szCs w:val="16"/>
                <w:u w:val="none"/>
                <w:lang w:val="en-US" w:eastAsia="zh-CN" w:bidi="ar"/>
              </w:rPr>
            </w:pPr>
            <w:r>
              <w:rPr>
                <w:rFonts w:hint="eastAsia" w:ascii="Times New Roman" w:hAnsi="Times New Roman" w:eastAsia="方正仿宋_GBK" w:cs="Times New Roman"/>
                <w:i w:val="0"/>
                <w:iCs w:val="0"/>
                <w:color w:val="000000"/>
                <w:kern w:val="0"/>
                <w:sz w:val="16"/>
                <w:szCs w:val="16"/>
                <w:u w:val="none"/>
                <w:lang w:val="en-US" w:eastAsia="zh-CN" w:bidi="ar"/>
              </w:rPr>
              <w:t>4903.34</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kern w:val="0"/>
                <w:sz w:val="16"/>
                <w:szCs w:val="16"/>
                <w:u w:val="none"/>
                <w:lang w:val="en-US" w:eastAsia="zh-CN" w:bidi="ar"/>
              </w:rPr>
            </w:pPr>
            <w:r>
              <w:rPr>
                <w:rFonts w:hint="eastAsia" w:ascii="Times New Roman" w:hAnsi="Times New Roman" w:eastAsia="方正仿宋_GBK" w:cs="Times New Roman"/>
                <w:i w:val="0"/>
                <w:iCs w:val="0"/>
                <w:color w:val="000000"/>
                <w:kern w:val="0"/>
                <w:sz w:val="16"/>
                <w:szCs w:val="16"/>
                <w:u w:val="none"/>
                <w:lang w:val="en-US" w:eastAsia="zh-CN" w:bidi="ar"/>
              </w:rPr>
              <w:t>1645.17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kern w:val="0"/>
                <w:sz w:val="16"/>
                <w:szCs w:val="16"/>
                <w:u w:val="none"/>
                <w:lang w:val="en-US" w:eastAsia="zh-CN" w:bidi="ar"/>
              </w:rPr>
            </w:pPr>
            <w:r>
              <w:rPr>
                <w:rFonts w:hint="eastAsia" w:ascii="Times New Roman" w:hAnsi="Times New Roman" w:eastAsia="方正仿宋_GBK" w:cs="Times New Roman"/>
                <w:i w:val="0"/>
                <w:iCs w:val="0"/>
                <w:color w:val="000000"/>
                <w:kern w:val="0"/>
                <w:sz w:val="16"/>
                <w:szCs w:val="16"/>
                <w:u w:val="none"/>
                <w:lang w:val="en-US" w:eastAsia="zh-CN" w:bidi="ar"/>
              </w:rPr>
              <w:t>1645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方正黑体_GBK"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eastAsia" w:cs="Times New Roman"/>
                <w:i w:val="0"/>
                <w:iCs w:val="0"/>
                <w:color w:val="000000"/>
                <w:kern w:val="0"/>
                <w:sz w:val="16"/>
                <w:szCs w:val="16"/>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2025500102Q1-2020006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涪陵区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华新水泥重庆涪陵有限公司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华新水泥重庆涪陵有限公司窑头电收尘改造及皮带输送扬尘治理项目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对现有窑头电除尘系统和转运设施进行升级改造，进一步满足《关于推进实施水泥行业超低排放的意见》（环大气〔2024〕5号）小于10mg/Nm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的超低排放目标。在保持现有生产规模、工艺路线、厂址占地不变的基础上，经过本次改造，烟尘（有组织）排放浓度由≤10mg/Nm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降低至≤8mg/Nm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342.34</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171.17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171.00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eastAsia" w:ascii="Times New Roman" w:hAnsi="Times New Roman" w:eastAsia="宋体" w:cs="Times New Roman"/>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eastAsia" w:cs="Times New Roman"/>
                <w:i w:val="0"/>
                <w:iCs w:val="0"/>
                <w:color w:val="000000"/>
                <w:kern w:val="0"/>
                <w:sz w:val="16"/>
                <w:szCs w:val="16"/>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2025500102Q1-1101110002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涪陵区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重庆东攀碳材料科技有限公司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重庆东攀碳材料科技有限公司阳极焙烧车间治理提升改造</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重庆东攀碳材料科技有限公司阳极焙烧车间原装卸填充料工序采用抓斗 转运的方式装卸料，粉尘采用喷雾措施进行抑尘。项目技改后对生产环保 设备进行更新和优化，改造后采用移动式自动吸料天车，自动吸料天车附 带粉尘收集和除尘装置（旋风除尘+布袋除尘）。改造后颗粒物排放量可 削减 80.8t/a。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1120.00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224.00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224.00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eastAsia" w:cs="Times New Roman"/>
                <w:i w:val="0"/>
                <w:iCs w:val="0"/>
                <w:color w:val="000000"/>
                <w:kern w:val="0"/>
                <w:sz w:val="16"/>
                <w:szCs w:val="16"/>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2025500102Q1-110110001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涪陵区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重庆市涪陵区三峰环保发电有限公司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重庆市涪陵区三峰环保发电有限公司 烟气氮氧化物提标改造工程项目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2×500t/d垃圾焚烧项目配套烟气脱硝提标升级改造，新增2套中温选择性催化还原脱硝系统（中温SCR系统），将现有的烟气氮氧化物排放限值由现状日均限值250 mg/Nm3提升到100 mg/Nm3,小时均限值300mg/Nm3提升到120 mg/Nm3。</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3441.00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1250.00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1250.00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bl>
    <w:p/>
    <w:sectPr>
      <w:footerReference r:id="rId3" w:type="default"/>
      <w:footerReference r:id="rId4" w:type="even"/>
      <w:pgSz w:w="16838" w:h="11906" w:orient="landscape"/>
      <w:pgMar w:top="1531" w:right="2098" w:bottom="1531" w:left="1984" w:header="850" w:footer="1474" w:gutter="0"/>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val="en-US" w:eastAsia="zh-CN"/>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r>
      <w:rPr>
        <w:rFonts w:hint="eastAsia" w:ascii="宋体" w:hAnsi="宋体" w:eastAsia="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B0711"/>
    <w:multiLevelType w:val="multilevel"/>
    <w:tmpl w:val="21BB0711"/>
    <w:lvl w:ilvl="0" w:tentative="0">
      <w:start w:val="1"/>
      <w:numFmt w:val="decimal"/>
      <w:pStyle w:val="2"/>
      <w:lvlText w:val="附表%1"/>
      <w:lvlJc w:val="left"/>
      <w:pPr>
        <w:tabs>
          <w:tab w:val="left" w:pos="420"/>
        </w:tabs>
        <w:ind w:left="1265" w:hanging="425"/>
      </w:pPr>
      <w:rPr>
        <w:rFonts w:hint="default" w:ascii="方正黑体_GBK" w:hAnsi="方正黑体_GBK" w:eastAsia="方正黑体_GBK" w:cs="方正黑体_GBK"/>
      </w:rPr>
    </w:lvl>
    <w:lvl w:ilvl="1" w:tentative="0">
      <w:start w:val="1"/>
      <w:numFmt w:val="decimal"/>
      <w:lvlText w:val="附表%1"/>
      <w:lvlJc w:val="left"/>
      <w:pPr>
        <w:tabs>
          <w:tab w:val="left" w:pos="420"/>
        </w:tabs>
        <w:ind w:left="1680" w:hanging="425"/>
      </w:pPr>
      <w:rPr>
        <w:rFonts w:hint="default" w:ascii="方正黑体_GBK" w:hAnsi="方正黑体_GBK" w:eastAsia="方正黑体_GBK" w:cs="方正黑体_GBK"/>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E7FBB"/>
    <w:rsid w:val="1A32226A"/>
    <w:rsid w:val="1F482739"/>
    <w:rsid w:val="1F744C9F"/>
    <w:rsid w:val="32FB6081"/>
    <w:rsid w:val="38A40FB5"/>
    <w:rsid w:val="50DF412B"/>
    <w:rsid w:val="54EE51A5"/>
    <w:rsid w:val="553D4E39"/>
    <w:rsid w:val="57D33E2C"/>
    <w:rsid w:val="58450C13"/>
    <w:rsid w:val="5B172CDF"/>
    <w:rsid w:val="70BF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3"/>
    <w:qFormat/>
    <w:uiPriority w:val="0"/>
    <w:pPr>
      <w:numPr>
        <w:ilvl w:val="0"/>
        <w:numId w:val="1"/>
      </w:numPr>
      <w:spacing w:line="560" w:lineRule="exact"/>
      <w:ind w:left="425" w:hanging="425"/>
      <w:jc w:val="left"/>
      <w:outlineLvl w:val="0"/>
    </w:pPr>
    <w:rPr>
      <w:rFonts w:eastAsia="方正黑体_GBK"/>
      <w:sz w:val="32"/>
      <w:szCs w:val="32"/>
    </w:rPr>
  </w:style>
  <w:style w:type="paragraph" w:styleId="3">
    <w:name w:val="heading 2"/>
    <w:basedOn w:val="2"/>
    <w:next w:val="1"/>
    <w:unhideWhenUsed/>
    <w:qFormat/>
    <w:uiPriority w:val="0"/>
    <w:pPr>
      <w:keepNext/>
      <w:keepLines/>
      <w:spacing w:beforeLines="0" w:beforeAutospacing="0" w:afterLines="0" w:afterAutospacing="0" w:line="360" w:lineRule="auto"/>
      <w:ind w:firstLine="210" w:firstLineChars="100"/>
      <w:outlineLvl w:val="1"/>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widowControl w:val="0"/>
      <w:autoSpaceDE w:val="0"/>
      <w:autoSpaceDN w:val="0"/>
      <w:adjustRightInd w:val="0"/>
      <w:spacing w:line="288" w:lineRule="auto"/>
      <w:ind w:left="1260" w:hanging="420"/>
      <w:jc w:val="both"/>
      <w:textAlignment w:val="baseline"/>
    </w:pPr>
    <w:rPr>
      <w:rFonts w:ascii="Calibri" w:hAnsi="Calibri" w:eastAsia="仿宋" w:cs="宋体"/>
      <w:kern w:val="2"/>
      <w:sz w:val="21"/>
      <w:szCs w:val="20"/>
      <w:lang w:val="en-US" w:eastAsia="zh-CN" w:bidi="ar-SA"/>
    </w:rPr>
  </w:style>
  <w:style w:type="paragraph" w:styleId="5">
    <w:name w:val="Normal Indent"/>
    <w:basedOn w:val="1"/>
    <w:next w:val="1"/>
    <w:qFormat/>
    <w:uiPriority w:val="0"/>
    <w:pPr>
      <w:adjustRightInd w:val="0"/>
      <w:ind w:firstLine="420"/>
      <w:textAlignment w:val="baseline"/>
    </w:pPr>
    <w:rPr>
      <w:rFonts w:ascii="Times New Roman" w:hAnsi="Times New Roman"/>
      <w:szCs w:val="20"/>
    </w:rPr>
  </w:style>
  <w:style w:type="paragraph" w:styleId="6">
    <w:name w:val="toa heading"/>
    <w:basedOn w:val="1"/>
    <w:next w:val="1"/>
    <w:qFormat/>
    <w:uiPriority w:val="0"/>
    <w:pPr>
      <w:spacing w:before="120"/>
    </w:pPr>
    <w:rPr>
      <w:rFonts w:ascii="Arial" w:hAnsi="Arial" w:cs="Arial"/>
    </w:rPr>
  </w:style>
  <w:style w:type="paragraph" w:styleId="7">
    <w:name w:val="Body Text"/>
    <w:basedOn w:val="1"/>
    <w:next w:val="8"/>
    <w:qFormat/>
    <w:uiPriority w:val="0"/>
    <w:pPr>
      <w:spacing w:after="120" w:afterLines="0" w:afterAutospacing="0"/>
    </w:pPr>
  </w:style>
  <w:style w:type="paragraph" w:customStyle="1" w:styleId="8">
    <w:name w:val="Default"/>
    <w:next w:val="4"/>
    <w:qFormat/>
    <w:uiPriority w:val="0"/>
    <w:pPr>
      <w:widowControl w:val="0"/>
      <w:autoSpaceDE w:val="0"/>
      <w:autoSpaceDN w:val="0"/>
      <w:adjustRightInd w:val="0"/>
    </w:pPr>
    <w:rPr>
      <w:rFonts w:ascii="楷体_GB2312" w:hAnsi="等线" w:eastAsia="楷体_GB2312" w:cs="楷体_GB2312"/>
      <w:color w:val="000000"/>
      <w:kern w:val="0"/>
      <w:sz w:val="24"/>
      <w:szCs w:val="24"/>
      <w:lang w:val="en-US" w:eastAsia="zh-CN" w:bidi="ar-SA"/>
    </w:rPr>
  </w:style>
  <w:style w:type="paragraph" w:styleId="9">
    <w:name w:val="footer"/>
    <w:basedOn w:val="1"/>
    <w:qFormat/>
    <w:uiPriority w:val="99"/>
    <w:pPr>
      <w:tabs>
        <w:tab w:val="center" w:pos="4153"/>
        <w:tab w:val="right" w:pos="8306"/>
      </w:tabs>
      <w:snapToGrid w:val="0"/>
      <w:jc w:val="left"/>
    </w:pPr>
    <w:rPr>
      <w:sz w:val="18"/>
    </w:rPr>
  </w:style>
  <w:style w:type="table" w:styleId="11">
    <w:name w:val="Table Grid"/>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font31"/>
    <w:basedOn w:val="12"/>
    <w:qFormat/>
    <w:uiPriority w:val="0"/>
    <w:rPr>
      <w:rFonts w:hint="eastAsia" w:ascii="方正黑体_GBK" w:hAnsi="方正黑体_GBK" w:eastAsia="方正黑体_GBK" w:cs="方正黑体_GBK"/>
      <w:color w:val="000000"/>
      <w:sz w:val="26"/>
      <w:szCs w:val="26"/>
      <w:u w:val="none"/>
    </w:rPr>
  </w:style>
  <w:style w:type="character" w:customStyle="1" w:styleId="15">
    <w:name w:val="font51"/>
    <w:basedOn w:val="12"/>
    <w:qFormat/>
    <w:uiPriority w:val="0"/>
    <w:rPr>
      <w:rFonts w:hint="eastAsia" w:ascii="方正仿宋_GBK" w:hAnsi="方正仿宋_GBK" w:eastAsia="方正仿宋_GBK" w:cs="方正仿宋_GBK"/>
      <w:color w:val="000000"/>
      <w:sz w:val="16"/>
      <w:szCs w:val="16"/>
      <w:u w:val="none"/>
    </w:rPr>
  </w:style>
  <w:style w:type="character" w:customStyle="1" w:styleId="16">
    <w:name w:val="font1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样式 正文缩进正文缩进2正文缩进 Char Char正文缩进 Char Char Char Char正文缩进 Char ..."/>
    <w:basedOn w:val="5"/>
    <w:qFormat/>
    <w:uiPriority w:val="0"/>
    <w:pPr>
      <w:ind w:firstLine="200"/>
    </w:pPr>
    <w:rPr>
      <w:rFonts w:cs="宋体"/>
      <w:sz w:val="24"/>
    </w:rPr>
  </w:style>
  <w:style w:type="paragraph" w:customStyle="1" w:styleId="18">
    <w:name w:val="标题1"/>
    <w:basedOn w:val="1"/>
    <w:next w:val="1"/>
    <w:qFormat/>
    <w:uiPriority w:val="0"/>
    <w:pPr>
      <w:tabs>
        <w:tab w:val="left" w:pos="9193"/>
        <w:tab w:val="left" w:pos="9827"/>
      </w:tabs>
      <w:autoSpaceDE w:val="0"/>
      <w:autoSpaceDN w:val="0"/>
      <w:spacing w:line="600" w:lineRule="exact"/>
    </w:pPr>
    <w:rPr>
      <w:rFonts w:ascii="Times New Roman" w:hAnsi="Times New Roman" w:eastAsia="方正小标宋_GBK"/>
      <w:sz w:val="28"/>
      <w:szCs w:val="28"/>
    </w:rPr>
  </w:style>
  <w:style w:type="table" w:customStyle="1" w:styleId="19">
    <w:name w:val="Table Normal"/>
    <w:unhideWhenUsed/>
    <w:qFormat/>
    <w:uiPriority w:val="0"/>
    <w:tblPr>
      <w:tblCellMar>
        <w:top w:w="0" w:type="dxa"/>
        <w:left w:w="0" w:type="dxa"/>
        <w:bottom w:w="0" w:type="dxa"/>
        <w:right w:w="0" w:type="dxa"/>
      </w:tblCellMar>
    </w:tblPr>
  </w:style>
  <w:style w:type="paragraph" w:styleId="20">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2025-12-19T07:16:00Z</dcterms:created>
  <dc:creator>Administrator</dc:creator>
  <cp:lastModifiedBy>Administrator</cp:lastModifiedBy>
  <cp:lastPrinted>2025-12-30T09:24:45Z</cp:lastPrinted>
  <dcterms:modified xsi:type="dcterms:W3CDTF">2025-12-30T09:25:02Z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