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hint="default" w:ascii="Times New Roman" w:hAnsi="Times New Roman" w:eastAsia="方正仿宋_GBK" w:cs="Times New Roman"/>
          <w:bCs/>
          <w:kern w:val="2"/>
          <w:sz w:val="21"/>
          <w:szCs w:val="21"/>
          <w:lang w:val="en-US" w:eastAsia="zh-CN" w:bidi="ar-SA"/>
        </w:rPr>
      </w:pPr>
      <w:bookmarkStart w:id="0" w:name="_GoBack"/>
      <w:bookmarkEnd w:id="0"/>
      <w:r>
        <w:rPr>
          <w:rFonts w:hint="eastAsia" w:ascii="Times New Roman" w:hAnsi="Times New Roman" w:eastAsia="方正黑体_GBK" w:cs="方正黑体_GBK"/>
          <w:sz w:val="32"/>
          <w:szCs w:val="32"/>
          <w:lang w:eastAsia="zh-CN"/>
        </w:rPr>
        <w:t>附件</w:t>
      </w:r>
      <w:r>
        <w:rPr>
          <w:rFonts w:hint="eastAsia" w:eastAsia="方正黑体_GBK" w:cs="方正黑体_GBK"/>
          <w:sz w:val="32"/>
          <w:szCs w:val="32"/>
          <w:lang w:val="en-US" w:eastAsia="zh-CN"/>
        </w:rPr>
        <w:t>3</w:t>
      </w:r>
    </w:p>
    <w:p>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中央大气污染防治资金项目绩效目标表（</w:t>
      </w:r>
      <w:r>
        <w:rPr>
          <w:rFonts w:hint="eastAsia" w:cs="方正小标宋_GBK"/>
          <w:bCs/>
          <w:kern w:val="2"/>
          <w:sz w:val="32"/>
          <w:szCs w:val="32"/>
          <w:lang w:val="en-US" w:eastAsia="zh-CN" w:bidi="ar-SA"/>
        </w:rPr>
        <w:t>1</w:t>
      </w:r>
      <w:r>
        <w:rPr>
          <w:rFonts w:hint="eastAsia" w:ascii="Times New Roman" w:hAnsi="Times New Roman" w:eastAsia="方正小标宋_GBK" w:cs="方正小标宋_GBK"/>
          <w:bCs/>
          <w:kern w:val="2"/>
          <w:sz w:val="32"/>
          <w:szCs w:val="32"/>
          <w:lang w:val="en-US" w:eastAsia="zh-CN" w:bidi="ar-SA"/>
        </w:rPr>
        <w:t>）</w:t>
      </w:r>
    </w:p>
    <w:tbl>
      <w:tblPr>
        <w:tblStyle w:val="10"/>
        <w:tblW w:w="9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08"/>
        <w:gridCol w:w="1570"/>
        <w:gridCol w:w="1269"/>
        <w:gridCol w:w="927"/>
        <w:gridCol w:w="36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项目名称</w:t>
            </w:r>
          </w:p>
        </w:tc>
        <w:tc>
          <w:tcPr>
            <w:tcW w:w="746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窑头电收尘改造及皮带输送扬尘治理项目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所属专项</w:t>
            </w:r>
          </w:p>
        </w:tc>
        <w:tc>
          <w:tcPr>
            <w:tcW w:w="746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大气污染防治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中央主管部门</w:t>
            </w:r>
          </w:p>
        </w:tc>
        <w:tc>
          <w:tcPr>
            <w:tcW w:w="283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生态环境部</w:t>
            </w:r>
          </w:p>
        </w:tc>
        <w:tc>
          <w:tcPr>
            <w:tcW w:w="9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省级财政部门</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省级主管部门</w:t>
            </w:r>
          </w:p>
        </w:tc>
        <w:tc>
          <w:tcPr>
            <w:tcW w:w="283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重庆市生态环境局</w:t>
            </w:r>
          </w:p>
        </w:tc>
        <w:tc>
          <w:tcPr>
            <w:tcW w:w="9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具体实施单位</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华新水泥重庆涪陵有限公司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15"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资金情况</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（万元）</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项目总投资</w:t>
            </w:r>
          </w:p>
        </w:tc>
        <w:tc>
          <w:tcPr>
            <w:tcW w:w="589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342.34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其中：中央财政资金</w:t>
            </w:r>
          </w:p>
        </w:tc>
        <w:tc>
          <w:tcPr>
            <w:tcW w:w="589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171.17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15"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地方财政资金</w:t>
            </w:r>
          </w:p>
        </w:tc>
        <w:tc>
          <w:tcPr>
            <w:tcW w:w="589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15"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其他资金</w:t>
            </w:r>
          </w:p>
        </w:tc>
        <w:tc>
          <w:tcPr>
            <w:tcW w:w="589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171.17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总</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体</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目</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tc>
        <w:tc>
          <w:tcPr>
            <w:tcW w:w="847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both"/>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对现有窑头电除尘系统和</w:t>
            </w:r>
            <w:r>
              <w:rPr>
                <w:rFonts w:hint="default" w:ascii="Times New Roman" w:hAnsi="Times New Roman" w:eastAsia="方正仿宋_GBK" w:cs="Times New Roman"/>
                <w:kern w:val="0"/>
                <w:sz w:val="21"/>
                <w:szCs w:val="21"/>
                <w:lang w:val="en-US" w:eastAsia="zh-CN"/>
              </w:rPr>
              <w:t>转运设施</w:t>
            </w:r>
            <w:r>
              <w:rPr>
                <w:rFonts w:hint="default" w:ascii="Times New Roman" w:hAnsi="Times New Roman" w:eastAsia="方正仿宋_GBK" w:cs="Times New Roman"/>
                <w:kern w:val="0"/>
                <w:sz w:val="21"/>
                <w:szCs w:val="21"/>
              </w:rPr>
              <w:t>进行</w:t>
            </w:r>
            <w:r>
              <w:rPr>
                <w:rFonts w:hint="default" w:ascii="Times New Roman" w:hAnsi="Times New Roman" w:eastAsia="方正仿宋_GBK" w:cs="Times New Roman"/>
                <w:kern w:val="0"/>
                <w:sz w:val="21"/>
                <w:szCs w:val="21"/>
                <w:lang w:val="en-US" w:eastAsia="zh-CN"/>
              </w:rPr>
              <w:t>升级</w:t>
            </w:r>
            <w:r>
              <w:rPr>
                <w:rFonts w:hint="default" w:ascii="Times New Roman" w:hAnsi="Times New Roman" w:eastAsia="方正仿宋_GBK" w:cs="Times New Roman"/>
                <w:kern w:val="0"/>
                <w:sz w:val="21"/>
                <w:szCs w:val="21"/>
              </w:rPr>
              <w:t>改造，</w:t>
            </w:r>
            <w:r>
              <w:rPr>
                <w:rFonts w:hint="default" w:ascii="Times New Roman" w:hAnsi="Times New Roman" w:eastAsia="方正仿宋_GBK" w:cs="Times New Roman"/>
                <w:kern w:val="0"/>
                <w:sz w:val="21"/>
                <w:szCs w:val="21"/>
                <w:lang w:val="en-US" w:eastAsia="zh-CN"/>
              </w:rPr>
              <w:t>进一步满足</w:t>
            </w:r>
            <w:r>
              <w:rPr>
                <w:rFonts w:hint="default" w:ascii="Times New Roman" w:hAnsi="Times New Roman" w:eastAsia="方正仿宋_GBK" w:cs="Times New Roman"/>
                <w:kern w:val="0"/>
                <w:sz w:val="21"/>
                <w:szCs w:val="21"/>
                <w:lang w:eastAsia="zh-CN"/>
              </w:rPr>
              <w:t>《关于推进实施水泥行业超低排放的意见》（环大气〔2024〕5号）</w:t>
            </w:r>
            <w:r>
              <w:rPr>
                <w:rFonts w:hint="default" w:ascii="Times New Roman" w:hAnsi="Times New Roman" w:eastAsia="方正仿宋_GBK" w:cs="Times New Roman"/>
                <w:kern w:val="0"/>
                <w:sz w:val="21"/>
                <w:szCs w:val="21"/>
              </w:rPr>
              <w:t>小于10mg/Nm</w:t>
            </w:r>
            <w:r>
              <w:rPr>
                <w:rFonts w:hint="default" w:ascii="Times New Roman" w:hAnsi="Times New Roman" w:eastAsia="方正仿宋_GBK" w:cs="Times New Roman"/>
                <w:kern w:val="0"/>
                <w:sz w:val="21"/>
                <w:szCs w:val="21"/>
                <w:vertAlign w:val="superscript"/>
              </w:rPr>
              <w:t>3</w:t>
            </w:r>
            <w:r>
              <w:rPr>
                <w:rFonts w:hint="default" w:ascii="Times New Roman" w:hAnsi="Times New Roman" w:eastAsia="方正仿宋_GBK" w:cs="Times New Roman"/>
                <w:kern w:val="0"/>
                <w:sz w:val="21"/>
                <w:szCs w:val="21"/>
              </w:rPr>
              <w:t>的超低排放目标。在保持现有生产规模、工艺路线、厂址占地不变的基础上，经过本次改造，</w:t>
            </w:r>
            <w:r>
              <w:rPr>
                <w:rFonts w:hint="default" w:ascii="Times New Roman" w:hAnsi="Times New Roman" w:eastAsia="方正仿宋_GBK" w:cs="Times New Roman"/>
                <w:kern w:val="0"/>
                <w:sz w:val="21"/>
                <w:szCs w:val="21"/>
                <w:lang w:eastAsia="zh-CN"/>
              </w:rPr>
              <w:t>烟尘（有组织）排放浓度由≤</w:t>
            </w:r>
            <w:r>
              <w:rPr>
                <w:rFonts w:hint="default" w:ascii="Times New Roman" w:hAnsi="Times New Roman" w:eastAsia="方正仿宋_GBK" w:cs="Times New Roman"/>
                <w:kern w:val="0"/>
                <w:sz w:val="21"/>
                <w:szCs w:val="21"/>
                <w:lang w:val="en-US" w:eastAsia="zh-CN"/>
              </w:rPr>
              <w:t>10mg/Nm³降低至≤8mg/Nm³</w:t>
            </w:r>
            <w:r>
              <w:rPr>
                <w:rFonts w:hint="default" w:ascii="Times New Roman" w:hAnsi="Times New Roman" w:eastAsia="方正仿宋_GBK" w:cs="Times New Roman"/>
                <w:kern w:val="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绩</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效</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指</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tc>
        <w:tc>
          <w:tcPr>
            <w:tcW w:w="100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一级</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二级指标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三级指标</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产出</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数量指标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指标1：废气治理设施</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除尘：将原有电除尘器改造成为一台电袋复合收尘器，即：保留第一电场原有结构，保留电场使用功能，将剩余电场改为一台纯TDM型袋式收尘器。即改造为电改袋复合除尘器。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质量指标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vertAlign w:val="baseline"/>
                <w:lang w:val="en-US" w:eastAsia="zh-CN"/>
              </w:rPr>
            </w:pPr>
            <w:r>
              <w:rPr>
                <w:rFonts w:hint="default" w:ascii="Times New Roman" w:hAnsi="Times New Roman" w:eastAsia="方正仿宋_GBK" w:cs="Times New Roman"/>
                <w:kern w:val="0"/>
                <w:sz w:val="21"/>
                <w:szCs w:val="21"/>
              </w:rPr>
              <w:t>指标1：</w:t>
            </w:r>
            <w:r>
              <w:rPr>
                <w:rFonts w:hint="default" w:ascii="Times New Roman" w:hAnsi="Times New Roman" w:eastAsia="方正仿宋_GBK" w:cs="Times New Roman"/>
                <w:kern w:val="0"/>
                <w:sz w:val="21"/>
                <w:szCs w:val="21"/>
                <w:vertAlign w:val="baseline"/>
                <w:lang w:val="en-US" w:eastAsia="zh-CN"/>
              </w:rPr>
              <w:t>烟尘浓度</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vertAlign w:val="superscript"/>
                <w:lang w:val="en-US"/>
              </w:rPr>
            </w:pPr>
            <w:r>
              <w:rPr>
                <w:rFonts w:hint="default" w:ascii="Times New Roman" w:hAnsi="Times New Roman" w:eastAsia="方正仿宋_GBK" w:cs="Times New Roman"/>
                <w:kern w:val="0"/>
                <w:sz w:val="21"/>
                <w:szCs w:val="21"/>
              </w:rPr>
              <w:t>预计</w:t>
            </w:r>
            <w:r>
              <w:rPr>
                <w:rFonts w:hint="default" w:ascii="Times New Roman" w:hAnsi="Times New Roman" w:eastAsia="方正仿宋_GBK" w:cs="Times New Roman"/>
                <w:kern w:val="0"/>
                <w:sz w:val="21"/>
                <w:szCs w:val="21"/>
                <w:lang w:eastAsia="zh-CN"/>
              </w:rPr>
              <w:t>升级改造</w:t>
            </w:r>
            <w:r>
              <w:rPr>
                <w:rFonts w:hint="default" w:ascii="Times New Roman" w:hAnsi="Times New Roman" w:eastAsia="方正仿宋_GBK" w:cs="Times New Roman"/>
                <w:kern w:val="0"/>
                <w:sz w:val="21"/>
                <w:szCs w:val="21"/>
              </w:rPr>
              <w:t>后</w:t>
            </w:r>
            <w:r>
              <w:rPr>
                <w:rFonts w:hint="default" w:ascii="Times New Roman" w:hAnsi="Times New Roman" w:eastAsia="方正仿宋_GBK" w:cs="Times New Roman"/>
                <w:sz w:val="21"/>
                <w:szCs w:val="21"/>
                <w:lang w:val="en-US" w:eastAsia="zh-CN"/>
              </w:rPr>
              <w:t>烟尘排放浓度小于8mg/Nm</w:t>
            </w:r>
            <w:r>
              <w:rPr>
                <w:rFonts w:hint="default" w:ascii="Times New Roman" w:hAnsi="Times New Roman" w:eastAsia="方正仿宋_GBK" w:cs="Times New Roman"/>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指标2：</w:t>
            </w:r>
            <w:r>
              <w:rPr>
                <w:rFonts w:hint="default" w:ascii="Times New Roman" w:hAnsi="Times New Roman" w:eastAsia="方正仿宋_GBK" w:cs="Times New Roman"/>
                <w:kern w:val="0"/>
                <w:sz w:val="21"/>
                <w:szCs w:val="21"/>
                <w:lang w:val="en-US" w:eastAsia="zh-CN"/>
              </w:rPr>
              <w:t>除尘效率</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除尘效率99.99%以上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时效指标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指标1：开工时间</w:t>
            </w:r>
          </w:p>
        </w:tc>
        <w:tc>
          <w:tcPr>
            <w:tcW w:w="3698"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指标2：完工时间</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202</w:t>
            </w:r>
            <w:r>
              <w:rPr>
                <w:rFonts w:hint="default" w:ascii="Times New Roman" w:hAnsi="Times New Roman" w:eastAsia="方正仿宋_GBK" w:cs="Times New Roman"/>
                <w:kern w:val="0"/>
                <w:sz w:val="21"/>
                <w:szCs w:val="21"/>
                <w:lang w:val="en-US" w:eastAsia="zh-CN"/>
              </w:rPr>
              <w:t>6</w:t>
            </w:r>
            <w:r>
              <w:rPr>
                <w:rFonts w:hint="default" w:ascii="Times New Roman" w:hAnsi="Times New Roman" w:eastAsia="方正仿宋_GBK" w:cs="Times New Roman"/>
                <w:kern w:val="0"/>
                <w:sz w:val="21"/>
                <w:szCs w:val="21"/>
              </w:rPr>
              <w:t>年</w:t>
            </w:r>
            <w:r>
              <w:rPr>
                <w:rFonts w:hint="default" w:ascii="Times New Roman" w:hAnsi="Times New Roman" w:eastAsia="方正仿宋_GBK" w:cs="Times New Roman"/>
                <w:kern w:val="0"/>
                <w:sz w:val="21"/>
                <w:szCs w:val="21"/>
                <w:lang w:val="en-US" w:eastAsia="zh-CN"/>
              </w:rPr>
              <w:t>12</w:t>
            </w:r>
            <w:r>
              <w:rPr>
                <w:rFonts w:hint="default" w:ascii="Times New Roman" w:hAnsi="Times New Roman" w:eastAsia="方正仿宋_GBK" w:cs="Times New Roman"/>
                <w:kern w:val="0"/>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成本指标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指标1：总投资</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342.34</w:t>
            </w:r>
            <w:r>
              <w:rPr>
                <w:rFonts w:hint="default" w:ascii="Times New Roman" w:hAnsi="Times New Roman" w:eastAsia="方正仿宋_GBK" w:cs="Times New Roman"/>
                <w:kern w:val="0"/>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效益指标</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生态效益</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指标1：</w:t>
            </w:r>
            <w:r>
              <w:rPr>
                <w:rFonts w:hint="default" w:ascii="Times New Roman" w:hAnsi="Times New Roman" w:eastAsia="方正仿宋_GBK" w:cs="Times New Roman"/>
                <w:color w:val="000000"/>
                <w:kern w:val="0"/>
                <w:sz w:val="21"/>
                <w:szCs w:val="21"/>
                <w:lang w:eastAsia="zh-CN"/>
              </w:rPr>
              <w:t>排放浓度</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sz w:val="21"/>
                <w:szCs w:val="21"/>
                <w:vertAlign w:val="baseline"/>
                <w:lang w:val="en-US" w:eastAsia="zh-CN"/>
              </w:rPr>
            </w:pPr>
            <w:r>
              <w:rPr>
                <w:rFonts w:hint="default" w:ascii="Times New Roman" w:hAnsi="Times New Roman" w:eastAsia="方正仿宋_GBK" w:cs="Times New Roman"/>
                <w:color w:val="000000"/>
                <w:sz w:val="21"/>
                <w:szCs w:val="21"/>
                <w:lang w:val="en-US" w:eastAsia="zh-CN"/>
              </w:rPr>
              <w:t>烟尘有组织排放浓度＜</w:t>
            </w:r>
            <w:r>
              <w:rPr>
                <w:rFonts w:hint="default" w:ascii="Times New Roman" w:hAnsi="Times New Roman" w:eastAsia="方正仿宋_GBK" w:cs="Times New Roman"/>
                <w:sz w:val="21"/>
                <w:szCs w:val="21"/>
                <w:lang w:val="en-US" w:eastAsia="zh-CN"/>
              </w:rPr>
              <w:t>8mg/Nm</w:t>
            </w:r>
            <w:r>
              <w:rPr>
                <w:rFonts w:hint="default" w:ascii="Times New Roman" w:hAnsi="Times New Roman" w:eastAsia="方正仿宋_GBK" w:cs="Times New Roman"/>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可持续影响</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工程设施稳定运行率</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满意度指标</w:t>
            </w:r>
          </w:p>
        </w:tc>
        <w:tc>
          <w:tcPr>
            <w:tcW w:w="157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服务对象</w:t>
            </w:r>
          </w:p>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满意度指标</w:t>
            </w:r>
          </w:p>
        </w:tc>
        <w:tc>
          <w:tcPr>
            <w:tcW w:w="219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指标1：服务对象满意度</w:t>
            </w:r>
          </w:p>
        </w:tc>
        <w:tc>
          <w:tcPr>
            <w:tcW w:w="369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98.5%以上</w:t>
            </w:r>
          </w:p>
        </w:tc>
      </w:tr>
    </w:tbl>
    <w:p>
      <w:pPr>
        <w:keepNext w:val="0"/>
        <w:keepLines w:val="0"/>
        <w:pageBreakBefore w:val="0"/>
        <w:kinsoku/>
        <w:wordWrap/>
        <w:overflowPunct/>
        <w:topLinePunct w:val="0"/>
        <w:bidi w:val="0"/>
        <w:adjustRightInd w:val="0"/>
        <w:spacing w:line="300" w:lineRule="exact"/>
        <w:jc w:val="center"/>
        <w:rPr>
          <w:rFonts w:hint="default" w:ascii="Times New Roman" w:hAnsi="Times New Roman" w:eastAsia="方正仿宋_GBK" w:cs="Times New Roman"/>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方正小标宋_GBK"/>
          <w:sz w:val="21"/>
          <w:szCs w:val="21"/>
        </w:rPr>
      </w:pPr>
      <w:r>
        <w:rPr>
          <w:rFonts w:hint="default" w:ascii="Times New Roman" w:hAnsi="Times New Roman" w:eastAsia="方正仿宋_GBK" w:cs="Times New Roman"/>
          <w:sz w:val="21"/>
          <w:szCs w:val="21"/>
          <w:lang w:eastAsia="zh-CN"/>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中央大气污染防治资金项目绩效目标表（</w:t>
      </w:r>
      <w:r>
        <w:rPr>
          <w:rFonts w:hint="eastAsia" w:eastAsia="方正小标宋_GBK" w:cs="方正小标宋_GBK"/>
          <w:bCs/>
          <w:kern w:val="2"/>
          <w:sz w:val="32"/>
          <w:szCs w:val="32"/>
          <w:lang w:val="en-US" w:eastAsia="zh-CN" w:bidi="ar-SA"/>
        </w:rPr>
        <w:t>2</w:t>
      </w:r>
      <w:r>
        <w:rPr>
          <w:rFonts w:hint="eastAsia" w:ascii="Times New Roman" w:hAnsi="Times New Roman" w:eastAsia="方正小标宋_GBK" w:cs="方正小标宋_GBK"/>
          <w:bCs/>
          <w:kern w:val="2"/>
          <w:sz w:val="32"/>
          <w:szCs w:val="32"/>
          <w:lang w:val="en-US" w:eastAsia="zh-CN" w:bidi="ar-SA"/>
        </w:rPr>
        <w:t>）</w:t>
      </w:r>
    </w:p>
    <w:tbl>
      <w:tblPr>
        <w:tblStyle w:val="19"/>
        <w:tblW w:w="91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947"/>
        <w:gridCol w:w="346"/>
        <w:gridCol w:w="1665"/>
        <w:gridCol w:w="120"/>
        <w:gridCol w:w="536"/>
        <w:gridCol w:w="1435"/>
        <w:gridCol w:w="633"/>
        <w:gridCol w:w="27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627" w:type="dxa"/>
            <w:gridSpan w:val="2"/>
            <w:tcBorders>
              <w:top w:val="single" w:color="000000" w:sz="6" w:space="0"/>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82" w:type="dxa"/>
            <w:gridSpan w:val="7"/>
            <w:tcBorders>
              <w:top w:val="single" w:color="000000" w:sz="6" w:space="0"/>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重庆东攀碳材料科技有限公司阳极焙烧车间治理提升改造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tcBorders>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82" w:type="dxa"/>
            <w:gridSpan w:val="7"/>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627" w:type="dxa"/>
            <w:gridSpan w:val="2"/>
            <w:tcBorders>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2667" w:type="dxa"/>
            <w:gridSpan w:val="4"/>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35" w:type="dxa"/>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3380" w:type="dxa"/>
            <w:gridSpan w:val="2"/>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627" w:type="dxa"/>
            <w:gridSpan w:val="2"/>
            <w:tcBorders>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2667" w:type="dxa"/>
            <w:gridSpan w:val="4"/>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35" w:type="dxa"/>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位</w:t>
            </w:r>
          </w:p>
        </w:tc>
        <w:tc>
          <w:tcPr>
            <w:tcW w:w="3380" w:type="dxa"/>
            <w:gridSpan w:val="2"/>
            <w:tcBorders>
              <w:righ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vMerge w:val="restart"/>
            <w:tcBorders>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13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51"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1120 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627" w:type="dxa"/>
            <w:gridSpan w:val="2"/>
            <w:vMerge w:val="continue"/>
            <w:tcBorders>
              <w:top w:val="nil"/>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51"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224 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627" w:type="dxa"/>
            <w:gridSpan w:val="2"/>
            <w:vMerge w:val="continue"/>
            <w:tcBorders>
              <w:top w:val="nil"/>
              <w:left w:val="single" w:color="000000" w:sz="6" w:space="0"/>
              <w:bottom w:val="nil"/>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51"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vMerge w:val="continue"/>
            <w:tcBorders>
              <w:top w:val="nil"/>
              <w:left w:val="single" w:color="000000" w:sz="6" w:space="0"/>
            </w:tcBorders>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51" w:type="dxa"/>
            <w:gridSpan w:val="4"/>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896 万（企业投资）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jc w:val="center"/>
        </w:trPr>
        <w:tc>
          <w:tcPr>
            <w:tcW w:w="680" w:type="dxa"/>
            <w:tcBorders>
              <w:left w:val="single" w:color="000000" w:sz="6" w:space="0"/>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 体 目 标</w:t>
            </w:r>
          </w:p>
        </w:tc>
        <w:tc>
          <w:tcPr>
            <w:tcW w:w="8429" w:type="dxa"/>
            <w:gridSpan w:val="8"/>
            <w:tcBorders>
              <w:right w:val="single" w:color="000000" w:sz="6" w:space="0"/>
            </w:tcBorders>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重庆东攀碳材料科技有限公司阳极焙烧车间原装卸填充料工序采用抓斗 转运的方式装卸料，粉尘采用喷雾措施进行抑尘。项目技改后对生产环保 设备进行更新和优化，改造后采用移动式自动吸料天车，自动吸料天车附 带粉尘收集和除尘装置（旋风除尘+布袋除尘）。改造后颗粒物排放量可 削减 80.8t/a。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680" w:type="dxa"/>
            <w:vMerge w:val="restart"/>
            <w:tcBorders>
              <w:left w:val="single" w:color="000000" w:sz="6" w:space="0"/>
              <w:bottom w:val="nil"/>
            </w:tcBorders>
            <w:noWrap w:val="0"/>
            <w:textDirection w:val="tbRlV"/>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 效 指 标</w:t>
            </w:r>
          </w:p>
        </w:tc>
        <w:tc>
          <w:tcPr>
            <w:tcW w:w="129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w:t>
            </w:r>
            <w:r>
              <w:rPr>
                <w:rFonts w:hint="default" w:ascii="Times New Roman" w:hAnsi="Times New Roman" w:eastAsia="方正仿宋_GBK" w:cs="Times New Roman"/>
                <w:sz w:val="21"/>
                <w:szCs w:val="21"/>
              </w:rPr>
              <w:t>级指标</w:t>
            </w: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产出指标</w:t>
            </w: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移动式自动吸料天车（含旋风 除尘+布袋除尘）系统</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建设周期</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项目自开工至竣工 12 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项目总投资不高于 1120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 益 指 标</w:t>
            </w: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环境公共服务程度</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提高大气污染治理</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能力，减少环境污</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染和扰民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年减排颗粒物污染物</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不低于 80.8 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680" w:type="dxa"/>
            <w:vMerge w:val="continue"/>
            <w:tcBorders>
              <w:top w:val="nil"/>
              <w:left w:val="single" w:color="000000" w:sz="6" w:space="0"/>
              <w:bottom w:val="nil"/>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65" w:type="dxa"/>
            <w:vMerge w:val="restart"/>
            <w:tcBorders>
              <w:bottom w:val="nil"/>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724"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 1：周边居民满意度</w:t>
            </w:r>
          </w:p>
        </w:tc>
        <w:tc>
          <w:tcPr>
            <w:tcW w:w="2747" w:type="dxa"/>
            <w:tcBorders>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80" w:type="dxa"/>
            <w:vMerge w:val="continue"/>
            <w:tcBorders>
              <w:top w:val="nil"/>
              <w:left w:val="single" w:color="000000" w:sz="6" w:space="0"/>
              <w:bottom w:val="single" w:color="000000" w:sz="6" w:space="0"/>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bottom w:val="single" w:color="000000" w:sz="6" w:space="0"/>
            </w:tcBorders>
            <w:noWrap w:val="0"/>
            <w:textDirection w:val="tbRlV"/>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vMerge w:val="continue"/>
            <w:tcBorders>
              <w:top w:val="nil"/>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24" w:type="dxa"/>
            <w:gridSpan w:val="4"/>
            <w:tcBorders>
              <w:bottom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 2：企业满意度</w:t>
            </w:r>
          </w:p>
        </w:tc>
        <w:tc>
          <w:tcPr>
            <w:tcW w:w="2747" w:type="dxa"/>
            <w:tcBorders>
              <w:bottom w:val="single" w:color="000000" w:sz="6" w:space="0"/>
              <w:right w:val="single" w:color="000000" w:sz="6" w:space="0"/>
            </w:tcBorders>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中央大气污染防治资金项目绩效目标表（</w:t>
      </w:r>
      <w:r>
        <w:rPr>
          <w:rFonts w:hint="eastAsia" w:eastAsia="方正小标宋_GBK" w:cs="方正小标宋_GBK"/>
          <w:bCs/>
          <w:kern w:val="2"/>
          <w:sz w:val="32"/>
          <w:szCs w:val="32"/>
          <w:lang w:val="en-US" w:eastAsia="zh-CN" w:bidi="ar-SA"/>
        </w:rPr>
        <w:t>3</w:t>
      </w:r>
      <w:r>
        <w:rPr>
          <w:rFonts w:hint="eastAsia" w:ascii="Times New Roman" w:hAnsi="Times New Roman" w:eastAsia="方正小标宋_GBK" w:cs="方正小标宋_GBK"/>
          <w:bCs/>
          <w:kern w:val="2"/>
          <w:sz w:val="32"/>
          <w:szCs w:val="32"/>
          <w:lang w:val="en-US" w:eastAsia="zh-CN" w:bidi="ar-SA"/>
        </w:rPr>
        <w:t>）</w:t>
      </w:r>
    </w:p>
    <w:tbl>
      <w:tblPr>
        <w:tblStyle w:val="1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696"/>
        <w:gridCol w:w="1090"/>
        <w:gridCol w:w="157"/>
        <w:gridCol w:w="1616"/>
        <w:gridCol w:w="769"/>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项目名称</w:t>
            </w:r>
          </w:p>
        </w:tc>
        <w:tc>
          <w:tcPr>
            <w:tcW w:w="788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重庆市涪陵区三峰环保发电有限公司烟气处理系统提标升级改造项目技术方案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所属专项</w:t>
            </w:r>
          </w:p>
        </w:tc>
        <w:tc>
          <w:tcPr>
            <w:tcW w:w="7888" w:type="dxa"/>
            <w:gridSpan w:val="6"/>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中央大气污染防治专项资金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中央主管部门</w:t>
            </w: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财政部、生态环境部</w:t>
            </w:r>
          </w:p>
        </w:tc>
        <w:tc>
          <w:tcPr>
            <w:tcW w:w="177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省级财政部门</w:t>
            </w:r>
          </w:p>
        </w:tc>
        <w:tc>
          <w:tcPr>
            <w:tcW w:w="332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省级主管部门</w:t>
            </w: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重庆市生态环境局</w:t>
            </w:r>
          </w:p>
        </w:tc>
        <w:tc>
          <w:tcPr>
            <w:tcW w:w="1773"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具体实施单位</w:t>
            </w:r>
          </w:p>
        </w:tc>
        <w:tc>
          <w:tcPr>
            <w:tcW w:w="3329"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重庆市涪陵区三峰环保发电有限公司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5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资金情况</w:t>
            </w: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510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3441万元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其中：中央财政资金</w:t>
            </w:r>
          </w:p>
        </w:tc>
        <w:tc>
          <w:tcPr>
            <w:tcW w:w="510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地方财政资金</w:t>
            </w:r>
          </w:p>
        </w:tc>
        <w:tc>
          <w:tcPr>
            <w:tcW w:w="510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前期配套资金</w:t>
            </w:r>
          </w:p>
        </w:tc>
        <w:tc>
          <w:tcPr>
            <w:tcW w:w="5102" w:type="dxa"/>
            <w:gridSpan w:val="4"/>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2191万元（企业自筹）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252"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总体目标</w:t>
            </w:r>
          </w:p>
        </w:tc>
        <w:tc>
          <w:tcPr>
            <w:tcW w:w="7888" w:type="dxa"/>
            <w:gridSpan w:val="6"/>
            <w:noWrap w:val="0"/>
            <w:vAlign w:val="center"/>
          </w:tcPr>
          <w:p>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2×500t/d垃圾焚烧项目配套烟气脱硝提标升级改造，新增2套中温选择性催化还原脱硝系统（中温SCR系统），单条线废气治理能力10000Nm³/h，将现有的烟气氮氧化物排放限制由现状日均限值250 mg/Nm3提升到80 mg/Nm3,时均限值300mg/Nm3提升到100 mg/Nm3。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绩效指标</w:t>
            </w:r>
          </w:p>
        </w:tc>
        <w:tc>
          <w:tcPr>
            <w:tcW w:w="1696" w:type="dxa"/>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一级指标</w:t>
            </w:r>
          </w:p>
        </w:tc>
        <w:tc>
          <w:tcPr>
            <w:tcW w:w="1247" w:type="dxa"/>
            <w:gridSpan w:val="2"/>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二级指标</w:t>
            </w:r>
          </w:p>
        </w:tc>
        <w:tc>
          <w:tcPr>
            <w:tcW w:w="2385" w:type="dxa"/>
            <w:gridSpan w:val="2"/>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三级指标</w:t>
            </w:r>
          </w:p>
        </w:tc>
        <w:tc>
          <w:tcPr>
            <w:tcW w:w="2560" w:type="dxa"/>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产出指标</w:t>
            </w: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数量指标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中温SCR系统</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能力指标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单条线废气治理</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10000Nm³/h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浓度指标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氮氧化物日均限值</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80 mg/Nm3以下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氮氧化物时均限值</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 mg/Nm3以下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时效指标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开工时间</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完工时间</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成本指标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项目投资（万元）</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不超过3450万元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效益指标</w:t>
            </w: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生态效益指标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氮氧化物减排量</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187.22吨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可持续影响指标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满意度指标</w:t>
            </w:r>
          </w:p>
        </w:tc>
        <w:tc>
          <w:tcPr>
            <w:tcW w:w="1247" w:type="dxa"/>
            <w:gridSpan w:val="2"/>
            <w:vMerge w:val="restart"/>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服务对象满意度指标</w:t>
            </w: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周边居民满意度</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252" w:type="dxa"/>
            <w:vMerge w:val="continue"/>
            <w:noWrap w:val="0"/>
            <w:vAlign w:val="top"/>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vMerge w:val="continue"/>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en-US"/>
              </w:rPr>
              <w:t>企业满意度</w:t>
            </w:r>
          </w:p>
        </w:tc>
        <w:tc>
          <w:tcPr>
            <w:tcW w:w="2560" w:type="dxa"/>
            <w:noWrap w:val="0"/>
            <w:vAlign w:val="center"/>
          </w:tcPr>
          <w:p>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85%以上</w:t>
            </w:r>
          </w:p>
        </w:tc>
      </w:tr>
    </w:tbl>
    <w:p>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pPr>
        <w:pStyle w:val="3"/>
        <w:numPr>
          <w:ilvl w:val="0"/>
          <w:numId w:val="0"/>
        </w:numPr>
        <w:jc w:val="center"/>
        <w:rPr>
          <w:rFonts w:hint="default" w:ascii="Times New Roman" w:hAnsi="Times New Roman" w:eastAsia="方正仿宋_GBK" w:cs="Times New Roman"/>
          <w:sz w:val="21"/>
          <w:szCs w:val="21"/>
          <w:lang w:val="en-US" w:eastAsia="zh-CN"/>
        </w:rPr>
      </w:pPr>
    </w:p>
    <w:p>
      <w:pPr>
        <w:jc w:val="both"/>
        <w:rPr>
          <w:sz w:val="21"/>
          <w:szCs w:val="21"/>
        </w:rPr>
      </w:pPr>
    </w:p>
    <w:sectPr>
      <w:footerReference r:id="rId3" w:type="default"/>
      <w:footerReference r:id="rId4" w:type="even"/>
      <w:pgSz w:w="11906" w:h="16838"/>
      <w:pgMar w:top="2098" w:right="1531" w:bottom="1984" w:left="1531" w:header="850" w:footer="147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val="en-US" w:eastAsia="zh-CN"/>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r>
      <w:rPr>
        <w:rFonts w:hint="eastAsia" w:ascii="宋体" w:hAnsi="宋体" w:eastAsia="宋体"/>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B0711"/>
    <w:multiLevelType w:val="multilevel"/>
    <w:tmpl w:val="21BB0711"/>
    <w:lvl w:ilvl="0" w:tentative="0">
      <w:start w:val="1"/>
      <w:numFmt w:val="decimal"/>
      <w:pStyle w:val="2"/>
      <w:lvlText w:val="附表%1"/>
      <w:lvlJc w:val="left"/>
      <w:pPr>
        <w:tabs>
          <w:tab w:val="left" w:pos="420"/>
        </w:tabs>
        <w:ind w:left="1265" w:hanging="425"/>
      </w:pPr>
      <w:rPr>
        <w:rFonts w:hint="default" w:ascii="方正黑体_GBK" w:hAnsi="方正黑体_GBK" w:eastAsia="方正黑体_GBK" w:cs="方正黑体_GBK"/>
      </w:rPr>
    </w:lvl>
    <w:lvl w:ilvl="1" w:tentative="0">
      <w:start w:val="1"/>
      <w:numFmt w:val="decimal"/>
      <w:lvlText w:val="附表%1"/>
      <w:lvlJc w:val="left"/>
      <w:pPr>
        <w:tabs>
          <w:tab w:val="left" w:pos="420"/>
        </w:tabs>
        <w:ind w:left="1680" w:hanging="425"/>
      </w:pPr>
      <w:rPr>
        <w:rFonts w:hint="default" w:ascii="方正黑体_GBK" w:hAnsi="方正黑体_GBK" w:eastAsia="方正黑体_GBK" w:cs="方正黑体_GBK"/>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4AAB"/>
    <w:rsid w:val="033E7FBB"/>
    <w:rsid w:val="0D1112AE"/>
    <w:rsid w:val="104D0120"/>
    <w:rsid w:val="116A0FEE"/>
    <w:rsid w:val="15055C6C"/>
    <w:rsid w:val="15F73062"/>
    <w:rsid w:val="1F482739"/>
    <w:rsid w:val="1F744C9F"/>
    <w:rsid w:val="22247046"/>
    <w:rsid w:val="287D67EF"/>
    <w:rsid w:val="2C0A1E17"/>
    <w:rsid w:val="334454EA"/>
    <w:rsid w:val="33B24739"/>
    <w:rsid w:val="35242B1B"/>
    <w:rsid w:val="38A40FB5"/>
    <w:rsid w:val="3B276EFB"/>
    <w:rsid w:val="3DC54886"/>
    <w:rsid w:val="453C44B0"/>
    <w:rsid w:val="4A383EB0"/>
    <w:rsid w:val="4B0D4829"/>
    <w:rsid w:val="4D7B0C53"/>
    <w:rsid w:val="50DF412B"/>
    <w:rsid w:val="54EE51A5"/>
    <w:rsid w:val="553D4E39"/>
    <w:rsid w:val="57D33E2C"/>
    <w:rsid w:val="58450C13"/>
    <w:rsid w:val="5CC76AFD"/>
    <w:rsid w:val="5D5B4B49"/>
    <w:rsid w:val="69797018"/>
    <w:rsid w:val="6D341C7D"/>
    <w:rsid w:val="70BF256D"/>
    <w:rsid w:val="79F4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3"/>
    <w:qFormat/>
    <w:uiPriority w:val="0"/>
    <w:pPr>
      <w:numPr>
        <w:ilvl w:val="0"/>
        <w:numId w:val="1"/>
      </w:numPr>
      <w:spacing w:line="560" w:lineRule="exact"/>
      <w:ind w:left="425" w:hanging="425"/>
      <w:jc w:val="left"/>
      <w:outlineLvl w:val="0"/>
    </w:pPr>
    <w:rPr>
      <w:rFonts w:eastAsia="方正黑体_GBK"/>
      <w:sz w:val="32"/>
      <w:szCs w:val="32"/>
    </w:rPr>
  </w:style>
  <w:style w:type="paragraph" w:styleId="3">
    <w:name w:val="heading 2"/>
    <w:basedOn w:val="2"/>
    <w:next w:val="1"/>
    <w:unhideWhenUsed/>
    <w:qFormat/>
    <w:uiPriority w:val="0"/>
    <w:pPr>
      <w:keepNext/>
      <w:keepLines/>
      <w:spacing w:beforeLines="0" w:beforeAutospacing="0" w:afterLines="0" w:afterAutospacing="0" w:line="360" w:lineRule="auto"/>
      <w:ind w:firstLine="210" w:firstLineChars="100"/>
      <w:outlineLvl w:val="1"/>
    </w:pPr>
    <w:rPr>
      <w:rFonts w:ascii="Arial" w:hAnsi="Arial" w:eastAsia="黑体"/>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widowControl w:val="0"/>
      <w:autoSpaceDE w:val="0"/>
      <w:autoSpaceDN w:val="0"/>
      <w:adjustRightInd w:val="0"/>
      <w:spacing w:line="288" w:lineRule="auto"/>
      <w:ind w:left="1260" w:hanging="420"/>
      <w:jc w:val="both"/>
      <w:textAlignment w:val="baseline"/>
    </w:pPr>
    <w:rPr>
      <w:rFonts w:ascii="Calibri" w:hAnsi="Calibri" w:eastAsia="仿宋" w:cs="宋体"/>
      <w:kern w:val="2"/>
      <w:sz w:val="21"/>
      <w:szCs w:val="20"/>
      <w:lang w:val="en-US" w:eastAsia="zh-CN" w:bidi="ar-SA"/>
    </w:rPr>
  </w:style>
  <w:style w:type="paragraph" w:styleId="5">
    <w:name w:val="Normal Indent"/>
    <w:basedOn w:val="1"/>
    <w:next w:val="1"/>
    <w:qFormat/>
    <w:uiPriority w:val="0"/>
    <w:pPr>
      <w:adjustRightInd w:val="0"/>
      <w:ind w:firstLine="420"/>
      <w:textAlignment w:val="baseline"/>
    </w:pPr>
    <w:rPr>
      <w:rFonts w:ascii="Times New Roman" w:hAnsi="Times New Roman"/>
      <w:szCs w:val="20"/>
    </w:rPr>
  </w:style>
  <w:style w:type="paragraph" w:styleId="6">
    <w:name w:val="toa heading"/>
    <w:basedOn w:val="1"/>
    <w:next w:val="1"/>
    <w:qFormat/>
    <w:uiPriority w:val="0"/>
    <w:pPr>
      <w:spacing w:before="120"/>
    </w:pPr>
    <w:rPr>
      <w:rFonts w:ascii="Arial" w:hAnsi="Arial" w:cs="Arial"/>
    </w:rPr>
  </w:style>
  <w:style w:type="paragraph" w:styleId="7">
    <w:name w:val="Body Text"/>
    <w:basedOn w:val="1"/>
    <w:next w:val="8"/>
    <w:qFormat/>
    <w:uiPriority w:val="0"/>
    <w:pPr>
      <w:spacing w:after="120" w:afterLines="0" w:afterAutospacing="0"/>
    </w:pPr>
  </w:style>
  <w:style w:type="paragraph" w:customStyle="1" w:styleId="8">
    <w:name w:val="Default"/>
    <w:next w:val="4"/>
    <w:qFormat/>
    <w:uiPriority w:val="0"/>
    <w:pPr>
      <w:widowControl w:val="0"/>
      <w:autoSpaceDE w:val="0"/>
      <w:autoSpaceDN w:val="0"/>
      <w:adjustRightInd w:val="0"/>
    </w:pPr>
    <w:rPr>
      <w:rFonts w:ascii="楷体_GB2312" w:hAnsi="等线" w:eastAsia="楷体_GB2312" w:cs="楷体_GB2312"/>
      <w:color w:val="000000"/>
      <w:kern w:val="0"/>
      <w:sz w:val="24"/>
      <w:szCs w:val="24"/>
      <w:lang w:val="en-US" w:eastAsia="zh-CN" w:bidi="ar-SA"/>
    </w:rPr>
  </w:style>
  <w:style w:type="paragraph" w:styleId="9">
    <w:name w:val="footer"/>
    <w:basedOn w:val="1"/>
    <w:qFormat/>
    <w:uiPriority w:val="99"/>
    <w:pPr>
      <w:tabs>
        <w:tab w:val="center" w:pos="4153"/>
        <w:tab w:val="right" w:pos="8306"/>
      </w:tabs>
      <w:snapToGrid w:val="0"/>
      <w:jc w:val="left"/>
    </w:pPr>
    <w:rPr>
      <w:sz w:val="18"/>
    </w:rPr>
  </w:style>
  <w:style w:type="table" w:styleId="11">
    <w:name w:val="Table Grid"/>
    <w:basedOn w:val="10"/>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font31"/>
    <w:basedOn w:val="12"/>
    <w:qFormat/>
    <w:uiPriority w:val="0"/>
    <w:rPr>
      <w:rFonts w:hint="eastAsia" w:ascii="方正黑体_GBK" w:hAnsi="方正黑体_GBK" w:eastAsia="方正黑体_GBK" w:cs="方正黑体_GBK"/>
      <w:color w:val="000000"/>
      <w:sz w:val="26"/>
      <w:szCs w:val="26"/>
      <w:u w:val="none"/>
    </w:rPr>
  </w:style>
  <w:style w:type="character" w:customStyle="1" w:styleId="15">
    <w:name w:val="font51"/>
    <w:basedOn w:val="12"/>
    <w:qFormat/>
    <w:uiPriority w:val="0"/>
    <w:rPr>
      <w:rFonts w:hint="eastAsia" w:ascii="方正仿宋_GBK" w:hAnsi="方正仿宋_GBK" w:eastAsia="方正仿宋_GBK" w:cs="方正仿宋_GBK"/>
      <w:color w:val="000000"/>
      <w:sz w:val="16"/>
      <w:szCs w:val="16"/>
      <w:u w:val="none"/>
    </w:rPr>
  </w:style>
  <w:style w:type="character" w:customStyle="1" w:styleId="16">
    <w:name w:val="font11"/>
    <w:basedOn w:val="12"/>
    <w:qFormat/>
    <w:uiPriority w:val="0"/>
    <w:rPr>
      <w:rFonts w:hint="eastAsia" w:ascii="方正仿宋_GBK" w:hAnsi="方正仿宋_GBK" w:eastAsia="方正仿宋_GBK" w:cs="方正仿宋_GBK"/>
      <w:color w:val="000000"/>
      <w:sz w:val="28"/>
      <w:szCs w:val="28"/>
      <w:u w:val="none"/>
    </w:rPr>
  </w:style>
  <w:style w:type="paragraph" w:customStyle="1" w:styleId="17">
    <w:name w:val="样式 正文缩进正文缩进2正文缩进 Char Char正文缩进 Char Char Char Char正文缩进 Char ..."/>
    <w:basedOn w:val="5"/>
    <w:qFormat/>
    <w:uiPriority w:val="0"/>
    <w:pPr>
      <w:ind w:firstLine="200"/>
    </w:pPr>
    <w:rPr>
      <w:rFonts w:cs="宋体"/>
      <w:sz w:val="24"/>
    </w:rPr>
  </w:style>
  <w:style w:type="paragraph" w:customStyle="1" w:styleId="18">
    <w:name w:val="标题1"/>
    <w:basedOn w:val="1"/>
    <w:next w:val="1"/>
    <w:qFormat/>
    <w:uiPriority w:val="0"/>
    <w:pPr>
      <w:tabs>
        <w:tab w:val="left" w:pos="9193"/>
        <w:tab w:val="left" w:pos="9827"/>
      </w:tabs>
      <w:autoSpaceDE w:val="0"/>
      <w:autoSpaceDN w:val="0"/>
      <w:spacing w:line="600" w:lineRule="exact"/>
    </w:pPr>
    <w:rPr>
      <w:rFonts w:ascii="Times New Roman" w:hAnsi="Times New Roman" w:eastAsia="方正小标宋_GBK"/>
      <w:sz w:val="28"/>
      <w:szCs w:val="28"/>
    </w:rPr>
  </w:style>
  <w:style w:type="table" w:customStyle="1" w:styleId="19">
    <w:name w:val="Table Normal"/>
    <w:unhideWhenUsed/>
    <w:qFormat/>
    <w:uiPriority w:val="0"/>
    <w:tblPr>
      <w:tblCellMar>
        <w:top w:w="0" w:type="dxa"/>
        <w:left w:w="0" w:type="dxa"/>
        <w:bottom w:w="0" w:type="dxa"/>
        <w:right w:w="0" w:type="dxa"/>
      </w:tblCellMar>
    </w:tblPr>
  </w:style>
  <w:style w:type="paragraph" w:styleId="20">
    <w:name w:val="No Spacing"/>
    <w:qFormat/>
    <w:uiPriority w:val="1"/>
    <w:pPr>
      <w:widowControl w:val="0"/>
      <w:adjustRightInd w:val="0"/>
      <w:snapToGrid w:val="0"/>
      <w:spacing w:beforeLines="20" w:afterLines="50" w:line="360" w:lineRule="auto"/>
      <w:jc w:val="both"/>
    </w:pPr>
    <w:rPr>
      <w:rFonts w:ascii="Times" w:hAnsi="Times" w:eastAsia="楷体" w:cs="Times New Roman"/>
      <w:snapToGrid w:val="0"/>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2025-12-19T07:16:00Z</dcterms:created>
  <dc:creator>Administrator</dc:creator>
  <cp:lastModifiedBy>Administrator</cp:lastModifiedBy>
  <cp:lastPrinted>2025-12-30T09:25:57Z</cp:lastPrinted>
  <dcterms:modified xsi:type="dcterms:W3CDTF">2025-12-30T09:26:12Z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