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eastAsia="方正小标宋_GBK"/>
          <w:sz w:val="44"/>
          <w:szCs w:val="44"/>
        </w:rPr>
      </w:pPr>
      <w:r>
        <w:rPr>
          <w:rFonts w:hint="eastAsia" w:ascii="方正小标宋_GBK" w:eastAsia="方正小标宋_GBK"/>
          <w:sz w:val="44"/>
          <w:szCs w:val="44"/>
        </w:rPr>
        <w:t>重庆市涪陵区财政信息中心</w:t>
      </w:r>
    </w:p>
    <w:p>
      <w:pPr>
        <w:jc w:val="center"/>
        <w:rPr>
          <w:rFonts w:ascii="方正小标宋_GBK" w:eastAsia="方正小标宋_GBK"/>
          <w:sz w:val="44"/>
          <w:szCs w:val="44"/>
        </w:rPr>
      </w:pPr>
      <w:r>
        <w:rPr>
          <w:rFonts w:hint="eastAsia" w:ascii="方正小标宋_GBK" w:eastAsia="方正小标宋_GBK"/>
          <w:sz w:val="44"/>
          <w:szCs w:val="44"/>
        </w:rPr>
        <w:t>2026年单位预算情况说明</w:t>
      </w:r>
    </w:p>
    <w:p>
      <w:pPr>
        <w:ind w:firstLine="640" w:firstLineChars="200"/>
        <w:rPr>
          <w:rFonts w:ascii="方正楷体_GBK" w:eastAsia="方正楷体_GBK"/>
          <w:sz w:val="32"/>
          <w:szCs w:val="32"/>
        </w:rPr>
      </w:pPr>
    </w:p>
    <w:p>
      <w:pPr>
        <w:ind w:firstLine="640" w:firstLineChars="200"/>
        <w:rPr>
          <w:rFonts w:ascii="方正黑体_GBK" w:eastAsia="方正黑体_GBK"/>
          <w:sz w:val="32"/>
          <w:szCs w:val="32"/>
        </w:rPr>
      </w:pPr>
      <w:r>
        <w:rPr>
          <w:rFonts w:hint="eastAsia" w:ascii="方正黑体_GBK" w:eastAsia="方正黑体_GBK"/>
          <w:sz w:val="32"/>
          <w:szCs w:val="32"/>
        </w:rPr>
        <w:t>一、单位基本情况</w:t>
      </w:r>
    </w:p>
    <w:p>
      <w:pPr>
        <w:ind w:firstLine="640" w:firstLineChars="200"/>
        <w:rPr>
          <w:rFonts w:ascii="方正楷体_GBK" w:eastAsia="方正楷体_GBK"/>
          <w:sz w:val="32"/>
          <w:szCs w:val="32"/>
        </w:rPr>
      </w:pPr>
      <w:r>
        <w:rPr>
          <w:rFonts w:hint="eastAsia" w:ascii="方正楷体_GBK" w:eastAsia="方正楷体_GBK"/>
          <w:sz w:val="32"/>
          <w:szCs w:val="32"/>
        </w:rPr>
        <w:t>（一）职能职责</w:t>
      </w:r>
    </w:p>
    <w:p>
      <w:pPr>
        <w:ind w:firstLine="640" w:firstLineChars="200"/>
        <w:rPr>
          <w:rFonts w:ascii="方正楷体_GBK" w:eastAsia="方正楷体_GBK"/>
          <w:sz w:val="32"/>
          <w:szCs w:val="32"/>
        </w:rPr>
      </w:pPr>
      <w:r>
        <w:rPr>
          <w:rFonts w:hint="eastAsia" w:ascii="方正楷体_GBK" w:eastAsia="方正楷体_GBK"/>
          <w:sz w:val="32"/>
          <w:szCs w:val="32"/>
        </w:rPr>
        <w:t>承担财政信息系统的建设与管理工作；承担财政系统计算机及相关设备购置、更新、维护、淘汰的管理工作和相关耗材的采购工作；承担计算机和网络安全管理，组织财政系统应用软件开发和实施；承担财政信息系统的指导和培训工作；完成区财政局交办的其他工作。</w:t>
      </w:r>
    </w:p>
    <w:p>
      <w:pPr>
        <w:ind w:firstLine="640" w:firstLineChars="200"/>
        <w:rPr>
          <w:rFonts w:ascii="方正楷体_GBK" w:eastAsia="方正楷体_GBK"/>
          <w:sz w:val="32"/>
          <w:szCs w:val="32"/>
        </w:rPr>
      </w:pPr>
      <w:r>
        <w:rPr>
          <w:rFonts w:hint="eastAsia" w:ascii="方正楷体_GBK" w:eastAsia="方正楷体_GBK"/>
          <w:sz w:val="32"/>
          <w:szCs w:val="32"/>
        </w:rPr>
        <w:t>（二）单位构成</w:t>
      </w:r>
    </w:p>
    <w:p>
      <w:pPr>
        <w:ind w:firstLine="640" w:firstLineChars="200"/>
        <w:rPr>
          <w:rFonts w:ascii="方正黑体_GBK" w:eastAsia="方正黑体_GBK"/>
          <w:sz w:val="32"/>
          <w:szCs w:val="32"/>
        </w:rPr>
      </w:pPr>
      <w:r>
        <w:rPr>
          <w:rFonts w:hint="eastAsia" w:ascii="方正仿宋_GBK" w:hAnsi="方正仿宋_GBK" w:eastAsia="方正仿宋_GBK" w:cs="方正仿宋_GBK"/>
          <w:sz w:val="32"/>
          <w:szCs w:val="32"/>
        </w:rPr>
        <w:t>重庆市涪陵区财政信息中心系重庆市涪陵区财政局下属事业单位，无内设机构。</w:t>
      </w:r>
      <w:bookmarkStart w:id="0" w:name="_GoBack"/>
      <w:bookmarkEnd w:id="0"/>
    </w:p>
    <w:p>
      <w:pPr>
        <w:ind w:firstLine="640" w:firstLineChars="200"/>
        <w:rPr>
          <w:rFonts w:ascii="方正黑体_GBK" w:eastAsia="方正黑体_GBK"/>
          <w:sz w:val="32"/>
          <w:szCs w:val="32"/>
        </w:rPr>
      </w:pPr>
      <w:r>
        <w:rPr>
          <w:rFonts w:hint="eastAsia" w:ascii="方正黑体_GBK" w:eastAsia="方正黑体_GBK"/>
          <w:sz w:val="32"/>
          <w:szCs w:val="32"/>
        </w:rPr>
        <w:t>二、单位收支总体情况</w:t>
      </w:r>
    </w:p>
    <w:p>
      <w:pPr>
        <w:ind w:firstLine="640" w:firstLineChars="200"/>
        <w:rPr>
          <w:rFonts w:ascii="方正仿宋_GBK" w:eastAsia="方正仿宋_GBK"/>
          <w:sz w:val="32"/>
          <w:szCs w:val="32"/>
        </w:rPr>
      </w:pPr>
      <w:r>
        <w:rPr>
          <w:rFonts w:hint="eastAsia" w:ascii="方正楷体_GBK" w:eastAsia="方正楷体_GBK"/>
          <w:sz w:val="32"/>
          <w:szCs w:val="32"/>
        </w:rPr>
        <w:t>（一）收入预算：</w:t>
      </w:r>
      <w:r>
        <w:rPr>
          <w:rFonts w:hint="eastAsia" w:ascii="方正仿宋_GBK" w:eastAsia="方正仿宋_GBK"/>
          <w:sz w:val="32"/>
          <w:szCs w:val="32"/>
        </w:rPr>
        <w:t>2026年年初预算数310.53万元，其中：一般公共预算拨款310.53万元，政府性基金预算拨款0万元，国有资本经营预算收入0万元，财政专户管理资金收入0万元，上级补助收入0万元，附属单位上缴收入0万元0，事业收入0万元，事业单位经营收入0万元，其他收入0万元。收入较去年减少55.47万元，主要是人员退休而减少。</w:t>
      </w:r>
    </w:p>
    <w:p>
      <w:pPr>
        <w:ind w:firstLine="640" w:firstLineChars="200"/>
        <w:rPr>
          <w:rFonts w:ascii="方正仿宋_GBK" w:eastAsia="方正仿宋_GBK"/>
          <w:sz w:val="32"/>
          <w:szCs w:val="32"/>
        </w:rPr>
      </w:pPr>
      <w:r>
        <w:rPr>
          <w:rFonts w:hint="eastAsia" w:ascii="方正楷体_GBK" w:eastAsia="方正楷体_GBK"/>
          <w:sz w:val="32"/>
          <w:szCs w:val="32"/>
        </w:rPr>
        <w:t>（二）支出预算：</w:t>
      </w:r>
      <w:r>
        <w:rPr>
          <w:rFonts w:hint="eastAsia" w:ascii="方正仿宋_GBK" w:eastAsia="方正仿宋_GBK"/>
          <w:sz w:val="32"/>
          <w:szCs w:val="32"/>
        </w:rPr>
        <w:t>2026年年初预算数310.53万元，其中：一般公共服务支出260.76万元，教育支出0万元，社会保障和就业支出28.35万元，卫生健康支出11.85万元，住房保障支出9.56万元。支出较去年减少55.47万元，主要是人员退休而减少，项目支出持平。</w:t>
      </w:r>
    </w:p>
    <w:p>
      <w:pPr>
        <w:ind w:firstLine="640" w:firstLineChars="200"/>
        <w:rPr>
          <w:rFonts w:ascii="方正黑体_GBK" w:eastAsia="方正黑体_GBK"/>
          <w:sz w:val="32"/>
          <w:szCs w:val="32"/>
        </w:rPr>
      </w:pPr>
      <w:r>
        <w:rPr>
          <w:rFonts w:hint="eastAsia" w:ascii="方正黑体_GBK" w:eastAsia="方正黑体_GBK"/>
          <w:sz w:val="32"/>
          <w:szCs w:val="32"/>
        </w:rPr>
        <w:t>三、单位预算情况说明</w:t>
      </w:r>
    </w:p>
    <w:p>
      <w:pPr>
        <w:ind w:firstLine="640" w:firstLineChars="200"/>
        <w:rPr>
          <w:rFonts w:ascii="方正仿宋_GBK" w:eastAsia="方正仿宋_GBK"/>
          <w:sz w:val="32"/>
          <w:szCs w:val="32"/>
        </w:rPr>
      </w:pPr>
      <w:r>
        <w:rPr>
          <w:rFonts w:hint="eastAsia" w:ascii="方正仿宋_GBK" w:eastAsia="方正仿宋_GBK"/>
          <w:sz w:val="32"/>
          <w:szCs w:val="32"/>
          <w:highlight w:val="none"/>
        </w:rPr>
        <w:t>2026年一般公共预算财政拨款收入310.53万元，一般公共预算财政拨款支出</w:t>
      </w:r>
      <w:r>
        <w:rPr>
          <w:rFonts w:hint="eastAsia" w:ascii="方正仿宋_GBK" w:eastAsia="方正仿宋_GBK"/>
          <w:sz w:val="32"/>
          <w:szCs w:val="32"/>
          <w:highlight w:val="none"/>
          <w:lang w:val="en-US" w:eastAsia="zh-CN"/>
        </w:rPr>
        <w:t>310.53</w:t>
      </w:r>
      <w:r>
        <w:rPr>
          <w:rFonts w:hint="eastAsia" w:ascii="方正仿宋_GBK" w:eastAsia="方正仿宋_GBK"/>
          <w:sz w:val="32"/>
          <w:szCs w:val="32"/>
          <w:highlight w:val="none"/>
        </w:rPr>
        <w:t>万元，比2025年减少5</w:t>
      </w:r>
      <w:r>
        <w:rPr>
          <w:rFonts w:hint="eastAsia" w:ascii="方正仿宋_GBK" w:eastAsia="方正仿宋_GBK"/>
          <w:sz w:val="32"/>
          <w:szCs w:val="32"/>
          <w:highlight w:val="none"/>
          <w:lang w:val="en-US" w:eastAsia="zh-CN"/>
        </w:rPr>
        <w:t>5</w:t>
      </w:r>
      <w:r>
        <w:rPr>
          <w:rFonts w:hint="eastAsia" w:ascii="方正仿宋_GBK" w:eastAsia="方正仿宋_GBK"/>
          <w:sz w:val="32"/>
          <w:szCs w:val="32"/>
          <w:highlight w:val="none"/>
        </w:rPr>
        <w:t>.</w:t>
      </w:r>
      <w:r>
        <w:rPr>
          <w:rFonts w:hint="eastAsia" w:ascii="方正仿宋_GBK" w:eastAsia="方正仿宋_GBK"/>
          <w:sz w:val="32"/>
          <w:szCs w:val="32"/>
          <w:highlight w:val="none"/>
          <w:lang w:val="en-US" w:eastAsia="zh-CN"/>
        </w:rPr>
        <w:t>48</w:t>
      </w:r>
      <w:r>
        <w:rPr>
          <w:rFonts w:hint="eastAsia" w:ascii="方正仿宋_GBK" w:eastAsia="方正仿宋_GBK"/>
          <w:sz w:val="32"/>
          <w:szCs w:val="32"/>
          <w:highlight w:val="none"/>
        </w:rPr>
        <w:t>万元。其中：基本支出</w:t>
      </w:r>
      <w:r>
        <w:rPr>
          <w:rFonts w:hint="eastAsia" w:ascii="方正仿宋_GBK" w:eastAsia="方正仿宋_GBK"/>
          <w:sz w:val="32"/>
          <w:szCs w:val="32"/>
          <w:highlight w:val="none"/>
          <w:lang w:val="en-US" w:eastAsia="zh-CN"/>
        </w:rPr>
        <w:t>206.53</w:t>
      </w:r>
      <w:r>
        <w:rPr>
          <w:rFonts w:hint="eastAsia" w:ascii="方正仿宋_GBK" w:eastAsia="方正仿宋_GBK"/>
          <w:sz w:val="32"/>
          <w:szCs w:val="32"/>
          <w:highlight w:val="none"/>
        </w:rPr>
        <w:t>万元，比2025年减少53.22万元，主要原因是人员退休而减少，主要用于保障财政信息中心社保、公积金缴纳，离休人员离休费，退休人员补助等，保障部门正常运转的各项商品服务支出；项目支出104万元，与2025年持平，主要用于财政管理信息系统的建设与管理</w:t>
      </w:r>
      <w:r>
        <w:rPr>
          <w:rFonts w:hint="eastAsia" w:ascii="方正仿宋_GBK" w:eastAsia="方正仿宋_GBK"/>
          <w:sz w:val="32"/>
          <w:szCs w:val="32"/>
        </w:rPr>
        <w:t>等重点工作。本单位2026年无使用政府性基金预算拨款安排的支出。</w:t>
      </w:r>
    </w:p>
    <w:p>
      <w:pPr>
        <w:ind w:firstLine="640" w:firstLineChars="200"/>
        <w:rPr>
          <w:rFonts w:ascii="方正黑体_GBK" w:eastAsia="方正黑体_GBK"/>
          <w:sz w:val="32"/>
          <w:szCs w:val="32"/>
        </w:rPr>
      </w:pPr>
      <w:r>
        <w:rPr>
          <w:rFonts w:hint="eastAsia" w:ascii="方正黑体_GBK" w:eastAsia="方正黑体_GBK"/>
          <w:sz w:val="32"/>
          <w:szCs w:val="32"/>
        </w:rPr>
        <w:t>四、“三公”经费情况说明</w:t>
      </w:r>
    </w:p>
    <w:p>
      <w:pPr>
        <w:ind w:firstLine="640" w:firstLineChars="200"/>
        <w:rPr>
          <w:rFonts w:ascii="方正仿宋_GBK" w:eastAsia="方正仿宋_GBK"/>
          <w:sz w:val="32"/>
          <w:szCs w:val="32"/>
        </w:rPr>
      </w:pPr>
      <w:r>
        <w:rPr>
          <w:rFonts w:hint="eastAsia" w:ascii="方正仿宋_GBK" w:eastAsia="方正仿宋_GBK"/>
          <w:sz w:val="32"/>
          <w:szCs w:val="32"/>
        </w:rPr>
        <w:t>2026年“三公”经费预算0万元，与2025年持平。其中：因公出国（境）费用0万元，与2025年持平；公务接待费0万元，与2025年持平；公务用车运行维护费0万元，与2025年持平；公务用车购置费0万元，与2025年持平。</w:t>
      </w:r>
    </w:p>
    <w:p>
      <w:pPr>
        <w:ind w:firstLine="640" w:firstLineChars="200"/>
        <w:rPr>
          <w:rFonts w:ascii="方正黑体_GBK" w:eastAsia="方正黑体_GBK"/>
          <w:sz w:val="32"/>
          <w:szCs w:val="32"/>
        </w:rPr>
      </w:pPr>
      <w:r>
        <w:rPr>
          <w:rFonts w:hint="eastAsia" w:ascii="方正黑体_GBK" w:eastAsia="方正黑体_GBK"/>
          <w:sz w:val="32"/>
          <w:szCs w:val="32"/>
        </w:rPr>
        <w:t>五、其他重要事项的情况说明</w:t>
      </w:r>
    </w:p>
    <w:p>
      <w:pPr>
        <w:ind w:firstLine="640" w:firstLineChars="200"/>
        <w:rPr>
          <w:rFonts w:ascii="方正楷体_GBK" w:eastAsia="方正楷体_GBK"/>
          <w:sz w:val="32"/>
          <w:szCs w:val="32"/>
        </w:rPr>
      </w:pPr>
      <w:r>
        <w:rPr>
          <w:rFonts w:hint="eastAsia" w:ascii="方正楷体_GBK" w:eastAsia="方正楷体_GBK"/>
          <w:sz w:val="32"/>
          <w:szCs w:val="32"/>
        </w:rPr>
        <w:t>（一）机关运行经费。</w:t>
      </w:r>
    </w:p>
    <w:p>
      <w:pPr>
        <w:ind w:firstLine="640" w:firstLineChars="200"/>
        <w:rPr>
          <w:rFonts w:ascii="方正仿宋_GBK" w:eastAsia="方正仿宋_GBK"/>
          <w:sz w:val="32"/>
          <w:szCs w:val="32"/>
        </w:rPr>
      </w:pPr>
      <w:r>
        <w:rPr>
          <w:rFonts w:hint="eastAsia" w:ascii="方正仿宋_GBK" w:eastAsia="方正仿宋_GBK"/>
          <w:sz w:val="32"/>
          <w:szCs w:val="32"/>
        </w:rPr>
        <w:t>我单位不在机关运行经费统计范围之内。（事业单位）</w:t>
      </w:r>
    </w:p>
    <w:p>
      <w:pPr>
        <w:ind w:firstLine="640" w:firstLineChars="200"/>
        <w:rPr>
          <w:rFonts w:ascii="方正仿宋_GBK" w:eastAsia="方正仿宋_GBK"/>
          <w:sz w:val="32"/>
          <w:szCs w:val="32"/>
        </w:rPr>
      </w:pPr>
      <w:r>
        <w:rPr>
          <w:rFonts w:hint="eastAsia" w:ascii="方正楷体_GBK" w:eastAsia="方正楷体_GBK"/>
          <w:sz w:val="32"/>
          <w:szCs w:val="32"/>
        </w:rPr>
        <w:t>（二）政府采购情况</w:t>
      </w:r>
      <w:r>
        <w:rPr>
          <w:rFonts w:hint="eastAsia" w:ascii="方正仿宋_GBK" w:eastAsia="方正仿宋_GBK"/>
          <w:sz w:val="32"/>
          <w:szCs w:val="32"/>
        </w:rPr>
        <w:t>。所属各预算单位政府采购预算总额2.5万元：政府采购货物预算2.5万元、政府采购工程预算0万元、政府采购服务预算0万元；其中一般公共预算拨款政府采购2.5万元：政府采购货物预算2.5万元、政府采购工程预算0万元、政府采购服务预算0万元。</w:t>
      </w:r>
    </w:p>
    <w:p>
      <w:pPr>
        <w:ind w:firstLine="640" w:firstLineChars="200"/>
        <w:rPr>
          <w:rFonts w:ascii="方正仿宋_GBK" w:eastAsia="方正仿宋_GBK"/>
          <w:sz w:val="32"/>
          <w:szCs w:val="32"/>
        </w:rPr>
      </w:pPr>
      <w:r>
        <w:rPr>
          <w:rFonts w:hint="eastAsia" w:ascii="方正楷体_GBK" w:eastAsia="方正楷体_GBK"/>
          <w:sz w:val="32"/>
          <w:szCs w:val="32"/>
        </w:rPr>
        <w:t>（三）绩效目标设置情况。</w:t>
      </w:r>
      <w:r>
        <w:rPr>
          <w:rFonts w:hint="eastAsia" w:ascii="方正仿宋_GBK" w:eastAsia="方正仿宋_GBK"/>
          <w:sz w:val="32"/>
          <w:szCs w:val="32"/>
        </w:rPr>
        <w:t>2026年项目支出均实行了绩效目标管理，涉及一般公共预算当年财政拨款104万元。</w:t>
      </w:r>
    </w:p>
    <w:p>
      <w:pPr>
        <w:ind w:firstLine="640" w:firstLineChars="200"/>
        <w:rPr>
          <w:rFonts w:ascii="方正仿宋_GBK" w:eastAsia="方正仿宋_GBK"/>
          <w:sz w:val="32"/>
          <w:szCs w:val="32"/>
        </w:rPr>
      </w:pPr>
      <w:r>
        <w:rPr>
          <w:rFonts w:hint="eastAsia" w:ascii="方正楷体_GBK" w:eastAsia="方正楷体_GBK"/>
          <w:sz w:val="32"/>
          <w:szCs w:val="32"/>
        </w:rPr>
        <w:t>（四）国有资产占有使用情况。</w:t>
      </w:r>
      <w:r>
        <w:rPr>
          <w:rFonts w:hint="eastAsia" w:ascii="方正仿宋_GBK" w:eastAsia="方正仿宋_GBK"/>
          <w:sz w:val="32"/>
          <w:szCs w:val="32"/>
        </w:rPr>
        <w:t>截止上年12月，所属各预算单位共有车辆0辆，其中一般公务用车0辆、执勤执法用车0辆。2026年一般公共预算未安排购置车辆。</w:t>
      </w:r>
    </w:p>
    <w:p>
      <w:pPr>
        <w:ind w:firstLine="640" w:firstLineChars="200"/>
        <w:rPr>
          <w:rFonts w:ascii="方正楷体_GBK" w:eastAsia="方正楷体_GBK"/>
          <w:sz w:val="32"/>
          <w:szCs w:val="32"/>
        </w:rPr>
      </w:pPr>
      <w:r>
        <w:rPr>
          <w:rFonts w:hint="eastAsia" w:ascii="方正楷体_GBK" w:eastAsia="方正楷体_GBK"/>
          <w:sz w:val="32"/>
          <w:szCs w:val="32"/>
        </w:rPr>
        <w:t>（五）无其他重要事项说明。</w:t>
      </w:r>
    </w:p>
    <w:p>
      <w:pPr>
        <w:ind w:firstLine="640" w:firstLineChars="200"/>
        <w:rPr>
          <w:rFonts w:ascii="方正黑体_GBK" w:eastAsia="方正黑体_GBK"/>
          <w:sz w:val="32"/>
          <w:szCs w:val="32"/>
        </w:rPr>
      </w:pPr>
      <w:r>
        <w:rPr>
          <w:rFonts w:hint="eastAsia" w:ascii="方正黑体_GBK" w:eastAsia="方正黑体_GBK"/>
          <w:sz w:val="32"/>
          <w:szCs w:val="32"/>
        </w:rPr>
        <w:t>六、专业性名词解释</w:t>
      </w:r>
    </w:p>
    <w:p>
      <w:pPr>
        <w:ind w:firstLine="640" w:firstLineChars="200"/>
        <w:rPr>
          <w:rFonts w:ascii="方正仿宋_GBK" w:eastAsia="方正仿宋_GBK"/>
          <w:sz w:val="32"/>
          <w:szCs w:val="32"/>
        </w:rPr>
      </w:pPr>
      <w:r>
        <w:rPr>
          <w:rFonts w:hint="eastAsia" w:ascii="方正楷体_GBK" w:eastAsia="方正楷体_GBK"/>
          <w:sz w:val="32"/>
          <w:szCs w:val="32"/>
        </w:rPr>
        <w:t>（一）财政拨款收入</w:t>
      </w:r>
      <w:r>
        <w:rPr>
          <w:rFonts w:hint="eastAsia" w:ascii="方正仿宋_GBK" w:eastAsia="方正仿宋_GBK"/>
          <w:sz w:val="32"/>
          <w:szCs w:val="32"/>
        </w:rPr>
        <w:t>：指本年度从本级财政部门取得的财政拨款，包括一般公共预算财政拨款和政府性基金预算财政拨款。</w:t>
      </w:r>
    </w:p>
    <w:p>
      <w:pPr>
        <w:ind w:firstLine="640" w:firstLineChars="200"/>
        <w:rPr>
          <w:rFonts w:ascii="方正仿宋_GBK" w:eastAsia="方正仿宋_GBK"/>
          <w:sz w:val="32"/>
          <w:szCs w:val="32"/>
        </w:rPr>
      </w:pPr>
      <w:r>
        <w:rPr>
          <w:rFonts w:hint="eastAsia" w:ascii="方正楷体_GBK" w:eastAsia="方正楷体_GBK"/>
          <w:sz w:val="32"/>
          <w:szCs w:val="32"/>
        </w:rPr>
        <w:t>（二）财政专户管理资金收入</w:t>
      </w:r>
      <w:r>
        <w:rPr>
          <w:rFonts w:hint="eastAsia" w:ascii="方正仿宋_GBK" w:eastAsia="方正仿宋_GBK"/>
          <w:sz w:val="32"/>
          <w:szCs w:val="32"/>
        </w:rPr>
        <w:t>：指缴入财政专户、实行专项管理的高中以上学费、住宿费、高校委托培养费、函大、电大、夜大及短训班培训费等教育收费。</w:t>
      </w:r>
    </w:p>
    <w:p>
      <w:pPr>
        <w:ind w:firstLine="640" w:firstLineChars="200"/>
        <w:rPr>
          <w:rFonts w:ascii="方正仿宋_GBK" w:eastAsia="方正仿宋_GBK"/>
          <w:sz w:val="32"/>
          <w:szCs w:val="32"/>
        </w:rPr>
      </w:pPr>
      <w:r>
        <w:rPr>
          <w:rFonts w:hint="eastAsia" w:ascii="方正楷体_GBK" w:eastAsia="方正楷体_GBK"/>
          <w:sz w:val="32"/>
          <w:szCs w:val="32"/>
        </w:rPr>
        <w:t>（三）事业收入</w:t>
      </w:r>
      <w:r>
        <w:rPr>
          <w:rFonts w:hint="eastAsia" w:ascii="方正仿宋_GBK" w:eastAsia="方正仿宋_GBK"/>
          <w:sz w:val="32"/>
          <w:szCs w:val="32"/>
        </w:rPr>
        <w:t>：指事业单位开展专业业务活动及其辅助活动取得的收入，不包括教育收费</w:t>
      </w:r>
    </w:p>
    <w:p>
      <w:pPr>
        <w:ind w:firstLine="640" w:firstLineChars="200"/>
        <w:rPr>
          <w:rFonts w:ascii="方正仿宋_GBK" w:eastAsia="方正仿宋_GBK"/>
          <w:sz w:val="32"/>
          <w:szCs w:val="32"/>
        </w:rPr>
      </w:pPr>
      <w:r>
        <w:rPr>
          <w:rFonts w:hint="eastAsia" w:ascii="方正楷体_GBK" w:eastAsia="方正楷体_GBK"/>
          <w:sz w:val="32"/>
          <w:szCs w:val="32"/>
        </w:rPr>
        <w:t>（四）上级补助收入</w:t>
      </w:r>
      <w:r>
        <w:rPr>
          <w:rFonts w:hint="eastAsia" w:ascii="方正仿宋_GBK" w:eastAsia="方正仿宋_GBK"/>
          <w:sz w:val="32"/>
          <w:szCs w:val="32"/>
        </w:rPr>
        <w:t>：指从主管部门或上级单位取得的财政拨款以外的其他补助收入。</w:t>
      </w:r>
    </w:p>
    <w:p>
      <w:pPr>
        <w:ind w:firstLine="640" w:firstLineChars="200"/>
        <w:rPr>
          <w:rFonts w:ascii="方正仿宋_GBK" w:eastAsia="方正仿宋_GBK"/>
          <w:sz w:val="32"/>
          <w:szCs w:val="32"/>
        </w:rPr>
      </w:pPr>
      <w:r>
        <w:rPr>
          <w:rFonts w:hint="eastAsia" w:ascii="方正楷体_GBK" w:eastAsia="方正楷体_GBK"/>
          <w:sz w:val="32"/>
          <w:szCs w:val="32"/>
        </w:rPr>
        <w:t>（五）附属单位上缴收入</w:t>
      </w:r>
      <w:r>
        <w:rPr>
          <w:rFonts w:hint="eastAsia" w:ascii="方正仿宋_GBK" w:eastAsia="方正仿宋_GBK"/>
          <w:sz w:val="32"/>
          <w:szCs w:val="32"/>
        </w:rPr>
        <w:t>：指本单位所属下级单位上缴给本单位的全部收入（包括下级事业单位上缴的事业收入、其他收入和下级企业单位上缴的利润等）。</w:t>
      </w:r>
    </w:p>
    <w:p>
      <w:pPr>
        <w:ind w:firstLine="640" w:firstLineChars="200"/>
        <w:rPr>
          <w:rFonts w:ascii="方正仿宋_GBK" w:eastAsia="方正仿宋_GBK"/>
          <w:sz w:val="32"/>
          <w:szCs w:val="32"/>
        </w:rPr>
      </w:pPr>
      <w:r>
        <w:rPr>
          <w:rFonts w:hint="eastAsia" w:ascii="方正楷体_GBK" w:eastAsia="方正楷体_GBK"/>
          <w:sz w:val="32"/>
          <w:szCs w:val="32"/>
        </w:rPr>
        <w:t>（六）事业单位经营收入</w:t>
      </w:r>
      <w:r>
        <w:rPr>
          <w:rFonts w:hint="eastAsia" w:ascii="方正仿宋_GBK" w:eastAsia="方正仿宋_GBK"/>
          <w:sz w:val="32"/>
          <w:szCs w:val="32"/>
        </w:rPr>
        <w:t>：指事业单位在专业业务活动及其辅助活动之外开展非独立核算经营活动取得的收入。</w:t>
      </w:r>
    </w:p>
    <w:p>
      <w:pPr>
        <w:ind w:firstLine="640" w:firstLineChars="200"/>
        <w:rPr>
          <w:rFonts w:ascii="方正仿宋_GBK" w:eastAsia="方正仿宋_GBK"/>
          <w:sz w:val="32"/>
          <w:szCs w:val="32"/>
        </w:rPr>
      </w:pPr>
      <w:r>
        <w:rPr>
          <w:rFonts w:hint="eastAsia" w:ascii="方正楷体_GBK" w:eastAsia="方正楷体_GBK"/>
          <w:sz w:val="32"/>
          <w:szCs w:val="32"/>
        </w:rPr>
        <w:t>（七）其他收入</w:t>
      </w:r>
      <w:r>
        <w:rPr>
          <w:rFonts w:hint="eastAsia" w:ascii="方正仿宋_GBK" w:eastAsia="方正仿宋_GBK"/>
          <w:sz w:val="32"/>
          <w:szCs w:val="32"/>
        </w:rPr>
        <w:t>：指债务收入（不含政府债券、政府向外国政府贷款和国际组织贷款）、投资收益等收入。</w:t>
      </w:r>
    </w:p>
    <w:p>
      <w:pPr>
        <w:ind w:firstLine="640" w:firstLineChars="200"/>
        <w:rPr>
          <w:rFonts w:ascii="方正仿宋_GBK" w:eastAsia="方正仿宋_GBK"/>
          <w:sz w:val="32"/>
          <w:szCs w:val="32"/>
        </w:rPr>
      </w:pPr>
      <w:r>
        <w:rPr>
          <w:rFonts w:hint="eastAsia" w:ascii="方正楷体_GBK" w:eastAsia="方正楷体_GBK"/>
          <w:sz w:val="32"/>
          <w:szCs w:val="32"/>
        </w:rPr>
        <w:t>（八）基本支出</w:t>
      </w:r>
      <w:r>
        <w:rPr>
          <w:rFonts w:hint="eastAsia" w:ascii="方正仿宋_GBK" w:eastAsia="方正仿宋_GBK"/>
          <w:sz w:val="32"/>
          <w:szCs w:val="32"/>
        </w:rPr>
        <w:t>：指为保障机构正常运转、完成日常工作任务而发生的人员经费和公用经费。</w:t>
      </w:r>
    </w:p>
    <w:p>
      <w:pPr>
        <w:ind w:firstLine="640" w:firstLineChars="200"/>
        <w:rPr>
          <w:rFonts w:ascii="方正仿宋_GBK" w:eastAsia="方正仿宋_GBK"/>
          <w:sz w:val="32"/>
          <w:szCs w:val="32"/>
        </w:rPr>
      </w:pPr>
      <w:r>
        <w:rPr>
          <w:rFonts w:hint="eastAsia" w:ascii="方正楷体_GBK" w:eastAsia="方正楷体_GBK"/>
          <w:sz w:val="32"/>
          <w:szCs w:val="32"/>
        </w:rPr>
        <w:t>（九）项目支出</w:t>
      </w:r>
      <w:r>
        <w:rPr>
          <w:rFonts w:hint="eastAsia" w:ascii="方正仿宋_GBK" w:eastAsia="方正仿宋_GBK"/>
          <w:sz w:val="32"/>
          <w:szCs w:val="32"/>
        </w:rPr>
        <w:t>：指在基本支出之外为完成特定行政任务和事业发展目标所发生的支出。</w:t>
      </w:r>
    </w:p>
    <w:p>
      <w:pPr>
        <w:ind w:firstLine="640" w:firstLineChars="200"/>
        <w:rPr>
          <w:rFonts w:ascii="方正仿宋_GBK" w:eastAsia="方正仿宋_GBK"/>
          <w:sz w:val="32"/>
          <w:szCs w:val="32"/>
        </w:rPr>
      </w:pPr>
      <w:r>
        <w:rPr>
          <w:rFonts w:hint="eastAsia" w:ascii="方正楷体_GBK" w:eastAsia="方正楷体_GBK"/>
          <w:sz w:val="32"/>
          <w:szCs w:val="32"/>
        </w:rPr>
        <w:t>（十）“三公”经费</w:t>
      </w:r>
      <w:r>
        <w:rPr>
          <w:rFonts w:hint="eastAsia" w:ascii="方正仿宋_GBK" w:eastAsia="方正仿宋_GBK"/>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rPr>
          <w:rFonts w:ascii="方正仿宋_GBK" w:eastAsia="方正仿宋_GBK"/>
          <w:sz w:val="32"/>
          <w:szCs w:val="32"/>
        </w:rPr>
      </w:pPr>
    </w:p>
    <w:p>
      <w:pPr>
        <w:rPr>
          <w:rFonts w:ascii="方正仿宋_GBK" w:eastAsia="方正仿宋_GBK"/>
          <w:b/>
          <w:color w:val="FF0000"/>
          <w:sz w:val="32"/>
          <w:szCs w:val="32"/>
        </w:rPr>
      </w:pPr>
      <w:r>
        <w:rPr>
          <w:rFonts w:hint="eastAsia" w:ascii="方正仿宋_GBK" w:eastAsia="方正仿宋_GBK"/>
          <w:color w:val="000000" w:themeColor="text1"/>
          <w:sz w:val="32"/>
          <w:szCs w:val="32"/>
          <w14:textFill>
            <w14:solidFill>
              <w14:schemeClr w14:val="tx1"/>
            </w14:solidFill>
          </w14:textFill>
        </w:rPr>
        <w:t>单位预算公开联系人：王秋</w:t>
      </w:r>
      <w:r>
        <w:rPr>
          <w:rFonts w:ascii="方正仿宋_GBK" w:eastAsia="方正仿宋_GBK"/>
          <w:color w:val="000000" w:themeColor="text1"/>
          <w:sz w:val="32"/>
          <w:szCs w:val="32"/>
          <w14:textFill>
            <w14:solidFill>
              <w14:schemeClr w14:val="tx1"/>
            </w14:solidFill>
          </w14:textFill>
        </w:rPr>
        <w:t>菊</w:t>
      </w:r>
      <w:r>
        <w:rPr>
          <w:rFonts w:hint="eastAsia" w:ascii="方正仿宋_GBK" w:eastAsia="方正仿宋_GBK"/>
          <w:color w:val="000000" w:themeColor="text1"/>
          <w:sz w:val="32"/>
          <w:szCs w:val="32"/>
          <w14:textFill>
            <w14:solidFill>
              <w14:schemeClr w14:val="tx1"/>
            </w14:solidFill>
          </w14:textFill>
        </w:rPr>
        <w:t xml:space="preserve">  </w:t>
      </w:r>
      <w:r>
        <w:rPr>
          <w:rFonts w:ascii="方正仿宋_GBK" w:eastAsia="方正仿宋_GBK"/>
          <w:color w:val="000000" w:themeColor="text1"/>
          <w:sz w:val="32"/>
          <w:szCs w:val="32"/>
          <w14:textFill>
            <w14:solidFill>
              <w14:schemeClr w14:val="tx1"/>
            </w14:solidFill>
          </w14:textFill>
        </w:rPr>
        <w:t xml:space="preserve"> </w:t>
      </w:r>
      <w:r>
        <w:rPr>
          <w:rFonts w:hint="eastAsia" w:ascii="方正仿宋_GBK" w:eastAsia="方正仿宋_GBK"/>
          <w:color w:val="000000" w:themeColor="text1"/>
          <w:sz w:val="32"/>
          <w:szCs w:val="32"/>
          <w14:textFill>
            <w14:solidFill>
              <w14:schemeClr w14:val="tx1"/>
            </w14:solidFill>
          </w14:textFill>
        </w:rPr>
        <w:t>联系方式：023-72222848</w:t>
      </w:r>
    </w:p>
    <w:p>
      <w:pPr>
        <w:rPr>
          <w:rFonts w:ascii="方正仿宋_GBK" w:eastAsia="方正仿宋_GBK"/>
          <w:color w:val="000000" w:themeColor="text1"/>
          <w:sz w:val="32"/>
          <w:szCs w:val="32"/>
          <w14:textFill>
            <w14:solidFill>
              <w14:schemeClr w14:val="tx1"/>
            </w14:solidFill>
          </w14:textFill>
        </w:rPr>
      </w:pPr>
      <w:r>
        <w:rPr>
          <w:rFonts w:hint="eastAsia" w:ascii="方正仿宋_GBK" w:eastAsia="方正仿宋_GBK"/>
          <w:color w:val="000000" w:themeColor="text1"/>
          <w:sz w:val="32"/>
          <w:szCs w:val="32"/>
          <w14:textFill>
            <w14:solidFill>
              <w14:schemeClr w14:val="tx1"/>
            </w14:solidFill>
          </w14:textFill>
        </w:rPr>
        <w:t>附件：2026年区财政信息中心预算附表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hNjUyZDM3MmQxYTU0YmYxMmYxZDA0YmJjYjMzMjMifQ=="/>
  </w:docVars>
  <w:rsids>
    <w:rsidRoot w:val="002F3EA7"/>
    <w:rsid w:val="00000237"/>
    <w:rsid w:val="0007140E"/>
    <w:rsid w:val="000D539B"/>
    <w:rsid w:val="000E7F11"/>
    <w:rsid w:val="00176C02"/>
    <w:rsid w:val="001E436B"/>
    <w:rsid w:val="00287775"/>
    <w:rsid w:val="002C7F60"/>
    <w:rsid w:val="002F3EA7"/>
    <w:rsid w:val="00332087"/>
    <w:rsid w:val="0039373B"/>
    <w:rsid w:val="004D5FD2"/>
    <w:rsid w:val="004F0D77"/>
    <w:rsid w:val="00506EAF"/>
    <w:rsid w:val="0054068B"/>
    <w:rsid w:val="005D5BEB"/>
    <w:rsid w:val="00656CD2"/>
    <w:rsid w:val="006D3B14"/>
    <w:rsid w:val="00780CEB"/>
    <w:rsid w:val="007B637E"/>
    <w:rsid w:val="007F458D"/>
    <w:rsid w:val="00832891"/>
    <w:rsid w:val="00897F6B"/>
    <w:rsid w:val="009728FC"/>
    <w:rsid w:val="009C7052"/>
    <w:rsid w:val="009C74D1"/>
    <w:rsid w:val="00A12661"/>
    <w:rsid w:val="00A52889"/>
    <w:rsid w:val="00A7410A"/>
    <w:rsid w:val="00AC3583"/>
    <w:rsid w:val="00B4119A"/>
    <w:rsid w:val="00BE7D88"/>
    <w:rsid w:val="00C96040"/>
    <w:rsid w:val="00CF5785"/>
    <w:rsid w:val="00D614AA"/>
    <w:rsid w:val="00F016CC"/>
    <w:rsid w:val="00F47993"/>
    <w:rsid w:val="00F810B7"/>
    <w:rsid w:val="00FA2853"/>
    <w:rsid w:val="19A81678"/>
    <w:rsid w:val="32F02F31"/>
    <w:rsid w:val="467D010D"/>
    <w:rsid w:val="534215C9"/>
    <w:rsid w:val="64663768"/>
    <w:rsid w:val="6D415A0F"/>
    <w:rsid w:val="7B4927AB"/>
    <w:rsid w:val="7C4349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customStyle="1" w:styleId="8">
    <w:name w:val="Style10"/>
    <w:basedOn w:val="1"/>
    <w:qFormat/>
    <w:uiPriority w:val="0"/>
    <w:pPr>
      <w:adjustRightInd w:val="0"/>
      <w:jc w:val="left"/>
    </w:pPr>
    <w:rPr>
      <w:rFonts w:ascii="Arial" w:hAnsi="Arial" w:eastAsia="宋体" w:cs="Arial"/>
      <w:kern w:val="0"/>
      <w:sz w:val="24"/>
      <w:szCs w:val="24"/>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1776</Words>
  <Characters>1913</Characters>
  <Lines>13</Lines>
  <Paragraphs>3</Paragraphs>
  <TotalTime>66</TotalTime>
  <ScaleCrop>false</ScaleCrop>
  <LinksUpToDate>false</LinksUpToDate>
  <CharactersWithSpaces>1916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2023-01-31T09:19:00Z</dcterms:created>
  <dc:creator>User</dc:creator>
  <cp:lastModifiedBy>Administrator</cp:lastModifiedBy>
  <cp:lastPrinted>2025-02-18T01:52:00Z</cp:lastPrinted>
  <dcterms:modified xsi:type="dcterms:W3CDTF">2026-04-24T10:32:55Z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12E2911F432D4B3CB19FD8D91760A316_12</vt:lpwstr>
  </property>
  <property fmtid="{D5CDD505-2E9C-101B-9397-08002B2CF9AE}" pid="4" name="KSOTemplateDocerSaveRecord">
    <vt:lpwstr>eyJoZGlkIjoiYTRhYmVmNGI4ODAzMTQwOGNmMTBmYWE4ODg4Mjc4NTciLCJ1c2VySWQiOiIyMDc5Mjk5MjYifQ==</vt:lpwstr>
  </property>
</Properties>
</file>