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0DC6C">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_GBK" w:hAnsi="方正小标宋_GBK" w:eastAsia="方正小标宋_GBK" w:cs="方正小标宋_GBK"/>
          <w:b w:val="0"/>
          <w:bCs w:val="0"/>
          <w:sz w:val="44"/>
          <w:szCs w:val="44"/>
        </w:rPr>
      </w:pPr>
      <w:r>
        <w:rPr>
          <w:rFonts w:hint="eastAsia" w:ascii="Times New Roman" w:hAnsi="Times New Roman" w:eastAsia="方正小标宋_GBK" w:cs="方正小标宋_GBK"/>
          <w:b w:val="0"/>
          <w:bCs w:val="0"/>
          <w:sz w:val="44"/>
          <w:szCs w:val="44"/>
        </w:rPr>
        <w:t>2025</w:t>
      </w:r>
      <w:r>
        <w:rPr>
          <w:rFonts w:hint="eastAsia" w:ascii="方正小标宋_GBK" w:hAnsi="方正小标宋_GBK" w:eastAsia="方正小标宋_GBK" w:cs="方正小标宋_GBK"/>
          <w:b w:val="0"/>
          <w:bCs w:val="0"/>
          <w:sz w:val="44"/>
          <w:szCs w:val="44"/>
        </w:rPr>
        <w:t>年居家和社区基本养老服务提升项目投诉处理决定书</w:t>
      </w:r>
    </w:p>
    <w:p w14:paraId="4B5DA9E9">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jc w:val="center"/>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涪财采投〔</w:t>
      </w:r>
      <w:r>
        <w:rPr>
          <w:rFonts w:hint="eastAsia" w:ascii="Times New Roman" w:hAnsi="Times New Roman" w:eastAsia="方正楷体_GBK" w:cs="方正楷体_GBK"/>
          <w:b w:val="0"/>
          <w:bCs w:val="0"/>
          <w:sz w:val="32"/>
          <w:szCs w:val="32"/>
        </w:rPr>
        <w:t>2025</w:t>
      </w:r>
      <w:r>
        <w:rPr>
          <w:rFonts w:hint="eastAsia" w:ascii="方正楷体_GBK" w:hAnsi="方正楷体_GBK" w:eastAsia="方正楷体_GBK" w:cs="方正楷体_GBK"/>
          <w:b w:val="0"/>
          <w:bCs w:val="0"/>
          <w:sz w:val="32"/>
          <w:szCs w:val="32"/>
        </w:rPr>
        <w:t>〕</w:t>
      </w:r>
      <w:r>
        <w:rPr>
          <w:rFonts w:hint="eastAsia" w:ascii="Times New Roman" w:hAnsi="Times New Roman" w:eastAsia="方正楷体_GBK" w:cs="方正楷体_GBK"/>
          <w:b w:val="0"/>
          <w:bCs w:val="0"/>
          <w:sz w:val="32"/>
          <w:szCs w:val="32"/>
        </w:rPr>
        <w:t>62</w:t>
      </w:r>
      <w:r>
        <w:rPr>
          <w:rFonts w:hint="eastAsia" w:ascii="方正楷体_GBK" w:hAnsi="方正楷体_GBK" w:eastAsia="方正楷体_GBK" w:cs="方正楷体_GBK"/>
          <w:b w:val="0"/>
          <w:bCs w:val="0"/>
          <w:sz w:val="32"/>
          <w:szCs w:val="32"/>
        </w:rPr>
        <w:t>号</w:t>
      </w:r>
    </w:p>
    <w:p w14:paraId="1FB274C5">
      <w:pPr>
        <w:rPr>
          <w:rFonts w:hint="eastAsia"/>
        </w:rPr>
      </w:pPr>
    </w:p>
    <w:p w14:paraId="38C0F9BF">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根据《政府采购信息发布管理办法》（财政部令第</w:t>
      </w:r>
      <w:r>
        <w:rPr>
          <w:rFonts w:hint="eastAsia" w:ascii="Times New Roman" w:hAnsi="Times New Roman" w:eastAsia="方正仿宋_GBK" w:cs="方正仿宋_GBK"/>
          <w:sz w:val="32"/>
          <w:szCs w:val="32"/>
        </w:rPr>
        <w:t>101</w:t>
      </w:r>
      <w:r>
        <w:rPr>
          <w:rFonts w:hint="eastAsia" w:ascii="方正仿宋_GBK" w:hAnsi="方正仿宋_GBK" w:eastAsia="方正仿宋_GBK" w:cs="方正仿宋_GBK"/>
          <w:sz w:val="32"/>
          <w:szCs w:val="32"/>
        </w:rPr>
        <w:t>号）的相关规定，现本机关对“</w:t>
      </w:r>
      <w:r>
        <w:rPr>
          <w:rFonts w:hint="eastAsia" w:ascii="Times New Roman" w:hAnsi="Times New Roman" w:eastAsia="方正仿宋_GBK" w:cs="方正仿宋_GBK"/>
          <w:sz w:val="32"/>
          <w:szCs w:val="32"/>
        </w:rPr>
        <w:t>2025</w:t>
      </w:r>
      <w:r>
        <w:rPr>
          <w:rFonts w:hint="eastAsia" w:ascii="方正仿宋_GBK" w:hAnsi="方正仿宋_GBK" w:eastAsia="方正仿宋_GBK" w:cs="方正仿宋_GBK"/>
          <w:sz w:val="32"/>
          <w:szCs w:val="32"/>
        </w:rPr>
        <w:t>年居家和社区基本养老服务提升项目”（项目号：FLQ</w:t>
      </w:r>
      <w:r>
        <w:rPr>
          <w:rFonts w:hint="eastAsia" w:ascii="Times New Roman" w:hAnsi="Times New Roman" w:eastAsia="方正仿宋_GBK" w:cs="方正仿宋_GBK"/>
          <w:sz w:val="32"/>
          <w:szCs w:val="32"/>
        </w:rPr>
        <w:t>25</w:t>
      </w:r>
      <w:r>
        <w:rPr>
          <w:rFonts w:hint="eastAsia" w:ascii="方正仿宋_GBK" w:hAnsi="方正仿宋_GBK" w:eastAsia="方正仿宋_GBK" w:cs="方正仿宋_GBK"/>
          <w:sz w:val="32"/>
          <w:szCs w:val="32"/>
        </w:rPr>
        <w:t>C</w:t>
      </w:r>
      <w:r>
        <w:rPr>
          <w:rFonts w:hint="eastAsia" w:ascii="Times New Roman" w:hAnsi="Times New Roman" w:eastAsia="方正仿宋_GBK" w:cs="方正仿宋_GBK"/>
          <w:sz w:val="32"/>
          <w:szCs w:val="32"/>
        </w:rPr>
        <w:t>00054</w:t>
      </w:r>
      <w:r>
        <w:rPr>
          <w:rFonts w:hint="eastAsia" w:ascii="方正仿宋_GBK" w:hAnsi="方正仿宋_GBK" w:eastAsia="方正仿宋_GBK" w:cs="方正仿宋_GBK"/>
          <w:sz w:val="32"/>
          <w:szCs w:val="32"/>
        </w:rPr>
        <w:t>）作出的投诉处理决定公告如下：</w:t>
      </w:r>
    </w:p>
    <w:p w14:paraId="23EA74C7">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方正仿宋_GBK" w:hAnsi="方正仿宋_GBK" w:eastAsia="方正仿宋_GBK" w:cs="方正仿宋_GBK"/>
          <w:b/>
          <w:bCs/>
          <w:spacing w:val="-20"/>
          <w:sz w:val="32"/>
          <w:szCs w:val="32"/>
        </w:rPr>
      </w:pPr>
      <w:r>
        <w:rPr>
          <w:rFonts w:hint="eastAsia" w:ascii="方正黑体_GBK" w:hAnsi="方正黑体_GBK" w:eastAsia="方正黑体_GBK" w:cs="方正黑体_GBK"/>
          <w:b w:val="0"/>
          <w:bCs w:val="0"/>
          <w:sz w:val="32"/>
          <w:szCs w:val="32"/>
        </w:rPr>
        <w:t>一、项目编号</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bCs/>
          <w:spacing w:val="-20"/>
          <w:sz w:val="32"/>
          <w:szCs w:val="32"/>
        </w:rPr>
        <w:t>FLQ</w:t>
      </w:r>
      <w:r>
        <w:rPr>
          <w:rFonts w:hint="eastAsia" w:ascii="Times New Roman" w:hAnsi="Times New Roman" w:eastAsia="方正仿宋_GBK" w:cs="方正仿宋_GBK"/>
          <w:b/>
          <w:bCs/>
          <w:spacing w:val="-20"/>
          <w:sz w:val="32"/>
          <w:szCs w:val="32"/>
        </w:rPr>
        <w:t>25</w:t>
      </w:r>
      <w:r>
        <w:rPr>
          <w:rFonts w:hint="eastAsia" w:ascii="方正仿宋_GBK" w:hAnsi="方正仿宋_GBK" w:eastAsia="方正仿宋_GBK" w:cs="方正仿宋_GBK"/>
          <w:b/>
          <w:bCs/>
          <w:spacing w:val="-20"/>
          <w:sz w:val="32"/>
          <w:szCs w:val="32"/>
        </w:rPr>
        <w:t>C</w:t>
      </w:r>
      <w:r>
        <w:rPr>
          <w:rFonts w:hint="eastAsia" w:ascii="Times New Roman" w:hAnsi="Times New Roman" w:eastAsia="方正仿宋_GBK" w:cs="方正仿宋_GBK"/>
          <w:b/>
          <w:bCs/>
          <w:spacing w:val="-20"/>
          <w:sz w:val="32"/>
          <w:szCs w:val="32"/>
        </w:rPr>
        <w:t>00054</w:t>
      </w:r>
      <w:r>
        <w:rPr>
          <w:rFonts w:hint="eastAsia" w:ascii="方正仿宋_GBK" w:hAnsi="方正仿宋_GBK" w:eastAsia="方正仿宋_GBK" w:cs="方正仿宋_GBK"/>
          <w:b/>
          <w:bCs/>
          <w:spacing w:val="-20"/>
          <w:sz w:val="32"/>
          <w:szCs w:val="32"/>
        </w:rPr>
        <w:t>采购时间：</w:t>
      </w:r>
      <w:r>
        <w:rPr>
          <w:rFonts w:hint="eastAsia" w:ascii="Times New Roman" w:hAnsi="Times New Roman" w:eastAsia="方正仿宋_GBK" w:cs="方正仿宋_GBK"/>
          <w:b/>
          <w:bCs/>
          <w:spacing w:val="-20"/>
          <w:sz w:val="32"/>
          <w:szCs w:val="32"/>
        </w:rPr>
        <w:t>2025</w:t>
      </w:r>
      <w:r>
        <w:rPr>
          <w:rFonts w:hint="eastAsia" w:ascii="方正仿宋_GBK" w:hAnsi="方正仿宋_GBK" w:eastAsia="方正仿宋_GBK" w:cs="方正仿宋_GBK"/>
          <w:b/>
          <w:bCs/>
          <w:spacing w:val="-20"/>
          <w:sz w:val="32"/>
          <w:szCs w:val="32"/>
        </w:rPr>
        <w:t>年</w:t>
      </w:r>
      <w:r>
        <w:rPr>
          <w:rFonts w:hint="eastAsia" w:ascii="Times New Roman" w:hAnsi="Times New Roman" w:eastAsia="方正仿宋_GBK" w:cs="方正仿宋_GBK"/>
          <w:b/>
          <w:bCs/>
          <w:spacing w:val="-20"/>
          <w:sz w:val="32"/>
          <w:szCs w:val="32"/>
        </w:rPr>
        <w:t>08</w:t>
      </w:r>
      <w:r>
        <w:rPr>
          <w:rFonts w:hint="eastAsia" w:ascii="方正仿宋_GBK" w:hAnsi="方正仿宋_GBK" w:eastAsia="方正仿宋_GBK" w:cs="方正仿宋_GBK"/>
          <w:b/>
          <w:bCs/>
          <w:spacing w:val="-20"/>
          <w:sz w:val="32"/>
          <w:szCs w:val="32"/>
        </w:rPr>
        <w:t>月</w:t>
      </w:r>
      <w:r>
        <w:rPr>
          <w:rFonts w:hint="eastAsia" w:ascii="Times New Roman" w:hAnsi="Times New Roman" w:eastAsia="方正仿宋_GBK" w:cs="方正仿宋_GBK"/>
          <w:b/>
          <w:bCs/>
          <w:spacing w:val="-20"/>
          <w:sz w:val="32"/>
          <w:szCs w:val="32"/>
        </w:rPr>
        <w:t>18</w:t>
      </w:r>
      <w:r>
        <w:rPr>
          <w:rFonts w:hint="eastAsia" w:ascii="方正仿宋_GBK" w:hAnsi="方正仿宋_GBK" w:eastAsia="方正仿宋_GBK" w:cs="方正仿宋_GBK"/>
          <w:b/>
          <w:bCs/>
          <w:spacing w:val="-20"/>
          <w:sz w:val="32"/>
          <w:szCs w:val="32"/>
        </w:rPr>
        <w:t>日</w:t>
      </w:r>
    </w:p>
    <w:p w14:paraId="0F53DDA7">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方正仿宋_GBK" w:hAnsi="方正仿宋_GBK" w:eastAsia="方正仿宋_GBK" w:cs="方正仿宋_GBK"/>
          <w:b/>
          <w:bCs/>
          <w:spacing w:val="-20"/>
          <w:sz w:val="32"/>
          <w:szCs w:val="32"/>
        </w:rPr>
      </w:pPr>
      <w:r>
        <w:rPr>
          <w:rFonts w:hint="eastAsia" w:ascii="方正黑体_GBK" w:hAnsi="方正黑体_GBK" w:eastAsia="方正黑体_GBK" w:cs="方正黑体_GBK"/>
          <w:b w:val="0"/>
          <w:bCs w:val="0"/>
          <w:sz w:val="32"/>
          <w:szCs w:val="32"/>
        </w:rPr>
        <w:t>二、项目名称</w:t>
      </w:r>
      <w:r>
        <w:rPr>
          <w:rFonts w:hint="eastAsia" w:ascii="方正仿宋_GBK" w:hAnsi="方正仿宋_GBK" w:eastAsia="方正仿宋_GBK" w:cs="方正仿宋_GBK"/>
          <w:b w:val="0"/>
          <w:bCs w:val="0"/>
          <w:sz w:val="32"/>
          <w:szCs w:val="32"/>
        </w:rPr>
        <w:t>：</w:t>
      </w:r>
      <w:r>
        <w:rPr>
          <w:rFonts w:hint="eastAsia" w:ascii="Times New Roman" w:hAnsi="Times New Roman" w:eastAsia="方正仿宋_GBK" w:cs="方正仿宋_GBK"/>
          <w:b/>
          <w:bCs/>
          <w:spacing w:val="-20"/>
          <w:sz w:val="32"/>
          <w:szCs w:val="32"/>
        </w:rPr>
        <w:t>2025</w:t>
      </w:r>
      <w:r>
        <w:rPr>
          <w:rFonts w:hint="eastAsia" w:ascii="方正仿宋_GBK" w:hAnsi="方正仿宋_GBK" w:eastAsia="方正仿宋_GBK" w:cs="方正仿宋_GBK"/>
          <w:b/>
          <w:bCs/>
          <w:spacing w:val="-20"/>
          <w:sz w:val="32"/>
          <w:szCs w:val="32"/>
        </w:rPr>
        <w:t>年居家和社区基本养老服务提升项目</w:t>
      </w:r>
    </w:p>
    <w:p w14:paraId="3D191658">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三、相关当事人</w:t>
      </w:r>
    </w:p>
    <w:p w14:paraId="259FA1A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24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投诉人：康力元（天津）医疗科技有限公司</w:t>
      </w:r>
    </w:p>
    <w:p w14:paraId="13D48D4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24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地址：南京市玄武区珠江路</w:t>
      </w:r>
      <w:r>
        <w:rPr>
          <w:rFonts w:hint="eastAsia" w:ascii="Times New Roman" w:hAnsi="Times New Roman" w:eastAsia="方正仿宋_GBK" w:cs="方正仿宋_GBK"/>
          <w:sz w:val="32"/>
          <w:szCs w:val="32"/>
        </w:rPr>
        <w:t>67</w:t>
      </w:r>
      <w:r>
        <w:rPr>
          <w:rFonts w:hint="eastAsia" w:ascii="方正仿宋_GBK" w:hAnsi="方正仿宋_GBK" w:eastAsia="方正仿宋_GBK" w:cs="方正仿宋_GBK"/>
          <w:sz w:val="32"/>
          <w:szCs w:val="32"/>
        </w:rPr>
        <w:t>号华利大厦</w:t>
      </w:r>
      <w:r>
        <w:rPr>
          <w:rFonts w:hint="eastAsia" w:ascii="Times New Roman" w:hAnsi="Times New Roman" w:eastAsia="方正仿宋_GBK" w:cs="方正仿宋_GBK"/>
          <w:sz w:val="32"/>
          <w:szCs w:val="32"/>
        </w:rPr>
        <w:t>4612</w:t>
      </w:r>
      <w:r>
        <w:rPr>
          <w:rFonts w:hint="eastAsia" w:ascii="方正仿宋_GBK" w:hAnsi="方正仿宋_GBK" w:eastAsia="方正仿宋_GBK" w:cs="方正仿宋_GBK"/>
          <w:sz w:val="32"/>
          <w:szCs w:val="32"/>
        </w:rPr>
        <w:t>室</w:t>
      </w:r>
    </w:p>
    <w:p w14:paraId="402F25E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240" w:right="240" w:firstLine="640" w:firstLineChars="200"/>
        <w:jc w:val="left"/>
        <w:textAlignment w:val="auto"/>
        <w:rPr>
          <w:rFonts w:hint="eastAsia" w:ascii="方正仿宋_GBK" w:hAnsi="方正仿宋_GBK" w:eastAsia="方正仿宋_GBK" w:cs="方正仿宋_GBK"/>
          <w:sz w:val="32"/>
          <w:szCs w:val="32"/>
        </w:rPr>
      </w:pPr>
    </w:p>
    <w:p w14:paraId="2090A16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24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被投诉人</w:t>
      </w: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：重庆市涪陵区民政局</w:t>
      </w:r>
    </w:p>
    <w:p w14:paraId="64D785F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24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通讯地址：重庆市涪陵区太极大道</w:t>
      </w:r>
      <w:r>
        <w:rPr>
          <w:rFonts w:hint="eastAsia" w:ascii="Times New Roman" w:hAnsi="Times New Roman" w:eastAsia="方正仿宋_GBK" w:cs="方正仿宋_GBK"/>
          <w:sz w:val="32"/>
          <w:szCs w:val="32"/>
        </w:rPr>
        <w:t>21</w:t>
      </w:r>
      <w:r>
        <w:rPr>
          <w:rFonts w:hint="eastAsia" w:ascii="方正仿宋_GBK" w:hAnsi="方正仿宋_GBK" w:eastAsia="方正仿宋_GBK" w:cs="方正仿宋_GBK"/>
          <w:sz w:val="32"/>
          <w:szCs w:val="32"/>
        </w:rPr>
        <w:t>号</w:t>
      </w:r>
    </w:p>
    <w:p w14:paraId="4EE0954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240" w:right="240" w:firstLine="640" w:firstLineChars="200"/>
        <w:jc w:val="left"/>
        <w:textAlignment w:val="auto"/>
        <w:rPr>
          <w:rFonts w:hint="eastAsia" w:ascii="方正仿宋_GBK" w:hAnsi="方正仿宋_GBK" w:eastAsia="方正仿宋_GBK" w:cs="方正仿宋_GBK"/>
          <w:sz w:val="32"/>
          <w:szCs w:val="32"/>
        </w:rPr>
      </w:pPr>
    </w:p>
    <w:p w14:paraId="04F0C41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24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被投诉人</w:t>
      </w: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：重庆凯弘工程咨询有限公司</w:t>
      </w:r>
    </w:p>
    <w:p w14:paraId="2708213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24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通讯地址：重庆市涪陵区太极大道星苑豪庭A栋</w:t>
      </w:r>
    </w:p>
    <w:p w14:paraId="254F86D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20" w:lineRule="exact"/>
        <w:ind w:firstLine="64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方正黑体_GBK" w:hAnsi="方正黑体_GBK" w:eastAsia="方正黑体_GBK" w:cs="方正黑体_GBK"/>
          <w:b w:val="0"/>
          <w:bCs w:val="0"/>
          <w:sz w:val="32"/>
          <w:szCs w:val="32"/>
        </w:rPr>
        <w:t>四、基本情况</w:t>
      </w:r>
    </w:p>
    <w:p w14:paraId="3C514CD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2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投诉人不服被投诉人的质疑答复，向我局提出投诉。经审查，符合《政府采购质疑和投诉办法》（财政部令第</w:t>
      </w:r>
      <w:r>
        <w:rPr>
          <w:rFonts w:hint="eastAsia" w:ascii="Times New Roman" w:hAnsi="Times New Roman" w:eastAsia="方正仿宋_GBK" w:cs="方正仿宋_GBK"/>
          <w:b w:val="0"/>
          <w:bCs w:val="0"/>
          <w:sz w:val="32"/>
          <w:szCs w:val="32"/>
        </w:rPr>
        <w:t>94</w:t>
      </w:r>
      <w:r>
        <w:rPr>
          <w:rFonts w:hint="eastAsia" w:ascii="方正仿宋_GBK" w:hAnsi="方正仿宋_GBK" w:eastAsia="方正仿宋_GBK" w:cs="方正仿宋_GBK"/>
          <w:b w:val="0"/>
          <w:bCs w:val="0"/>
          <w:sz w:val="32"/>
          <w:szCs w:val="32"/>
        </w:rPr>
        <w:t>号）第十八条规定，我局决定予以受理。</w:t>
      </w:r>
    </w:p>
    <w:p w14:paraId="442B751D">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2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（一）投诉事项</w:t>
      </w:r>
    </w:p>
    <w:p w14:paraId="61CE54C0">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投诉事项</w:t>
      </w: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：中标供应商重庆宏善实业集团有限公司（以下称重庆宏善公司）不符合中型企业划型，提供虚假证明材料骗取中标；</w:t>
      </w:r>
    </w:p>
    <w:p w14:paraId="5C7C3877">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投诉事项</w:t>
      </w: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：部分投标材料不符合招标文件要求，应按无效投标处理。</w:t>
      </w:r>
    </w:p>
    <w:p w14:paraId="5A8A9E74">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（二）投诉请求</w:t>
      </w:r>
    </w:p>
    <w:p w14:paraId="72C4C0E5">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请求调查处理投诉事项。</w:t>
      </w:r>
    </w:p>
    <w:p w14:paraId="14DE6E01">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五、处理依据及结果</w:t>
      </w:r>
    </w:p>
    <w:p w14:paraId="618563A6">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经研究，根据《政府采购质疑和投诉办法》（财政部令第</w:t>
      </w:r>
      <w:r>
        <w:rPr>
          <w:rFonts w:hint="eastAsia" w:ascii="Times New Roman" w:hAnsi="Times New Roman" w:eastAsia="方正仿宋_GBK" w:cs="方正仿宋_GBK"/>
          <w:sz w:val="32"/>
          <w:szCs w:val="32"/>
        </w:rPr>
        <w:t>94</w:t>
      </w:r>
      <w:r>
        <w:rPr>
          <w:rFonts w:hint="eastAsia" w:ascii="方正仿宋_GBK" w:hAnsi="方正仿宋_GBK" w:eastAsia="方正仿宋_GBK" w:cs="方正仿宋_GBK"/>
          <w:sz w:val="32"/>
          <w:szCs w:val="32"/>
        </w:rPr>
        <w:t>号）第二十九条第（二）项规定，我局决定：投诉事项</w:t>
      </w: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缺乏事实依据，投诉事项不成立。</w:t>
      </w:r>
    </w:p>
    <w:p w14:paraId="687A238C">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如对本决定不服，可以自收到本决定书之日起六十日内依法向涪陵区人民政府申请行政复议，或自收到本决定书之日起六个月内依法向人民法院提起行政诉讼。</w:t>
      </w:r>
    </w:p>
    <w:p w14:paraId="5DD1E430">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rPr>
        <w:t>其他补充事宜</w:t>
      </w:r>
    </w:p>
    <w:p w14:paraId="2F8BE030">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outlineLvl w:val="2"/>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无</w:t>
      </w:r>
    </w:p>
    <w:p w14:paraId="67CCF581">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jc w:val="right"/>
        <w:textAlignment w:val="auto"/>
        <w:rPr>
          <w:rFonts w:hint="eastAsia" w:ascii="方正仿宋_GBK" w:hAnsi="方正仿宋_GBK" w:eastAsia="方正仿宋_GBK" w:cs="方正仿宋_GBK"/>
          <w:sz w:val="32"/>
          <w:szCs w:val="32"/>
        </w:rPr>
      </w:pPr>
    </w:p>
    <w:p w14:paraId="2100FFA1">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重庆市涪陵区财政局</w:t>
      </w:r>
    </w:p>
    <w:p w14:paraId="28AC38CF">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jc w:val="righ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2025</w:t>
      </w:r>
      <w:r>
        <w:rPr>
          <w:rFonts w:hint="eastAsia" w:ascii="方正仿宋_GBK" w:hAnsi="方正仿宋_GBK" w:eastAsia="方正仿宋_GBK" w:cs="方正仿宋_GBK"/>
          <w:sz w:val="32"/>
          <w:szCs w:val="32"/>
        </w:rPr>
        <w:t>年</w:t>
      </w:r>
      <w:r>
        <w:rPr>
          <w:rFonts w:hint="eastAsia" w:ascii="Times New Roman" w:hAnsi="Times New Roman" w:eastAsia="方正仿宋_GBK" w:cs="方正仿宋_GBK"/>
          <w:sz w:val="32"/>
          <w:szCs w:val="32"/>
        </w:rPr>
        <w:t>9</w:t>
      </w:r>
      <w:r>
        <w:rPr>
          <w:rFonts w:hint="eastAsia" w:ascii="方正仿宋_GBK" w:hAnsi="方正仿宋_GBK" w:eastAsia="方正仿宋_GBK" w:cs="方正仿宋_GBK"/>
          <w:sz w:val="32"/>
          <w:szCs w:val="32"/>
        </w:rPr>
        <w:t>月</w:t>
      </w:r>
      <w:r>
        <w:rPr>
          <w:rFonts w:hint="eastAsia" w:ascii="Times New Roman" w:hAnsi="Times New Roman" w:eastAsia="方正仿宋_GBK" w:cs="方正仿宋_GBK"/>
          <w:sz w:val="32"/>
          <w:szCs w:val="32"/>
        </w:rPr>
        <w:t>22</w:t>
      </w:r>
      <w:r>
        <w:rPr>
          <w:rFonts w:hint="eastAsia" w:ascii="方正仿宋_GBK" w:hAnsi="方正仿宋_GBK" w:eastAsia="方正仿宋_GBK" w:cs="方正仿宋_GBK"/>
          <w:sz w:val="32"/>
          <w:szCs w:val="32"/>
        </w:rPr>
        <w:t>日</w:t>
      </w:r>
      <w:bookmarkStart w:id="0" w:name="_GoBack"/>
      <w:bookmarkEnd w:id="0"/>
    </w:p>
    <w:p w14:paraId="3762F50F">
      <w:pPr>
        <w:keepNext w:val="0"/>
        <w:keepLines w:val="0"/>
        <w:pageBreakBefore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1D56AF"/>
    <w:multiLevelType w:val="singleLevel"/>
    <w:tmpl w:val="DE1D56AF"/>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1D6906"/>
    <w:rsid w:val="451D6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2025-09-28T02:19:00Z</dcterms:created>
  <dc:creator>朱凯</dc:creator>
  <cp:lastModifiedBy>朱凯</cp:lastModifiedBy>
  <dcterms:modified xsi:type="dcterms:W3CDTF">2025-09-28T02:30:09Z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0BF6CADE690E45B39D1C592718E0E2DF_11</vt:lpwstr>
  </property>
  <property fmtid="{D5CDD505-2E9C-101B-9397-08002B2CF9AE}" pid="4" name="KSOTemplateDocerSaveRecord">
    <vt:lpwstr>eyJoZGlkIjoiYTRkNDg4ZTU5YjVlMDBjMjAxOTBjZWM5MDViNjE0MzgiLCJ1c2VySWQiOiIzMTE2ODA0MTIifQ==</vt:lpwstr>
  </property>
</Properties>
</file>