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4D" w:rsidRDefault="00D5664D" w:rsidP="0042176C">
      <w:pPr>
        <w:spacing w:line="390" w:lineRule="exact"/>
        <w:rPr>
          <w:rFonts w:ascii="方正小标宋_GBK" w:eastAsia="方正小标宋_GBK" w:cs="Times New Roman"/>
          <w:b/>
          <w:bCs/>
        </w:rPr>
      </w:pPr>
      <w:bookmarkStart w:id="0" w:name="_GoBack"/>
    </w:p>
    <w:p w:rsidR="00D5664D" w:rsidRDefault="00D5664D" w:rsidP="0042176C">
      <w:pPr>
        <w:spacing w:line="380" w:lineRule="exact"/>
        <w:rPr>
          <w:rFonts w:ascii="方正小标宋_GBK" w:eastAsia="方正小标宋_GBK" w:cs="Times New Roman"/>
          <w:spacing w:val="-14"/>
          <w:w w:val="42"/>
        </w:rPr>
      </w:pPr>
    </w:p>
    <w:p w:rsidR="00D5664D" w:rsidRDefault="00D5664D" w:rsidP="0042176C">
      <w:pPr>
        <w:spacing w:line="390" w:lineRule="exact"/>
        <w:rPr>
          <w:rFonts w:ascii="方正小标宋_GBK" w:eastAsia="方正小标宋_GBK" w:cs="Times New Roman"/>
          <w:spacing w:val="-14"/>
          <w:w w:val="42"/>
        </w:rPr>
      </w:pPr>
      <w:r>
        <w:rPr>
          <w:noProof/>
        </w:rPr>
        <w:pict>
          <v:line id="Line 597" o:spid="_x0000_s1026" style="position:absolute;z-index:251658240;mso-position-horizontal:center" from="0,14.65pt" to=".05pt,14.7pt" o:preferrelative="t" wrapcoords="2 2 2 2 2 2 2 2 2 2" strokeweight="2pt">
            <v:stroke miterlimit="2"/>
            <w10:wrap type="tight"/>
          </v:line>
        </w:pict>
      </w:r>
    </w:p>
    <w:p w:rsidR="00D5664D" w:rsidRDefault="00D5664D" w:rsidP="0042176C">
      <w:pPr>
        <w:spacing w:line="400" w:lineRule="exact"/>
        <w:rPr>
          <w:rFonts w:ascii="方正小标宋_GBK" w:eastAsia="方正小标宋_GBK" w:cs="Times New Roman"/>
          <w:spacing w:val="-14"/>
          <w:w w:val="42"/>
        </w:rPr>
      </w:pPr>
    </w:p>
    <w:p w:rsidR="00D5664D" w:rsidRPr="0042176C" w:rsidRDefault="00D5664D" w:rsidP="0042176C">
      <w:pPr>
        <w:tabs>
          <w:tab w:val="left" w:pos="158"/>
          <w:tab w:val="left" w:pos="8690"/>
        </w:tabs>
        <w:spacing w:line="1180" w:lineRule="exact"/>
        <w:jc w:val="center"/>
        <w:rPr>
          <w:rFonts w:ascii="方正小标宋_GBK" w:eastAsia="方正小标宋_GBK" w:cs="Times New Roman"/>
          <w:b/>
          <w:bCs/>
          <w:color w:val="FF0000"/>
          <w:spacing w:val="-14"/>
          <w:w w:val="50"/>
          <w:sz w:val="108"/>
          <w:szCs w:val="108"/>
        </w:rPr>
      </w:pPr>
      <w:r w:rsidRPr="0042176C">
        <w:rPr>
          <w:rFonts w:ascii="方正小标宋_GBK" w:eastAsia="方正小标宋_GBK" w:cs="方正小标宋_GBK" w:hint="eastAsia"/>
          <w:b/>
          <w:bCs/>
          <w:color w:val="FF0000"/>
          <w:spacing w:val="-14"/>
          <w:w w:val="50"/>
          <w:sz w:val="108"/>
          <w:szCs w:val="108"/>
        </w:rPr>
        <w:t>重庆市涪陵区发展和改革委员会文件</w:t>
      </w:r>
    </w:p>
    <w:p w:rsidR="00D5664D" w:rsidRDefault="00D5664D" w:rsidP="0042176C">
      <w:pPr>
        <w:spacing w:line="480" w:lineRule="exact"/>
        <w:jc w:val="center"/>
        <w:rPr>
          <w:rFonts w:ascii="仿宋_GB2312" w:cs="Times New Roman"/>
        </w:rPr>
      </w:pPr>
    </w:p>
    <w:p w:rsidR="00D5664D" w:rsidRDefault="00D5664D" w:rsidP="0042176C">
      <w:pPr>
        <w:spacing w:line="460" w:lineRule="exact"/>
        <w:jc w:val="center"/>
        <w:rPr>
          <w:rFonts w:ascii="仿宋_GB2312" w:cs="Times New Roman"/>
        </w:rPr>
      </w:pPr>
    </w:p>
    <w:p w:rsidR="00D5664D" w:rsidRDefault="00D5664D" w:rsidP="0042176C">
      <w:pPr>
        <w:spacing w:line="314" w:lineRule="atLeast"/>
        <w:jc w:val="center"/>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涪发改委发〔</w:t>
      </w:r>
      <w:r>
        <w:rPr>
          <w:rFonts w:ascii="方正仿宋_GBK" w:eastAsia="方正仿宋_GBK" w:cs="方正仿宋_GBK"/>
          <w:color w:val="000000"/>
          <w:sz w:val="32"/>
          <w:szCs w:val="32"/>
        </w:rPr>
        <w:t>2020</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861</w:t>
      </w:r>
      <w:r>
        <w:rPr>
          <w:rFonts w:ascii="方正仿宋_GBK" w:eastAsia="方正仿宋_GBK" w:cs="方正仿宋_GBK" w:hint="eastAsia"/>
          <w:color w:val="000000"/>
          <w:sz w:val="32"/>
          <w:szCs w:val="32"/>
        </w:rPr>
        <w:t>号</w:t>
      </w:r>
    </w:p>
    <w:p w:rsidR="00D5664D" w:rsidRDefault="00D5664D" w:rsidP="0042176C">
      <w:pPr>
        <w:jc w:val="center"/>
        <w:rPr>
          <w:rFonts w:cs="Times New Roman"/>
        </w:rPr>
      </w:pPr>
      <w:r>
        <w:rPr>
          <w:noProof/>
        </w:rPr>
        <w:pict>
          <v:line id="Line 598" o:spid="_x0000_s1027" style="position:absolute;left:0;text-align:left;z-index:251659264" from="0,6.6pt" to="442.2pt,6.65pt" o:preferrelative="t" strokecolor="red" strokeweight="2.25pt">
            <v:stroke miterlimit="2"/>
            <w10:wrap type="square"/>
          </v:line>
        </w:pict>
      </w:r>
    </w:p>
    <w:p w:rsidR="00D5664D" w:rsidRDefault="00D5664D">
      <w:pPr>
        <w:spacing w:line="604" w:lineRule="atLeast"/>
        <w:ind w:left="2635" w:hanging="2635"/>
        <w:jc w:val="center"/>
        <w:rPr>
          <w:rFonts w:ascii="方正小标宋_GBK" w:eastAsia="方正小标宋_GBK" w:cs="Times New Roman"/>
          <w:color w:val="000000"/>
          <w:sz w:val="44"/>
          <w:szCs w:val="44"/>
        </w:rPr>
      </w:pPr>
    </w:p>
    <w:p w:rsidR="00D5664D" w:rsidRDefault="00D5664D">
      <w:pPr>
        <w:spacing w:line="604" w:lineRule="atLeast"/>
        <w:ind w:left="2635" w:hanging="2635"/>
        <w:jc w:val="center"/>
        <w:rPr>
          <w:rFonts w:ascii="方正小标宋_GBK" w:eastAsia="方正小标宋_GBK" w:cs="Times New Roman"/>
          <w:color w:val="000000"/>
          <w:sz w:val="44"/>
          <w:szCs w:val="44"/>
        </w:rPr>
      </w:pPr>
      <w:r>
        <w:rPr>
          <w:rFonts w:ascii="方正小标宋_GBK" w:eastAsia="方正小标宋_GBK" w:cs="方正小标宋_GBK" w:hint="eastAsia"/>
          <w:color w:val="000000"/>
          <w:sz w:val="44"/>
          <w:szCs w:val="44"/>
        </w:rPr>
        <w:t>重庆市涪陵区发展和改革委员会</w:t>
      </w:r>
    </w:p>
    <w:p w:rsidR="00D5664D" w:rsidRPr="0042176C" w:rsidRDefault="00D5664D" w:rsidP="0042176C">
      <w:pPr>
        <w:spacing w:line="604" w:lineRule="atLeast"/>
        <w:jc w:val="center"/>
        <w:rPr>
          <w:rFonts w:ascii="方正小标宋_GBK" w:eastAsia="方正小标宋_GBK" w:cs="Times New Roman"/>
          <w:color w:val="000000"/>
          <w:sz w:val="44"/>
          <w:szCs w:val="44"/>
        </w:rPr>
      </w:pPr>
      <w:r>
        <w:rPr>
          <w:rFonts w:ascii="方正小标宋_GBK" w:eastAsia="方正小标宋_GBK" w:cs="方正小标宋_GBK" w:hint="eastAsia"/>
          <w:color w:val="000000"/>
          <w:sz w:val="44"/>
          <w:szCs w:val="44"/>
        </w:rPr>
        <w:t>关于核定武陵山乡水厂自来水销售价格和建立用水阶梯价格制度的批复</w:t>
      </w:r>
    </w:p>
    <w:p w:rsidR="00D5664D" w:rsidRDefault="00D5664D">
      <w:pPr>
        <w:spacing w:line="604" w:lineRule="atLeast"/>
        <w:jc w:val="center"/>
        <w:rPr>
          <w:rFonts w:ascii="方正仿宋_GBK" w:eastAsia="方正仿宋_GBK" w:cs="Times New Roman"/>
          <w:color w:val="000000"/>
          <w:sz w:val="32"/>
          <w:szCs w:val="32"/>
        </w:rPr>
      </w:pPr>
    </w:p>
    <w:p w:rsidR="00D5664D" w:rsidRDefault="00D5664D">
      <w:pPr>
        <w:spacing w:line="518" w:lineRule="atLeast"/>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重庆市涪陵区水利供水公司：</w:t>
      </w:r>
    </w:p>
    <w:p w:rsidR="00D5664D" w:rsidRDefault="00D5664D">
      <w:pPr>
        <w:spacing w:line="518"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你司《关于核定武陵山乡水厂自来水销售价格的请示》〔涪水供司文（</w:t>
      </w:r>
      <w:r>
        <w:rPr>
          <w:rFonts w:ascii="方正仿宋_GBK" w:eastAsia="方正仿宋_GBK" w:cs="方正仿宋_GBK"/>
          <w:color w:val="000000"/>
          <w:sz w:val="32"/>
          <w:szCs w:val="32"/>
        </w:rPr>
        <w:t>2019</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59</w:t>
      </w:r>
      <w:r>
        <w:rPr>
          <w:rFonts w:ascii="方正仿宋_GBK" w:eastAsia="方正仿宋_GBK" w:cs="方正仿宋_GBK" w:hint="eastAsia"/>
          <w:color w:val="000000"/>
          <w:sz w:val="32"/>
          <w:szCs w:val="32"/>
        </w:rPr>
        <w:t>号〕收悉，我委组织人员对武陵山乡自来水厂运营情况进行了认真细致的调查。为了保障水厂的正常运行，确保供水质量及居民饮水安全，现将武陵山乡自来水销售和建立用水阶梯价格批复如下：</w:t>
      </w:r>
    </w:p>
    <w:p w:rsidR="00D5664D" w:rsidRDefault="00D5664D">
      <w:pPr>
        <w:spacing w:line="518"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一、居民用水</w:t>
      </w:r>
      <w:r>
        <w:rPr>
          <w:rFonts w:ascii="方正仿宋_GBK" w:eastAsia="方正仿宋_GBK" w:cs="方正仿宋_GBK"/>
          <w:color w:val="000000"/>
          <w:sz w:val="32"/>
          <w:szCs w:val="32"/>
        </w:rPr>
        <w:t>3.00</w:t>
      </w:r>
      <w:r>
        <w:rPr>
          <w:rFonts w:ascii="方正仿宋_GBK" w:eastAsia="方正仿宋_GBK" w:cs="方正仿宋_GBK" w:hint="eastAsia"/>
          <w:color w:val="000000"/>
          <w:sz w:val="32"/>
          <w:szCs w:val="32"/>
        </w:rPr>
        <w:t>元</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立方米，非居民用水</w:t>
      </w:r>
      <w:r>
        <w:rPr>
          <w:rFonts w:ascii="方正仿宋_GBK" w:eastAsia="方正仿宋_GBK" w:cs="方正仿宋_GBK"/>
          <w:color w:val="000000"/>
          <w:sz w:val="32"/>
          <w:szCs w:val="32"/>
        </w:rPr>
        <w:t>3.80</w:t>
      </w:r>
      <w:r>
        <w:rPr>
          <w:rFonts w:ascii="方正仿宋_GBK" w:eastAsia="方正仿宋_GBK" w:cs="方正仿宋_GBK" w:hint="eastAsia"/>
          <w:color w:val="000000"/>
          <w:sz w:val="32"/>
          <w:szCs w:val="32"/>
        </w:rPr>
        <w:t>元</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立方米。对农户利用自家房屋经营农家乐的，</w:t>
      </w:r>
      <w:r>
        <w:rPr>
          <w:rFonts w:ascii="方正仿宋_GBK" w:eastAsia="方正仿宋_GBK" w:cs="方正仿宋_GBK"/>
          <w:color w:val="000000"/>
          <w:sz w:val="32"/>
          <w:szCs w:val="32"/>
        </w:rPr>
        <w:t>7-9</w:t>
      </w:r>
      <w:r>
        <w:rPr>
          <w:rFonts w:ascii="方正仿宋_GBK" w:eastAsia="方正仿宋_GBK" w:cs="方正仿宋_GBK" w:hint="eastAsia"/>
          <w:color w:val="000000"/>
          <w:sz w:val="32"/>
          <w:szCs w:val="32"/>
        </w:rPr>
        <w:t>月按非居民用水价格执行，其他月份按居民价格执行。</w:t>
      </w:r>
    </w:p>
    <w:p w:rsidR="00D5664D" w:rsidRDefault="00D5664D">
      <w:pPr>
        <w:spacing w:line="518"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二、阶梯水量及价格：第一阶梯水量为每户每年</w:t>
      </w:r>
      <w:r>
        <w:rPr>
          <w:rFonts w:ascii="方正仿宋_GBK" w:eastAsia="方正仿宋_GBK" w:cs="方正仿宋_GBK"/>
          <w:color w:val="000000"/>
          <w:sz w:val="32"/>
          <w:szCs w:val="32"/>
        </w:rPr>
        <w:t>260m</w:t>
      </w:r>
      <w:r>
        <w:rPr>
          <w:rFonts w:ascii="方正仿宋_GBK" w:eastAsia="方正仿宋_GBK" w:cs="方正仿宋_GBK"/>
          <w:color w:val="000000"/>
          <w:sz w:val="32"/>
          <w:szCs w:val="32"/>
          <w:vertAlign w:val="superscript"/>
        </w:rPr>
        <w:t>3</w:t>
      </w:r>
      <w:r>
        <w:rPr>
          <w:rFonts w:ascii="方正仿宋_GBK" w:eastAsia="方正仿宋_GBK" w:cs="方正仿宋_GBK" w:hint="eastAsia"/>
          <w:color w:val="000000"/>
          <w:sz w:val="32"/>
          <w:szCs w:val="32"/>
        </w:rPr>
        <w:t>及以下，水价按核定的居民用水价格不变；第二阶梯水量为每户每年</w:t>
      </w:r>
      <w:r>
        <w:rPr>
          <w:rFonts w:ascii="方正仿宋_GBK" w:eastAsia="方正仿宋_GBK" w:cs="方正仿宋_GBK"/>
          <w:color w:val="000000"/>
          <w:sz w:val="32"/>
          <w:szCs w:val="32"/>
        </w:rPr>
        <w:t>261</w:t>
      </w:r>
      <w:r>
        <w:rPr>
          <w:rFonts w:ascii="方正仿宋_GBK" w:eastAsia="方正仿宋_GBK" w:cs="Times New Roman"/>
          <w:color w:val="000000"/>
          <w:sz w:val="32"/>
          <w:szCs w:val="32"/>
        </w:rPr>
        <w:t>—</w:t>
      </w:r>
      <w:r>
        <w:rPr>
          <w:rFonts w:ascii="方正仿宋_GBK" w:eastAsia="方正仿宋_GBK" w:cs="方正仿宋_GBK"/>
          <w:color w:val="000000"/>
          <w:sz w:val="32"/>
          <w:szCs w:val="32"/>
        </w:rPr>
        <w:t>360 m</w:t>
      </w:r>
      <w:r>
        <w:rPr>
          <w:rFonts w:ascii="方正仿宋_GBK" w:eastAsia="方正仿宋_GBK" w:cs="方正仿宋_GBK"/>
          <w:color w:val="000000"/>
          <w:sz w:val="32"/>
          <w:szCs w:val="32"/>
          <w:vertAlign w:val="superscript"/>
        </w:rPr>
        <w:t>3</w:t>
      </w:r>
      <w:r>
        <w:rPr>
          <w:rFonts w:ascii="方正仿宋_GBK" w:eastAsia="方正仿宋_GBK" w:cs="方正仿宋_GBK" w:hint="eastAsia"/>
          <w:color w:val="000000"/>
          <w:sz w:val="32"/>
          <w:szCs w:val="32"/>
        </w:rPr>
        <w:t>（含），水价在第一阶梯基础上加价</w:t>
      </w:r>
      <w:r>
        <w:rPr>
          <w:rFonts w:ascii="方正仿宋_GBK" w:eastAsia="方正仿宋_GBK" w:cs="方正仿宋_GBK"/>
          <w:color w:val="000000"/>
          <w:sz w:val="32"/>
          <w:szCs w:val="32"/>
        </w:rPr>
        <w:t>0.66</w:t>
      </w:r>
      <w:r>
        <w:rPr>
          <w:rFonts w:ascii="方正仿宋_GBK" w:eastAsia="方正仿宋_GBK" w:cs="方正仿宋_GBK" w:hint="eastAsia"/>
          <w:color w:val="000000"/>
          <w:sz w:val="32"/>
          <w:szCs w:val="32"/>
        </w:rPr>
        <w:t>元</w:t>
      </w:r>
      <w:r>
        <w:rPr>
          <w:rFonts w:ascii="方正仿宋_GBK" w:eastAsia="方正仿宋_GBK" w:cs="方正仿宋_GBK"/>
          <w:color w:val="000000"/>
          <w:sz w:val="32"/>
          <w:szCs w:val="32"/>
        </w:rPr>
        <w:t>/ m</w:t>
      </w:r>
      <w:r>
        <w:rPr>
          <w:rFonts w:ascii="方正仿宋_GBK" w:eastAsia="方正仿宋_GBK" w:cs="方正仿宋_GBK"/>
          <w:color w:val="000000"/>
          <w:sz w:val="32"/>
          <w:szCs w:val="32"/>
          <w:vertAlign w:val="superscript"/>
        </w:rPr>
        <w:t>3</w:t>
      </w:r>
      <w:r>
        <w:rPr>
          <w:rFonts w:ascii="方正仿宋_GBK" w:eastAsia="方正仿宋_GBK" w:cs="方正仿宋_GBK" w:hint="eastAsia"/>
          <w:color w:val="000000"/>
          <w:sz w:val="32"/>
          <w:szCs w:val="32"/>
        </w:rPr>
        <w:t>；第三阶梯水量为</w:t>
      </w:r>
      <w:r>
        <w:rPr>
          <w:rFonts w:ascii="方正仿宋_GBK" w:eastAsia="方正仿宋_GBK" w:cs="方正仿宋_GBK"/>
          <w:color w:val="000000"/>
          <w:sz w:val="32"/>
          <w:szCs w:val="32"/>
        </w:rPr>
        <w:t>361 m</w:t>
      </w:r>
      <w:r>
        <w:rPr>
          <w:rFonts w:ascii="方正仿宋_GBK" w:eastAsia="方正仿宋_GBK" w:cs="方正仿宋_GBK"/>
          <w:color w:val="000000"/>
          <w:sz w:val="32"/>
          <w:szCs w:val="32"/>
          <w:vertAlign w:val="superscript"/>
        </w:rPr>
        <w:t>3</w:t>
      </w:r>
      <w:r>
        <w:rPr>
          <w:rFonts w:ascii="方正仿宋_GBK" w:eastAsia="方正仿宋_GBK" w:cs="方正仿宋_GBK" w:hint="eastAsia"/>
          <w:color w:val="000000"/>
          <w:sz w:val="32"/>
          <w:szCs w:val="32"/>
        </w:rPr>
        <w:t>及以上，水价在第一阶梯基础上加价</w:t>
      </w:r>
      <w:r>
        <w:rPr>
          <w:rFonts w:ascii="方正仿宋_GBK" w:eastAsia="方正仿宋_GBK" w:cs="方正仿宋_GBK"/>
          <w:color w:val="000000"/>
          <w:sz w:val="32"/>
          <w:szCs w:val="32"/>
        </w:rPr>
        <w:t>2.20</w:t>
      </w:r>
      <w:r>
        <w:rPr>
          <w:rFonts w:ascii="方正仿宋_GBK" w:eastAsia="方正仿宋_GBK" w:cs="方正仿宋_GBK" w:hint="eastAsia"/>
          <w:color w:val="000000"/>
          <w:sz w:val="32"/>
          <w:szCs w:val="32"/>
        </w:rPr>
        <w:t>元</w:t>
      </w:r>
      <w:r>
        <w:rPr>
          <w:rFonts w:ascii="方正仿宋_GBK" w:eastAsia="方正仿宋_GBK" w:cs="方正仿宋_GBK"/>
          <w:color w:val="000000"/>
          <w:sz w:val="32"/>
          <w:szCs w:val="32"/>
        </w:rPr>
        <w:t>/ m</w:t>
      </w:r>
      <w:r>
        <w:rPr>
          <w:rFonts w:ascii="方正仿宋_GBK" w:eastAsia="方正仿宋_GBK" w:cs="方正仿宋_GBK"/>
          <w:color w:val="000000"/>
          <w:sz w:val="32"/>
          <w:szCs w:val="32"/>
          <w:vertAlign w:val="superscript"/>
        </w:rPr>
        <w:t>3</w:t>
      </w:r>
      <w:r>
        <w:rPr>
          <w:rFonts w:ascii="方正仿宋_GBK" w:eastAsia="方正仿宋_GBK" w:cs="方正仿宋_GBK" w:hint="eastAsia"/>
          <w:color w:val="000000"/>
          <w:sz w:val="32"/>
          <w:szCs w:val="32"/>
        </w:rPr>
        <w:t>。污水处理费、水资源费、二次供水加压运行服务费不实行阶梯价格，仍按现行规定执行。延伸至村的供水不实施阶梯水价。</w:t>
      </w:r>
      <w:r>
        <w:rPr>
          <w:rFonts w:ascii="方正仿宋_GBK" w:eastAsia="方正仿宋_GBK" w:cs="方正仿宋_GBK" w:hint="eastAsia"/>
          <w:color w:val="333333"/>
          <w:sz w:val="32"/>
          <w:szCs w:val="32"/>
        </w:rPr>
        <w:t>尚未安装“一户一表”的合表居民用户和执行居民生活用水价格的非居民用户，在第一阶梯水价基础上，加价</w:t>
      </w:r>
      <w:r>
        <w:rPr>
          <w:rFonts w:ascii="方正仿宋_GBK" w:eastAsia="方正仿宋_GBK" w:cs="方正仿宋_GBK"/>
          <w:color w:val="333333"/>
          <w:sz w:val="32"/>
          <w:szCs w:val="32"/>
        </w:rPr>
        <w:t>0.10</w:t>
      </w:r>
      <w:r>
        <w:rPr>
          <w:rFonts w:ascii="方正仿宋_GBK" w:eastAsia="方正仿宋_GBK" w:cs="方正仿宋_GBK" w:hint="eastAsia"/>
          <w:color w:val="000000"/>
          <w:sz w:val="32"/>
          <w:szCs w:val="32"/>
        </w:rPr>
        <w:t>元</w:t>
      </w:r>
      <w:r>
        <w:rPr>
          <w:rFonts w:ascii="方正仿宋_GBK" w:eastAsia="方正仿宋_GBK" w:cs="方正仿宋_GBK"/>
          <w:color w:val="000000"/>
          <w:sz w:val="32"/>
          <w:szCs w:val="32"/>
        </w:rPr>
        <w:t>/ m</w:t>
      </w:r>
      <w:r>
        <w:rPr>
          <w:rFonts w:ascii="方正仿宋_GBK" w:eastAsia="方正仿宋_GBK" w:cs="方正仿宋_GBK"/>
          <w:color w:val="000000"/>
          <w:sz w:val="32"/>
          <w:szCs w:val="32"/>
          <w:vertAlign w:val="superscript"/>
        </w:rPr>
        <w:t>3</w:t>
      </w:r>
      <w:r>
        <w:rPr>
          <w:rFonts w:ascii="方正仿宋_GBK" w:eastAsia="方正仿宋_GBK" w:cs="方正仿宋_GBK" w:hint="eastAsia"/>
          <w:color w:val="000000"/>
          <w:sz w:val="32"/>
          <w:szCs w:val="32"/>
        </w:rPr>
        <w:t>。</w:t>
      </w:r>
    </w:p>
    <w:p w:rsidR="00D5664D" w:rsidRDefault="00D5664D">
      <w:pPr>
        <w:spacing w:line="518"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人口较多的居民家庭，具备分户条件的，用户应申请分户装表，分户装表的费用由用户承担。家庭人口超过</w:t>
      </w:r>
      <w:r>
        <w:rPr>
          <w:rFonts w:ascii="方正仿宋_GBK" w:eastAsia="方正仿宋_GBK" w:cs="方正仿宋_GBK"/>
          <w:color w:val="000000"/>
          <w:sz w:val="32"/>
          <w:szCs w:val="32"/>
        </w:rPr>
        <w:t>4</w:t>
      </w:r>
      <w:r>
        <w:rPr>
          <w:rFonts w:ascii="方正仿宋_GBK" w:eastAsia="方正仿宋_GBK" w:cs="方正仿宋_GBK" w:hint="eastAsia"/>
          <w:color w:val="000000"/>
          <w:sz w:val="32"/>
          <w:szCs w:val="32"/>
        </w:rPr>
        <w:t>人，每增加</w:t>
      </w:r>
      <w:r>
        <w:rPr>
          <w:rFonts w:ascii="方正仿宋_GBK" w:eastAsia="方正仿宋_GBK" w:cs="方正仿宋_GBK"/>
          <w:color w:val="000000"/>
          <w:sz w:val="32"/>
          <w:szCs w:val="32"/>
        </w:rPr>
        <w:t>1</w:t>
      </w:r>
      <w:r>
        <w:rPr>
          <w:rFonts w:ascii="方正仿宋_GBK" w:eastAsia="方正仿宋_GBK" w:cs="方正仿宋_GBK" w:hint="eastAsia"/>
          <w:color w:val="000000"/>
          <w:sz w:val="32"/>
          <w:szCs w:val="32"/>
        </w:rPr>
        <w:t>人每户每年各阶梯水量增加</w:t>
      </w:r>
      <w:r>
        <w:rPr>
          <w:rFonts w:ascii="方正仿宋_GBK" w:eastAsia="方正仿宋_GBK" w:cs="方正仿宋_GBK"/>
          <w:color w:val="000000"/>
          <w:sz w:val="32"/>
          <w:szCs w:val="32"/>
        </w:rPr>
        <w:t>60</w:t>
      </w:r>
      <w:r>
        <w:rPr>
          <w:rFonts w:ascii="方正仿宋_GBK" w:eastAsia="方正仿宋_GBK" w:cs="方正仿宋_GBK" w:hint="eastAsia"/>
          <w:color w:val="000000"/>
          <w:sz w:val="32"/>
          <w:szCs w:val="32"/>
        </w:rPr>
        <w:t>立方米。家庭人口超过</w:t>
      </w:r>
      <w:r>
        <w:rPr>
          <w:rFonts w:ascii="方正仿宋_GBK" w:eastAsia="方正仿宋_GBK" w:cs="方正仿宋_GBK"/>
          <w:color w:val="000000"/>
          <w:sz w:val="32"/>
          <w:szCs w:val="32"/>
        </w:rPr>
        <w:t>4</w:t>
      </w:r>
      <w:r>
        <w:rPr>
          <w:rFonts w:ascii="方正仿宋_GBK" w:eastAsia="方正仿宋_GBK" w:cs="方正仿宋_GBK" w:hint="eastAsia"/>
          <w:color w:val="000000"/>
          <w:sz w:val="32"/>
          <w:szCs w:val="32"/>
        </w:rPr>
        <w:t>人的凭《户口簿》和《重庆市流动人口居住证》到供水企业营业厅办理水量核增手续</w:t>
      </w:r>
      <w:r>
        <w:rPr>
          <w:rFonts w:ascii="方正仿宋_GBK" w:eastAsia="方正仿宋_GBK" w:cs="方正仿宋_GBK" w:hint="eastAsia"/>
          <w:color w:val="000000"/>
          <w:sz w:val="32"/>
          <w:szCs w:val="32"/>
          <w:shd w:val="clear" w:color="auto" w:fill="FFFFFF"/>
        </w:rPr>
        <w:t>。</w:t>
      </w:r>
    </w:p>
    <w:p w:rsidR="00D5664D" w:rsidRDefault="00D5664D">
      <w:pPr>
        <w:spacing w:line="518"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000000"/>
          <w:sz w:val="32"/>
          <w:szCs w:val="32"/>
          <w:shd w:val="clear" w:color="auto" w:fill="FFFFFF"/>
        </w:rPr>
        <w:t>用户用水不足一年的按实际用水月份计算阶梯水量，不足</w:t>
      </w:r>
      <w:r>
        <w:rPr>
          <w:rFonts w:ascii="方正仿宋_GBK" w:eastAsia="方正仿宋_GBK" w:cs="方正仿宋_GBK"/>
          <w:color w:val="000000"/>
          <w:sz w:val="32"/>
          <w:szCs w:val="32"/>
          <w:shd w:val="clear" w:color="auto" w:fill="FFFFFF"/>
        </w:rPr>
        <w:t>1</w:t>
      </w:r>
      <w:r>
        <w:rPr>
          <w:rFonts w:ascii="方正仿宋_GBK" w:eastAsia="方正仿宋_GBK" w:cs="方正仿宋_GBK" w:hint="eastAsia"/>
          <w:color w:val="000000"/>
          <w:sz w:val="32"/>
          <w:szCs w:val="32"/>
          <w:shd w:val="clear" w:color="auto" w:fill="FFFFFF"/>
        </w:rPr>
        <w:t>个月的按</w:t>
      </w:r>
      <w:r>
        <w:rPr>
          <w:rFonts w:ascii="方正仿宋_GBK" w:eastAsia="方正仿宋_GBK" w:cs="方正仿宋_GBK"/>
          <w:color w:val="000000"/>
          <w:sz w:val="32"/>
          <w:szCs w:val="32"/>
          <w:shd w:val="clear" w:color="auto" w:fill="FFFFFF"/>
        </w:rPr>
        <w:t>1</w:t>
      </w:r>
      <w:r>
        <w:rPr>
          <w:rFonts w:ascii="方正仿宋_GBK" w:eastAsia="方正仿宋_GBK" w:cs="方正仿宋_GBK" w:hint="eastAsia"/>
          <w:color w:val="000000"/>
          <w:sz w:val="32"/>
          <w:szCs w:val="32"/>
          <w:shd w:val="clear" w:color="auto" w:fill="FFFFFF"/>
        </w:rPr>
        <w:t>个月计算。</w:t>
      </w:r>
    </w:p>
    <w:p w:rsidR="00D5664D" w:rsidRDefault="00D5664D">
      <w:pPr>
        <w:spacing w:line="518"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本批复自</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1</w:t>
      </w:r>
      <w:r>
        <w:rPr>
          <w:rFonts w:ascii="方正仿宋_GBK" w:eastAsia="方正仿宋_GBK" w:cs="方正仿宋_GBK" w:hint="eastAsia"/>
          <w:color w:val="000000"/>
          <w:sz w:val="32"/>
          <w:szCs w:val="32"/>
        </w:rPr>
        <w:t>月起抄见水量起执行。</w:t>
      </w:r>
    </w:p>
    <w:p w:rsidR="00D5664D" w:rsidRDefault="00D5664D">
      <w:pPr>
        <w:spacing w:line="518" w:lineRule="atLeast"/>
        <w:jc w:val="right"/>
        <w:rPr>
          <w:rFonts w:ascii="方正仿宋_GBK" w:eastAsia="方正仿宋_GBK" w:cs="Times New Roman"/>
          <w:color w:val="000000"/>
          <w:sz w:val="32"/>
          <w:szCs w:val="32"/>
        </w:rPr>
      </w:pPr>
    </w:p>
    <w:p w:rsidR="00D5664D" w:rsidRDefault="00D5664D">
      <w:pPr>
        <w:spacing w:line="518" w:lineRule="atLeast"/>
        <w:jc w:val="right"/>
        <w:rPr>
          <w:rFonts w:ascii="方正仿宋_GBK" w:eastAsia="方正仿宋_GBK" w:cs="Times New Roman"/>
          <w:color w:val="000000"/>
          <w:sz w:val="32"/>
          <w:szCs w:val="32"/>
        </w:rPr>
      </w:pPr>
    </w:p>
    <w:p w:rsidR="00D5664D" w:rsidRDefault="00D5664D">
      <w:pPr>
        <w:spacing w:line="518" w:lineRule="atLeast"/>
        <w:jc w:val="right"/>
        <w:rPr>
          <w:rFonts w:ascii="方正仿宋_GBK" w:eastAsia="方正仿宋_GBK" w:cs="Times New Roman"/>
          <w:color w:val="000000"/>
          <w:sz w:val="32"/>
          <w:szCs w:val="32"/>
        </w:rPr>
      </w:pPr>
    </w:p>
    <w:p w:rsidR="00D5664D" w:rsidRDefault="00D5664D" w:rsidP="0042176C">
      <w:pPr>
        <w:wordWrap w:val="0"/>
        <w:spacing w:line="518" w:lineRule="atLeast"/>
        <w:jc w:val="right"/>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重庆市涪陵区发展和改革委员会</w:t>
      </w:r>
      <w:r>
        <w:rPr>
          <w:rFonts w:ascii="方正仿宋_GBK" w:eastAsia="方正仿宋_GBK" w:cs="方正仿宋_GBK"/>
          <w:color w:val="000000"/>
          <w:sz w:val="32"/>
          <w:szCs w:val="32"/>
        </w:rPr>
        <w:t xml:space="preserve"> </w:t>
      </w:r>
    </w:p>
    <w:p w:rsidR="00D5664D" w:rsidRDefault="00D5664D" w:rsidP="0042176C">
      <w:pPr>
        <w:wordWrap w:val="0"/>
        <w:spacing w:line="518" w:lineRule="atLeast"/>
        <w:ind w:firstLine="2736"/>
        <w:jc w:val="right"/>
        <w:rPr>
          <w:rFonts w:ascii="方正仿宋_GBK" w:eastAsia="方正仿宋_GBK" w:cs="Times New Roman"/>
          <w:color w:val="000000"/>
          <w:sz w:val="32"/>
          <w:szCs w:val="32"/>
        </w:rPr>
      </w:pPr>
      <w:r>
        <w:rPr>
          <w:rFonts w:ascii="方正仿宋_GBK" w:eastAsia="方正仿宋_GBK" w:cs="方正仿宋_GBK"/>
          <w:color w:val="000000"/>
          <w:sz w:val="32"/>
          <w:szCs w:val="32"/>
        </w:rPr>
        <w:t>2020</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10</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21</w:t>
      </w:r>
      <w:r>
        <w:rPr>
          <w:rFonts w:ascii="方正仿宋_GBK" w:eastAsia="方正仿宋_GBK" w:cs="方正仿宋_GBK" w:hint="eastAsia"/>
          <w:color w:val="000000"/>
          <w:sz w:val="32"/>
          <w:szCs w:val="32"/>
        </w:rPr>
        <w:t>日</w:t>
      </w:r>
      <w:r>
        <w:rPr>
          <w:rFonts w:ascii="方正仿宋_GBK" w:eastAsia="方正仿宋_GBK" w:cs="方正仿宋_GBK"/>
          <w:color w:val="000000"/>
          <w:sz w:val="32"/>
          <w:szCs w:val="32"/>
        </w:rPr>
        <w:t xml:space="preserve">      </w:t>
      </w:r>
    </w:p>
    <w:bookmarkEnd w:id="0"/>
    <w:p w:rsidR="00D5664D" w:rsidRDefault="00D5664D">
      <w:pPr>
        <w:rPr>
          <w:rFonts w:cs="Times New Roman"/>
        </w:rPr>
      </w:pPr>
    </w:p>
    <w:sectPr w:rsidR="00D5664D" w:rsidSect="00B03544">
      <w:pgSz w:w="11907" w:h="16839"/>
      <w:pgMar w:top="1440" w:right="1800" w:bottom="1440" w:left="180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64D" w:rsidRDefault="00D5664D">
      <w:pPr>
        <w:rPr>
          <w:rFonts w:cs="Times New Roman"/>
        </w:rPr>
      </w:pPr>
      <w:r>
        <w:rPr>
          <w:rFonts w:cs="Times New Roman"/>
        </w:rPr>
        <w:separator/>
      </w:r>
    </w:p>
  </w:endnote>
  <w:endnote w:type="continuationSeparator" w:id="0">
    <w:p w:rsidR="00D5664D" w:rsidRDefault="00D5664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64D" w:rsidRDefault="00D5664D">
      <w:pPr>
        <w:rPr>
          <w:rFonts w:cs="Times New Roman"/>
        </w:rPr>
      </w:pPr>
      <w:r>
        <w:rPr>
          <w:rFonts w:cs="Times New Roman"/>
        </w:rPr>
        <w:separator/>
      </w:r>
    </w:p>
  </w:footnote>
  <w:footnote w:type="continuationSeparator" w:id="0">
    <w:p w:rsidR="00D5664D" w:rsidRDefault="00D5664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20"/>
  <w:drawingGridVerticalSpacing w:val="163"/>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544"/>
    <w:rsid w:val="0042176C"/>
    <w:rsid w:val="004F39AB"/>
    <w:rsid w:val="00B03544"/>
    <w:rsid w:val="00D5664D"/>
    <w:rsid w:val="00F37B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44"/>
    <w:pPr>
      <w:widowControl w:val="0"/>
    </w:pPr>
    <w:rPr>
      <w:rFonts w:ascii="宋体" w:cs="宋体"/>
      <w:sz w:val="24"/>
      <w:szCs w:val="24"/>
    </w:rPr>
  </w:style>
  <w:style w:type="paragraph" w:styleId="Heading1">
    <w:name w:val="heading 1"/>
    <w:basedOn w:val="Normal"/>
    <w:next w:val="Normal"/>
    <w:link w:val="Heading1Char"/>
    <w:uiPriority w:val="99"/>
    <w:qFormat/>
    <w:rsid w:val="00B0354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03544"/>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B03544"/>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269"/>
    <w:rPr>
      <w:rFonts w:ascii="宋体" w:cs="宋体"/>
      <w:b/>
      <w:bCs/>
      <w:kern w:val="44"/>
      <w:sz w:val="44"/>
      <w:szCs w:val="44"/>
    </w:rPr>
  </w:style>
  <w:style w:type="character" w:customStyle="1" w:styleId="Heading2Char">
    <w:name w:val="Heading 2 Char"/>
    <w:basedOn w:val="DefaultParagraphFont"/>
    <w:link w:val="Heading2"/>
    <w:uiPriority w:val="9"/>
    <w:semiHidden/>
    <w:rsid w:val="00AA026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AA0269"/>
    <w:rPr>
      <w:rFonts w:ascii="宋体" w:cs="宋体"/>
      <w:b/>
      <w:bCs/>
      <w:sz w:val="32"/>
      <w:szCs w:val="32"/>
    </w:rPr>
  </w:style>
  <w:style w:type="paragraph" w:styleId="Header">
    <w:name w:val="header"/>
    <w:basedOn w:val="Normal"/>
    <w:link w:val="HeaderChar"/>
    <w:uiPriority w:val="99"/>
    <w:rsid w:val="004217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A0269"/>
    <w:rPr>
      <w:rFonts w:ascii="宋体" w:cs="宋体"/>
      <w:sz w:val="18"/>
      <w:szCs w:val="18"/>
    </w:rPr>
  </w:style>
  <w:style w:type="paragraph" w:styleId="Footer">
    <w:name w:val="footer"/>
    <w:basedOn w:val="Normal"/>
    <w:link w:val="FooterChar"/>
    <w:uiPriority w:val="99"/>
    <w:rsid w:val="0042176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AA0269"/>
    <w:rPr>
      <w:rFonts w:asci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113</Words>
  <Characters>650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2</cp:revision>
  <dcterms:created xsi:type="dcterms:W3CDTF">2021-12-27T07:22:00Z</dcterms:created>
  <dcterms:modified xsi:type="dcterms:W3CDTF">2022-10-18T00:50:00Z</dcterms:modified>
</cp:coreProperties>
</file>