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6A" w:rsidRDefault="00CF7D6A" w:rsidP="00A96CA9">
      <w:pPr>
        <w:spacing w:line="390" w:lineRule="exact"/>
        <w:rPr>
          <w:rFonts w:ascii="方正小标宋_GBK" w:eastAsia="方正小标宋_GBK" w:cs="Times New Roman"/>
          <w:b/>
          <w:bCs/>
        </w:rPr>
      </w:pPr>
    </w:p>
    <w:p w:rsidR="00CF7D6A" w:rsidRDefault="00CF7D6A" w:rsidP="00A96CA9">
      <w:pPr>
        <w:spacing w:line="380" w:lineRule="exact"/>
        <w:rPr>
          <w:rFonts w:ascii="方正小标宋_GBK" w:eastAsia="方正小标宋_GBK" w:cs="Times New Roman"/>
          <w:spacing w:val="-14"/>
          <w:w w:val="42"/>
        </w:rPr>
      </w:pPr>
    </w:p>
    <w:p w:rsidR="00CF7D6A" w:rsidRDefault="00CF7D6A" w:rsidP="00A96CA9">
      <w:pPr>
        <w:spacing w:line="390" w:lineRule="exact"/>
        <w:rPr>
          <w:rFonts w:ascii="方正小标宋_GBK" w:eastAsia="方正小标宋_GBK" w:cs="Times New Roman"/>
          <w:spacing w:val="-14"/>
          <w:w w:val="42"/>
        </w:rPr>
      </w:pPr>
      <w:r>
        <w:rPr>
          <w:noProof/>
        </w:rPr>
        <w:pict>
          <v:line id="Line 597" o:spid="_x0000_s1026" style="position:absolute;z-index:251658240;mso-position-horizontal:center" from="0,14.65pt" to=".05pt,14.7pt" o:preferrelative="t" wrapcoords="2 2 2 2 2 2 2 2 2 2" strokeweight="2pt">
            <v:stroke miterlimit="2"/>
            <w10:wrap type="tight"/>
          </v:line>
        </w:pict>
      </w:r>
    </w:p>
    <w:p w:rsidR="00CF7D6A" w:rsidRDefault="00CF7D6A" w:rsidP="00A96CA9">
      <w:pPr>
        <w:spacing w:line="400" w:lineRule="exact"/>
        <w:rPr>
          <w:rFonts w:ascii="方正小标宋_GBK" w:eastAsia="方正小标宋_GBK" w:cs="Times New Roman"/>
          <w:spacing w:val="-14"/>
          <w:w w:val="42"/>
        </w:rPr>
      </w:pPr>
    </w:p>
    <w:p w:rsidR="00CF7D6A" w:rsidRPr="00A96CA9" w:rsidRDefault="00CF7D6A" w:rsidP="00A96CA9">
      <w:pPr>
        <w:tabs>
          <w:tab w:val="left" w:pos="158"/>
          <w:tab w:val="left" w:pos="8690"/>
        </w:tabs>
        <w:spacing w:line="1180" w:lineRule="exact"/>
        <w:jc w:val="center"/>
        <w:rPr>
          <w:rFonts w:ascii="方正小标宋_GBK" w:eastAsia="方正小标宋_GBK" w:cs="Times New Roman"/>
          <w:b/>
          <w:bCs/>
          <w:color w:val="FF0000"/>
          <w:spacing w:val="-14"/>
          <w:w w:val="50"/>
          <w:sz w:val="108"/>
          <w:szCs w:val="108"/>
        </w:rPr>
      </w:pPr>
      <w:r w:rsidRPr="00A96CA9">
        <w:rPr>
          <w:rFonts w:ascii="方正小标宋_GBK" w:eastAsia="方正小标宋_GBK" w:cs="方正小标宋_GBK" w:hint="eastAsia"/>
          <w:b/>
          <w:bCs/>
          <w:color w:val="FF0000"/>
          <w:spacing w:val="-14"/>
          <w:w w:val="50"/>
          <w:sz w:val="108"/>
          <w:szCs w:val="108"/>
        </w:rPr>
        <w:t>重庆市涪陵区发展和改革委员会文件</w:t>
      </w:r>
    </w:p>
    <w:p w:rsidR="00CF7D6A" w:rsidRDefault="00CF7D6A" w:rsidP="00A96CA9">
      <w:pPr>
        <w:spacing w:line="480" w:lineRule="exact"/>
        <w:jc w:val="center"/>
        <w:rPr>
          <w:rFonts w:ascii="仿宋_GB2312" w:cs="Times New Roman"/>
        </w:rPr>
      </w:pPr>
    </w:p>
    <w:p w:rsidR="00CF7D6A" w:rsidRDefault="00CF7D6A" w:rsidP="00A96CA9">
      <w:pPr>
        <w:spacing w:line="460" w:lineRule="exact"/>
        <w:jc w:val="center"/>
        <w:rPr>
          <w:rFonts w:ascii="仿宋_GB2312" w:cs="Times New Roman"/>
        </w:rPr>
      </w:pPr>
    </w:p>
    <w:p w:rsidR="00CF7D6A" w:rsidRPr="00A96CA9" w:rsidRDefault="00CF7D6A" w:rsidP="00A96CA9">
      <w:pPr>
        <w:spacing w:line="600" w:lineRule="exact"/>
        <w:ind w:firstLineChars="50" w:firstLine="31680"/>
        <w:jc w:val="center"/>
        <w:rPr>
          <w:rFonts w:ascii="方正仿宋_GBK" w:eastAsia="方正仿宋_GBK" w:cs="Times New Roman"/>
          <w:color w:val="000000"/>
          <w:sz w:val="32"/>
          <w:szCs w:val="32"/>
        </w:rPr>
      </w:pPr>
      <w:r w:rsidRPr="00A96CA9">
        <w:rPr>
          <w:rFonts w:ascii="方正仿宋_GBK" w:eastAsia="方正仿宋_GBK" w:cs="方正仿宋_GBK" w:hint="eastAsia"/>
          <w:color w:val="000000"/>
          <w:sz w:val="32"/>
          <w:szCs w:val="32"/>
        </w:rPr>
        <w:t>涪发改委发〔</w:t>
      </w:r>
      <w:r w:rsidRPr="00A96CA9">
        <w:rPr>
          <w:rFonts w:ascii="方正仿宋_GBK" w:eastAsia="方正仿宋_GBK" w:cs="方正仿宋_GBK"/>
          <w:color w:val="000000"/>
          <w:sz w:val="32"/>
          <w:szCs w:val="32"/>
        </w:rPr>
        <w:t>202</w:t>
      </w:r>
      <w:r>
        <w:rPr>
          <w:rFonts w:ascii="方正仿宋_GBK" w:eastAsia="方正仿宋_GBK" w:cs="方正仿宋_GBK"/>
          <w:color w:val="000000"/>
          <w:sz w:val="32"/>
          <w:szCs w:val="32"/>
        </w:rPr>
        <w:t>1</w:t>
      </w:r>
      <w:r w:rsidRPr="00A96CA9">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221</w:t>
      </w:r>
      <w:r w:rsidRPr="00A96CA9">
        <w:rPr>
          <w:rFonts w:ascii="方正仿宋_GBK" w:eastAsia="方正仿宋_GBK" w:cs="方正仿宋_GBK" w:hint="eastAsia"/>
          <w:color w:val="000000"/>
          <w:sz w:val="32"/>
          <w:szCs w:val="32"/>
        </w:rPr>
        <w:t>号</w:t>
      </w:r>
    </w:p>
    <w:p w:rsidR="00CF7D6A" w:rsidRDefault="00CF7D6A" w:rsidP="00A96CA9">
      <w:pPr>
        <w:jc w:val="center"/>
        <w:rPr>
          <w:rFonts w:cs="Times New Roman"/>
        </w:rPr>
      </w:pPr>
      <w:r>
        <w:rPr>
          <w:noProof/>
        </w:rPr>
        <w:pict>
          <v:line id="Line 598" o:spid="_x0000_s1027" style="position:absolute;left:0;text-align:left;z-index:251659264" from="0,6.6pt" to="442.2pt,6.65pt" o:preferrelative="t" strokecolor="red" strokeweight="2.25pt">
            <v:stroke miterlimit="2"/>
            <w10:wrap type="square"/>
          </v:line>
        </w:pict>
      </w:r>
    </w:p>
    <w:p w:rsidR="00CF7D6A" w:rsidRDefault="00CF7D6A">
      <w:pPr>
        <w:spacing w:line="604" w:lineRule="atLeast"/>
        <w:jc w:val="center"/>
        <w:rPr>
          <w:rFonts w:ascii="方正小标宋_GBK" w:eastAsia="方正小标宋_GBK" w:cs="Times New Roman"/>
          <w:color w:val="000000"/>
          <w:sz w:val="44"/>
          <w:szCs w:val="44"/>
        </w:rPr>
      </w:pPr>
    </w:p>
    <w:p w:rsidR="00CF7D6A" w:rsidRDefault="00CF7D6A">
      <w:pPr>
        <w:spacing w:line="604" w:lineRule="atLeast"/>
        <w:jc w:val="center"/>
        <w:rPr>
          <w:rFonts w:ascii="Sans-serif" w:hAnsi="Sans-serif" w:cs="Sans-serif"/>
          <w:color w:val="000000"/>
          <w:sz w:val="32"/>
          <w:szCs w:val="32"/>
        </w:rPr>
      </w:pPr>
      <w:r>
        <w:rPr>
          <w:rFonts w:ascii="方正小标宋_GBK" w:eastAsia="方正小标宋_GBK" w:cs="方正小标宋_GBK" w:hint="eastAsia"/>
          <w:color w:val="000000"/>
          <w:sz w:val="44"/>
          <w:szCs w:val="44"/>
        </w:rPr>
        <w:t>重庆市涪陵区发展和改革委员会</w:t>
      </w:r>
    </w:p>
    <w:p w:rsidR="00CF7D6A" w:rsidRDefault="00CF7D6A">
      <w:pPr>
        <w:spacing w:line="604" w:lineRule="atLeast"/>
        <w:jc w:val="center"/>
        <w:rPr>
          <w:rFonts w:ascii="方正小标宋_GBK" w:eastAsia="方正小标宋_GBK" w:cs="Times New Roman"/>
          <w:color w:val="000000"/>
          <w:sz w:val="44"/>
          <w:szCs w:val="44"/>
        </w:rPr>
      </w:pPr>
      <w:r>
        <w:rPr>
          <w:rFonts w:ascii="方正小标宋_GBK" w:eastAsia="方正小标宋_GBK" w:cs="方正小标宋_GBK" w:hint="eastAsia"/>
          <w:color w:val="000000"/>
          <w:sz w:val="44"/>
          <w:szCs w:val="44"/>
        </w:rPr>
        <w:t>关于进一步明确城乡社区村（居）民委会服务设施用电价格有关事宜的通知</w:t>
      </w:r>
    </w:p>
    <w:p w:rsidR="00CF7D6A" w:rsidRDefault="00CF7D6A" w:rsidP="00A96CA9">
      <w:pPr>
        <w:spacing w:line="604" w:lineRule="atLeast"/>
        <w:rPr>
          <w:rFonts w:ascii="Sans-serif" w:hAnsi="Sans-serif" w:cs="Sans-serif"/>
          <w:color w:val="000000"/>
          <w:sz w:val="32"/>
          <w:szCs w:val="32"/>
        </w:rPr>
      </w:pPr>
    </w:p>
    <w:p w:rsidR="00CF7D6A" w:rsidRDefault="00CF7D6A">
      <w:pPr>
        <w:spacing w:line="460" w:lineRule="atLeast"/>
        <w:rPr>
          <w:rFonts w:ascii="Sans-serif" w:hAnsi="Sans-serif" w:cs="Sans-serif"/>
          <w:color w:val="000000"/>
          <w:sz w:val="32"/>
          <w:szCs w:val="32"/>
        </w:rPr>
      </w:pPr>
      <w:r>
        <w:rPr>
          <w:rFonts w:ascii="方正仿宋_GBK" w:eastAsia="方正仿宋_GBK" w:cs="方正仿宋_GBK" w:hint="eastAsia"/>
          <w:color w:val="000000"/>
          <w:sz w:val="32"/>
          <w:szCs w:val="32"/>
        </w:rPr>
        <w:t>川东电力集团有限责任公司、涪陵电力实业有限公司、马武电力公司、涪陵百汇发供电公司、涪陵黄桷洞发供电公司：</w:t>
      </w:r>
    </w:p>
    <w:p w:rsidR="00CF7D6A" w:rsidRDefault="00CF7D6A">
      <w:pPr>
        <w:spacing w:line="460" w:lineRule="atLeast"/>
        <w:ind w:firstLine="633"/>
        <w:rPr>
          <w:rFonts w:ascii="Sans-serif" w:hAnsi="Sans-serif" w:cs="Sans-serif"/>
          <w:color w:val="000000"/>
          <w:sz w:val="32"/>
          <w:szCs w:val="32"/>
        </w:rPr>
      </w:pPr>
      <w:r>
        <w:rPr>
          <w:rFonts w:ascii="方正仿宋_GBK" w:eastAsia="方正仿宋_GBK" w:cs="方正仿宋_GBK" w:hint="eastAsia"/>
          <w:color w:val="000000"/>
          <w:sz w:val="32"/>
          <w:szCs w:val="32"/>
        </w:rPr>
        <w:t>为支持城乡社区、村（居）民委会服务设施建设，规范城乡社区、村（居）民委员会用电价格管理，根据国家发展改革《关于调整销售电价分类结构有关问题的通知》（发改价格〔</w:t>
      </w:r>
      <w:r>
        <w:rPr>
          <w:rFonts w:ascii="方正仿宋_GBK" w:eastAsia="方正仿宋_GBK" w:cs="方正仿宋_GBK"/>
          <w:color w:val="000000"/>
          <w:sz w:val="32"/>
          <w:szCs w:val="32"/>
        </w:rPr>
        <w:t>2013</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973</w:t>
      </w:r>
      <w:r>
        <w:rPr>
          <w:rFonts w:ascii="方正仿宋_GBK" w:eastAsia="方正仿宋_GBK" w:cs="方正仿宋_GBK" w:hint="eastAsia"/>
          <w:color w:val="000000"/>
          <w:sz w:val="32"/>
          <w:szCs w:val="32"/>
        </w:rPr>
        <w:t>号）和重庆市物价局《关于贯彻国家发展改革委关于调整销售电价分类结构有关问题的通知》（渝价〔</w:t>
      </w:r>
      <w:r>
        <w:rPr>
          <w:rFonts w:ascii="方正仿宋_GBK" w:eastAsia="方正仿宋_GBK" w:cs="方正仿宋_GBK"/>
          <w:color w:val="000000"/>
          <w:sz w:val="32"/>
          <w:szCs w:val="32"/>
        </w:rPr>
        <w:t>2014</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130</w:t>
      </w:r>
      <w:r>
        <w:rPr>
          <w:rFonts w:ascii="方正仿宋_GBK" w:eastAsia="方正仿宋_GBK" w:cs="方正仿宋_GBK" w:hint="eastAsia"/>
          <w:color w:val="000000"/>
          <w:sz w:val="32"/>
          <w:szCs w:val="32"/>
        </w:rPr>
        <w:t>号）精神，现就城乡社区、村（居）民委会服务设施用电价格有关事宜进一步明确如下：</w:t>
      </w:r>
    </w:p>
    <w:p w:rsidR="00CF7D6A" w:rsidRDefault="00CF7D6A">
      <w:pPr>
        <w:numPr>
          <w:ilvl w:val="0"/>
          <w:numId w:val="1"/>
        </w:numPr>
        <w:spacing w:before="100" w:beforeAutospacing="1" w:after="100" w:afterAutospacing="1" w:line="460" w:lineRule="atLeast"/>
        <w:ind w:left="360" w:firstLine="0"/>
        <w:rPr>
          <w:rFonts w:ascii="Sans-serif" w:hAnsi="Sans-serif" w:cs="Sans-serif"/>
          <w:color w:val="000000"/>
          <w:sz w:val="32"/>
          <w:szCs w:val="32"/>
        </w:rPr>
      </w:pPr>
      <w:r>
        <w:rPr>
          <w:rFonts w:ascii="方正仿宋_GBK" w:eastAsia="方正仿宋_GBK" w:cs="方正仿宋_GBK" w:hint="eastAsia"/>
          <w:color w:val="000000"/>
          <w:sz w:val="32"/>
          <w:szCs w:val="32"/>
        </w:rPr>
        <w:t>用电范围。城乡社区、村（居）民委会服务设施用电，是指城乡社区、村（居）民委会工作场所及非经营公益服务设施用电。</w:t>
      </w:r>
    </w:p>
    <w:p w:rsidR="00CF7D6A" w:rsidRDefault="00CF7D6A">
      <w:pPr>
        <w:numPr>
          <w:ilvl w:val="0"/>
          <w:numId w:val="1"/>
        </w:numPr>
        <w:spacing w:before="100" w:beforeAutospacing="1" w:after="100" w:afterAutospacing="1" w:line="460" w:lineRule="atLeast"/>
        <w:ind w:left="360" w:firstLine="0"/>
        <w:rPr>
          <w:rFonts w:ascii="Sans-serif" w:hAnsi="Sans-serif" w:cs="Sans-serif"/>
          <w:color w:val="000000"/>
          <w:sz w:val="32"/>
          <w:szCs w:val="32"/>
        </w:rPr>
      </w:pPr>
      <w:r>
        <w:rPr>
          <w:rFonts w:ascii="方正仿宋_GBK" w:eastAsia="方正仿宋_GBK" w:cs="方正仿宋_GBK" w:hint="eastAsia"/>
          <w:color w:val="000000"/>
          <w:sz w:val="32"/>
          <w:szCs w:val="32"/>
        </w:rPr>
        <w:t>价格政策。城乡社区、村（居）民委会服务设施用电价格按居民生活用电合表价格执行。</w:t>
      </w:r>
    </w:p>
    <w:p w:rsidR="00CF7D6A" w:rsidRDefault="00CF7D6A">
      <w:pPr>
        <w:numPr>
          <w:ilvl w:val="0"/>
          <w:numId w:val="1"/>
        </w:numPr>
        <w:spacing w:before="100" w:beforeAutospacing="1" w:after="100" w:afterAutospacing="1" w:line="460" w:lineRule="atLeast"/>
        <w:ind w:left="360" w:firstLine="0"/>
        <w:rPr>
          <w:rFonts w:ascii="Sans-serif" w:hAnsi="Sans-serif" w:cs="Sans-serif"/>
          <w:color w:val="000000"/>
          <w:sz w:val="32"/>
          <w:szCs w:val="32"/>
        </w:rPr>
      </w:pPr>
      <w:r>
        <w:rPr>
          <w:rFonts w:ascii="方正仿宋_GBK" w:eastAsia="方正仿宋_GBK" w:cs="方正仿宋_GBK" w:hint="eastAsia"/>
          <w:color w:val="000000"/>
          <w:sz w:val="32"/>
          <w:szCs w:val="32"/>
        </w:rPr>
        <w:t>申办程序。已具备单独计量条件的城乡社区、村（居）民委会，主动向供电企业提出书面申请，由当地人民政府、街道办事处在申请书上对社区、村（居）民委会的工作场所、非经营公益服务设施进行界定，并签注意见加盖公章后，提交供电企业。经供电企业现场核实后，对符合条件的，从申请的次月起执行居民生活用电合表用户价格；尚不具备单独计量条件的，由城乡社区、村（居）民委会及时安排有资质的单位进行设计、施工剥离改造，改造完工后，再主动向供电企业提出书面申请</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不提出书面申请的，视为自动放弃。</w:t>
      </w:r>
    </w:p>
    <w:p w:rsidR="00CF7D6A" w:rsidRDefault="00CF7D6A">
      <w:pPr>
        <w:numPr>
          <w:ilvl w:val="0"/>
          <w:numId w:val="1"/>
        </w:numPr>
        <w:spacing w:before="100" w:beforeAutospacing="1" w:after="100" w:afterAutospacing="1" w:line="460" w:lineRule="atLeast"/>
        <w:ind w:left="360" w:firstLine="0"/>
        <w:rPr>
          <w:rFonts w:ascii="Sans-serif" w:hAnsi="Sans-serif" w:cs="Sans-serif"/>
          <w:color w:val="000000"/>
          <w:sz w:val="32"/>
          <w:szCs w:val="32"/>
        </w:rPr>
      </w:pPr>
      <w:r>
        <w:rPr>
          <w:rFonts w:ascii="方正仿宋_GBK" w:eastAsia="方正仿宋_GBK" w:cs="方正仿宋_GBK" w:hint="eastAsia"/>
          <w:color w:val="000000"/>
          <w:sz w:val="32"/>
          <w:szCs w:val="32"/>
        </w:rPr>
        <w:t>场所变更。城乡社区、村（居）民委会工作场所、非经营公益服务设施发生变更后，应主动向供电企业及时申请变更用电性质，如没有及时办理用电性质，将按照《中华人民共和国电力法》等相关法律法规进行处理。</w:t>
      </w:r>
    </w:p>
    <w:p w:rsidR="00CF7D6A" w:rsidRDefault="00CF7D6A">
      <w:pPr>
        <w:spacing w:line="460" w:lineRule="atLeast"/>
        <w:jc w:val="right"/>
        <w:rPr>
          <w:rFonts w:ascii="方正仿宋_GBK" w:eastAsia="方正仿宋_GBK" w:cs="Times New Roman"/>
          <w:color w:val="000000"/>
          <w:sz w:val="32"/>
          <w:szCs w:val="32"/>
        </w:rPr>
      </w:pPr>
    </w:p>
    <w:p w:rsidR="00CF7D6A" w:rsidRDefault="00CF7D6A">
      <w:pPr>
        <w:spacing w:line="460" w:lineRule="atLeast"/>
        <w:jc w:val="right"/>
        <w:rPr>
          <w:rFonts w:ascii="方正仿宋_GBK" w:eastAsia="方正仿宋_GBK" w:cs="Times New Roman"/>
          <w:color w:val="000000"/>
          <w:sz w:val="32"/>
          <w:szCs w:val="32"/>
        </w:rPr>
      </w:pPr>
    </w:p>
    <w:p w:rsidR="00CF7D6A" w:rsidRDefault="00CF7D6A">
      <w:pPr>
        <w:spacing w:line="460" w:lineRule="atLeast"/>
        <w:jc w:val="right"/>
        <w:rPr>
          <w:rFonts w:ascii="Sans-serif" w:hAnsi="Sans-serif" w:cs="Sans-serif"/>
          <w:color w:val="000000"/>
          <w:sz w:val="32"/>
          <w:szCs w:val="32"/>
        </w:rPr>
      </w:pPr>
      <w:r>
        <w:rPr>
          <w:rFonts w:ascii="方正仿宋_GBK" w:eastAsia="方正仿宋_GBK" w:cs="方正仿宋_GBK" w:hint="eastAsia"/>
          <w:color w:val="000000"/>
          <w:sz w:val="32"/>
          <w:szCs w:val="32"/>
        </w:rPr>
        <w:t>重庆市涪陵区发展和改革委员会</w:t>
      </w:r>
    </w:p>
    <w:p w:rsidR="00CF7D6A" w:rsidRDefault="00CF7D6A" w:rsidP="00A96CA9">
      <w:pPr>
        <w:wordWrap w:val="0"/>
        <w:spacing w:line="460" w:lineRule="atLeast"/>
        <w:ind w:firstLine="4104"/>
        <w:jc w:val="right"/>
        <w:rPr>
          <w:rFonts w:ascii="Sans-serif" w:hAnsi="Sans-serif" w:cs="Sans-serif"/>
          <w:color w:val="000000"/>
          <w:sz w:val="32"/>
          <w:szCs w:val="32"/>
        </w:rPr>
      </w:pP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年</w:t>
      </w:r>
      <w:r>
        <w:rPr>
          <w:rFonts w:ascii="方正仿宋_GBK" w:eastAsia="方正仿宋_GBK" w:cs="方正仿宋_GBK"/>
          <w:color w:val="000000"/>
          <w:sz w:val="32"/>
          <w:szCs w:val="32"/>
        </w:rPr>
        <w:t>5</w:t>
      </w:r>
      <w:r>
        <w:rPr>
          <w:rFonts w:ascii="方正仿宋_GBK" w:eastAsia="方正仿宋_GBK" w:cs="方正仿宋_GBK" w:hint="eastAsia"/>
          <w:color w:val="000000"/>
          <w:sz w:val="32"/>
          <w:szCs w:val="32"/>
        </w:rPr>
        <w:t>月</w:t>
      </w:r>
      <w:r>
        <w:rPr>
          <w:rFonts w:ascii="方正仿宋_GBK" w:eastAsia="方正仿宋_GBK" w:cs="方正仿宋_GBK"/>
          <w:color w:val="000000"/>
          <w:sz w:val="32"/>
          <w:szCs w:val="32"/>
        </w:rPr>
        <w:t>10</w:t>
      </w:r>
      <w:r>
        <w:rPr>
          <w:rFonts w:ascii="方正仿宋_GBK" w:eastAsia="方正仿宋_GBK" w:cs="方正仿宋_GBK" w:hint="eastAsia"/>
          <w:color w:val="000000"/>
          <w:sz w:val="32"/>
          <w:szCs w:val="32"/>
        </w:rPr>
        <w:t>日</w:t>
      </w:r>
      <w:r>
        <w:rPr>
          <w:rFonts w:ascii="方正仿宋_GBK" w:eastAsia="方正仿宋_GBK" w:cs="方正仿宋_GBK"/>
          <w:color w:val="000000"/>
          <w:sz w:val="32"/>
          <w:szCs w:val="32"/>
        </w:rPr>
        <w:t xml:space="preserve">     </w:t>
      </w:r>
    </w:p>
    <w:p w:rsidR="00CF7D6A" w:rsidRDefault="00CF7D6A">
      <w:pPr>
        <w:rPr>
          <w:rFonts w:cs="Times New Roman"/>
        </w:rPr>
      </w:pPr>
    </w:p>
    <w:sectPr w:rsidR="00CF7D6A" w:rsidSect="00DD745C">
      <w:pgSz w:w="11907" w:h="16839"/>
      <w:pgMar w:top="1440" w:right="1800" w:bottom="1440" w:left="1800" w:header="85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D6A" w:rsidRDefault="00CF7D6A">
      <w:pPr>
        <w:rPr>
          <w:rFonts w:cs="Times New Roman"/>
        </w:rPr>
      </w:pPr>
      <w:r>
        <w:rPr>
          <w:rFonts w:cs="Times New Roman"/>
        </w:rPr>
        <w:separator/>
      </w:r>
    </w:p>
  </w:endnote>
  <w:endnote w:type="continuationSeparator" w:id="0">
    <w:p w:rsidR="00CF7D6A" w:rsidRDefault="00CF7D6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ans-serif">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D6A" w:rsidRDefault="00CF7D6A">
      <w:pPr>
        <w:rPr>
          <w:rFonts w:cs="Times New Roman"/>
        </w:rPr>
      </w:pPr>
      <w:r>
        <w:rPr>
          <w:rFonts w:cs="Times New Roman"/>
        </w:rPr>
        <w:separator/>
      </w:r>
    </w:p>
  </w:footnote>
  <w:footnote w:type="continuationSeparator" w:id="0">
    <w:p w:rsidR="00CF7D6A" w:rsidRDefault="00CF7D6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00000000"/>
    <w:lvl w:ilvl="0" w:tplc="A426F59C">
      <w:start w:val="1"/>
      <w:numFmt w:val="decimal"/>
      <w:lvlRestart w:val="0"/>
      <w:lvlText w:val="%1."/>
      <w:lvlJc w:val="left"/>
      <w:pPr>
        <w:tabs>
          <w:tab w:val="num" w:pos="720"/>
        </w:tabs>
        <w:ind w:left="720" w:hanging="360"/>
      </w:pPr>
    </w:lvl>
    <w:lvl w:ilvl="1" w:tplc="EEC0CFEA">
      <w:start w:val="1"/>
      <w:numFmt w:val="decimal"/>
      <w:lvlRestart w:val="0"/>
      <w:lvlText w:val="%1."/>
      <w:lvlJc w:val="left"/>
      <w:pPr>
        <w:tabs>
          <w:tab w:val="num" w:pos="720"/>
        </w:tabs>
        <w:ind w:left="720" w:hanging="360"/>
      </w:pPr>
    </w:lvl>
    <w:lvl w:ilvl="2" w:tplc="D954008E">
      <w:start w:val="1"/>
      <w:numFmt w:val="decimal"/>
      <w:lvlRestart w:val="0"/>
      <w:lvlText w:val="%1."/>
      <w:lvlJc w:val="left"/>
      <w:pPr>
        <w:tabs>
          <w:tab w:val="num" w:pos="720"/>
        </w:tabs>
        <w:ind w:left="720" w:hanging="360"/>
      </w:pPr>
    </w:lvl>
    <w:lvl w:ilvl="3" w:tplc="946A10E4">
      <w:start w:val="1"/>
      <w:numFmt w:val="decimal"/>
      <w:lvlRestart w:val="0"/>
      <w:lvlText w:val="%1."/>
      <w:lvlJc w:val="left"/>
      <w:pPr>
        <w:tabs>
          <w:tab w:val="num" w:pos="720"/>
        </w:tabs>
        <w:ind w:left="720" w:hanging="360"/>
      </w:pPr>
    </w:lvl>
    <w:lvl w:ilvl="4" w:tplc="588A2C32">
      <w:start w:val="1"/>
      <w:numFmt w:val="decimal"/>
      <w:lvlRestart w:val="0"/>
      <w:lvlText w:val="%1."/>
      <w:lvlJc w:val="left"/>
      <w:pPr>
        <w:tabs>
          <w:tab w:val="num" w:pos="720"/>
        </w:tabs>
        <w:ind w:left="720" w:hanging="360"/>
      </w:pPr>
    </w:lvl>
    <w:lvl w:ilvl="5" w:tplc="EB2A34CE">
      <w:start w:val="1"/>
      <w:numFmt w:val="decimal"/>
      <w:lvlRestart w:val="0"/>
      <w:lvlText w:val="%1."/>
      <w:lvlJc w:val="left"/>
      <w:pPr>
        <w:tabs>
          <w:tab w:val="num" w:pos="720"/>
        </w:tabs>
        <w:ind w:left="720" w:hanging="360"/>
      </w:pPr>
    </w:lvl>
    <w:lvl w:ilvl="6" w:tplc="40A0B0D8">
      <w:start w:val="1"/>
      <w:numFmt w:val="decimal"/>
      <w:lvlRestart w:val="0"/>
      <w:lvlText w:val="%1."/>
      <w:lvlJc w:val="left"/>
      <w:pPr>
        <w:tabs>
          <w:tab w:val="num" w:pos="720"/>
        </w:tabs>
        <w:ind w:left="720" w:hanging="360"/>
      </w:pPr>
    </w:lvl>
    <w:lvl w:ilvl="7" w:tplc="F1FA8BF6">
      <w:start w:val="1"/>
      <w:numFmt w:val="decimal"/>
      <w:lvlRestart w:val="0"/>
      <w:lvlText w:val="%1."/>
      <w:lvlJc w:val="left"/>
      <w:pPr>
        <w:tabs>
          <w:tab w:val="num" w:pos="720"/>
        </w:tabs>
        <w:ind w:left="720" w:hanging="360"/>
      </w:pPr>
    </w:lvl>
    <w:lvl w:ilvl="8" w:tplc="C68C7660">
      <w:start w:val="1"/>
      <w:numFmt w:val="decimal"/>
      <w:lvlRestart w:val="0"/>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20"/>
  <w:drawingGridVerticalSpacing w:val="163"/>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745C"/>
    <w:rsid w:val="002B1BC6"/>
    <w:rsid w:val="00A96CA9"/>
    <w:rsid w:val="00C41983"/>
    <w:rsid w:val="00CF7D6A"/>
    <w:rsid w:val="00DD74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45C"/>
    <w:pPr>
      <w:widowControl w:val="0"/>
    </w:pPr>
    <w:rPr>
      <w:rFonts w:ascii="宋体" w:cs="宋体"/>
      <w:sz w:val="24"/>
      <w:szCs w:val="24"/>
    </w:rPr>
  </w:style>
  <w:style w:type="paragraph" w:styleId="Heading1">
    <w:name w:val="heading 1"/>
    <w:basedOn w:val="Normal"/>
    <w:next w:val="Normal"/>
    <w:link w:val="Heading1Char"/>
    <w:uiPriority w:val="99"/>
    <w:qFormat/>
    <w:rsid w:val="00DD745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DD745C"/>
    <w:pPr>
      <w:keepNext/>
      <w:keepLines/>
      <w:spacing w:before="260" w:after="260" w:line="415"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D745C"/>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6B4"/>
    <w:rPr>
      <w:rFonts w:ascii="宋体" w:cs="宋体"/>
      <w:b/>
      <w:bCs/>
      <w:kern w:val="44"/>
      <w:sz w:val="44"/>
      <w:szCs w:val="44"/>
    </w:rPr>
  </w:style>
  <w:style w:type="character" w:customStyle="1" w:styleId="Heading2Char">
    <w:name w:val="Heading 2 Char"/>
    <w:basedOn w:val="DefaultParagraphFont"/>
    <w:link w:val="Heading2"/>
    <w:uiPriority w:val="9"/>
    <w:semiHidden/>
    <w:rsid w:val="000126B4"/>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0126B4"/>
    <w:rPr>
      <w:rFonts w:ascii="宋体" w:cs="宋体"/>
      <w:b/>
      <w:bCs/>
      <w:sz w:val="32"/>
      <w:szCs w:val="32"/>
    </w:rPr>
  </w:style>
  <w:style w:type="paragraph" w:styleId="Header">
    <w:name w:val="header"/>
    <w:basedOn w:val="Normal"/>
    <w:link w:val="HeaderChar"/>
    <w:uiPriority w:val="99"/>
    <w:rsid w:val="00A96C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126B4"/>
    <w:rPr>
      <w:rFonts w:ascii="宋体" w:cs="宋体"/>
      <w:sz w:val="18"/>
      <w:szCs w:val="18"/>
    </w:rPr>
  </w:style>
  <w:style w:type="paragraph" w:styleId="Footer">
    <w:name w:val="footer"/>
    <w:basedOn w:val="Normal"/>
    <w:link w:val="FooterChar"/>
    <w:uiPriority w:val="99"/>
    <w:rsid w:val="00A96CA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0126B4"/>
    <w:rPr>
      <w:rFonts w:asci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117</Words>
  <Characters>669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2</cp:revision>
  <dcterms:created xsi:type="dcterms:W3CDTF">2021-12-23T03:16:00Z</dcterms:created>
  <dcterms:modified xsi:type="dcterms:W3CDTF">2022-10-17T08:38:00Z</dcterms:modified>
</cp:coreProperties>
</file>