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2A" w:rsidRDefault="007C352A" w:rsidP="00D9784B">
      <w:pPr>
        <w:spacing w:line="390" w:lineRule="exact"/>
        <w:rPr>
          <w:rFonts w:ascii="方正小标宋_GBK" w:eastAsia="方正小标宋_GBK" w:cs="Times New Roman"/>
          <w:b/>
          <w:bCs/>
        </w:rPr>
      </w:pPr>
    </w:p>
    <w:p w:rsidR="007C352A" w:rsidRDefault="007C352A" w:rsidP="00D9784B">
      <w:pPr>
        <w:spacing w:line="380" w:lineRule="exact"/>
        <w:rPr>
          <w:rFonts w:ascii="方正小标宋_GBK" w:eastAsia="方正小标宋_GBK" w:cs="Times New Roman"/>
          <w:spacing w:val="-14"/>
          <w:w w:val="42"/>
        </w:rPr>
      </w:pPr>
    </w:p>
    <w:p w:rsidR="007C352A" w:rsidRDefault="007C352A" w:rsidP="00D9784B">
      <w:pPr>
        <w:spacing w:line="390" w:lineRule="exact"/>
        <w:rPr>
          <w:rFonts w:ascii="方正小标宋_GBK" w:eastAsia="方正小标宋_GBK" w:cs="Times New Roman"/>
          <w:spacing w:val="-14"/>
          <w:w w:val="42"/>
        </w:rPr>
      </w:pPr>
      <w:r>
        <w:rPr>
          <w:noProof/>
        </w:rPr>
        <w:pict>
          <v:line id="Line 597" o:spid="_x0000_s1026" style="position:absolute;z-index:251658240;mso-position-horizontal:center" from="0,14.65pt" to=".05pt,14.7pt" o:preferrelative="t" wrapcoords="2 2 2 2 2 2 2 2 2 2" strokeweight="2pt">
            <v:stroke miterlimit="2"/>
            <w10:wrap type="tight"/>
          </v:line>
        </w:pict>
      </w:r>
    </w:p>
    <w:p w:rsidR="007C352A" w:rsidRDefault="007C352A" w:rsidP="00D9784B">
      <w:pPr>
        <w:spacing w:line="400" w:lineRule="exact"/>
        <w:rPr>
          <w:rFonts w:ascii="方正小标宋_GBK" w:eastAsia="方正小标宋_GBK" w:cs="Times New Roman"/>
          <w:spacing w:val="-14"/>
          <w:w w:val="42"/>
        </w:rPr>
      </w:pPr>
    </w:p>
    <w:p w:rsidR="007C352A" w:rsidRPr="00D9784B" w:rsidRDefault="007C352A" w:rsidP="00D9784B">
      <w:pPr>
        <w:tabs>
          <w:tab w:val="left" w:pos="158"/>
          <w:tab w:val="left" w:pos="8690"/>
        </w:tabs>
        <w:spacing w:line="1180" w:lineRule="exact"/>
        <w:jc w:val="center"/>
        <w:rPr>
          <w:rFonts w:ascii="方正小标宋_GBK" w:eastAsia="方正小标宋_GBK" w:cs="Times New Roman"/>
          <w:b/>
          <w:bCs/>
          <w:color w:val="FF0000"/>
          <w:spacing w:val="-14"/>
          <w:w w:val="50"/>
          <w:sz w:val="108"/>
          <w:szCs w:val="108"/>
        </w:rPr>
      </w:pPr>
      <w:r w:rsidRPr="00D9784B">
        <w:rPr>
          <w:rFonts w:ascii="方正小标宋_GBK" w:eastAsia="方正小标宋_GBK" w:cs="方正小标宋_GBK" w:hint="eastAsia"/>
          <w:b/>
          <w:bCs/>
          <w:color w:val="FF0000"/>
          <w:spacing w:val="-14"/>
          <w:w w:val="50"/>
          <w:sz w:val="108"/>
          <w:szCs w:val="108"/>
        </w:rPr>
        <w:t>重庆市涪陵区发展和改革委员会文件</w:t>
      </w:r>
    </w:p>
    <w:p w:rsidR="007C352A" w:rsidRDefault="007C352A" w:rsidP="00D9784B">
      <w:pPr>
        <w:spacing w:line="480" w:lineRule="exact"/>
        <w:jc w:val="center"/>
        <w:rPr>
          <w:rFonts w:ascii="仿宋_GB2312" w:cs="Times New Roman"/>
        </w:rPr>
      </w:pPr>
    </w:p>
    <w:p w:rsidR="007C352A" w:rsidRDefault="007C352A" w:rsidP="00D9784B">
      <w:pPr>
        <w:spacing w:line="460" w:lineRule="exact"/>
        <w:jc w:val="center"/>
        <w:rPr>
          <w:rFonts w:ascii="仿宋_GB2312" w:cs="Times New Roman"/>
        </w:rPr>
      </w:pPr>
    </w:p>
    <w:p w:rsidR="007C352A" w:rsidRPr="00D9784B" w:rsidRDefault="007C352A" w:rsidP="00D9784B">
      <w:pPr>
        <w:spacing w:line="600" w:lineRule="exact"/>
        <w:ind w:firstLineChars="50" w:firstLine="31680"/>
        <w:jc w:val="center"/>
        <w:rPr>
          <w:rFonts w:ascii="方正仿宋_GBK" w:eastAsia="方正仿宋_GBK" w:cs="Times New Roman"/>
          <w:color w:val="000000"/>
          <w:sz w:val="32"/>
          <w:szCs w:val="32"/>
        </w:rPr>
      </w:pPr>
      <w:r w:rsidRPr="00D9784B">
        <w:rPr>
          <w:rFonts w:ascii="方正仿宋_GBK" w:eastAsia="方正仿宋_GBK" w:cs="方正仿宋_GBK" w:hint="eastAsia"/>
          <w:color w:val="000000"/>
          <w:sz w:val="32"/>
          <w:szCs w:val="32"/>
        </w:rPr>
        <w:t>涪发改委发〔</w:t>
      </w:r>
      <w:r w:rsidRPr="00D9784B">
        <w:rPr>
          <w:rFonts w:ascii="方正仿宋_GBK" w:eastAsia="方正仿宋_GBK" w:cs="方正仿宋_GBK"/>
          <w:color w:val="000000"/>
          <w:sz w:val="32"/>
          <w:szCs w:val="32"/>
        </w:rPr>
        <w:t>202</w:t>
      </w:r>
      <w:r>
        <w:rPr>
          <w:rFonts w:ascii="方正仿宋_GBK" w:eastAsia="方正仿宋_GBK" w:cs="方正仿宋_GBK"/>
          <w:color w:val="000000"/>
          <w:sz w:val="32"/>
          <w:szCs w:val="32"/>
        </w:rPr>
        <w:t>1</w:t>
      </w:r>
      <w:r w:rsidRPr="00D9784B">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219</w:t>
      </w:r>
      <w:r w:rsidRPr="00D9784B">
        <w:rPr>
          <w:rFonts w:ascii="方正仿宋_GBK" w:eastAsia="方正仿宋_GBK" w:cs="方正仿宋_GBK" w:hint="eastAsia"/>
          <w:color w:val="000000"/>
          <w:sz w:val="32"/>
          <w:szCs w:val="32"/>
        </w:rPr>
        <w:t>号</w:t>
      </w:r>
    </w:p>
    <w:p w:rsidR="007C352A" w:rsidRDefault="007C352A" w:rsidP="00D9784B">
      <w:pPr>
        <w:jc w:val="center"/>
        <w:rPr>
          <w:rFonts w:cs="Times New Roman"/>
        </w:rPr>
      </w:pPr>
      <w:r>
        <w:rPr>
          <w:noProof/>
        </w:rPr>
        <w:pict>
          <v:line id="Line 598" o:spid="_x0000_s1027" style="position:absolute;left:0;text-align:left;z-index:251659264" from="0,6.6pt" to="442.2pt,6.65pt" o:preferrelative="t" strokecolor="red" strokeweight="2.25pt">
            <v:stroke miterlimit="2"/>
            <w10:wrap type="square"/>
          </v:line>
        </w:pict>
      </w:r>
    </w:p>
    <w:p w:rsidR="007C352A" w:rsidRDefault="007C352A">
      <w:pPr>
        <w:spacing w:line="604" w:lineRule="atLeast"/>
        <w:jc w:val="center"/>
        <w:rPr>
          <w:rFonts w:ascii="方正小标宋_GBK" w:eastAsia="方正小标宋_GBK" w:cs="Times New Roman"/>
          <w:color w:val="000000"/>
          <w:sz w:val="44"/>
          <w:szCs w:val="44"/>
        </w:rPr>
      </w:pPr>
    </w:p>
    <w:p w:rsidR="007C352A" w:rsidRDefault="007C352A">
      <w:pPr>
        <w:spacing w:line="604" w:lineRule="atLeast"/>
        <w:jc w:val="center"/>
        <w:rPr>
          <w:rFonts w:ascii="Sans-serif" w:hAnsi="Sans-serif" w:cs="Sans-serif"/>
          <w:color w:val="000000"/>
          <w:sz w:val="32"/>
          <w:szCs w:val="32"/>
        </w:rPr>
      </w:pPr>
      <w:r>
        <w:rPr>
          <w:rFonts w:ascii="方正小标宋_GBK" w:eastAsia="方正小标宋_GBK" w:cs="方正小标宋_GBK" w:hint="eastAsia"/>
          <w:color w:val="000000"/>
          <w:sz w:val="44"/>
          <w:szCs w:val="44"/>
        </w:rPr>
        <w:t>重庆市涪陵区发展和改革委员会</w:t>
      </w:r>
    </w:p>
    <w:p w:rsidR="007C352A" w:rsidRDefault="007C352A">
      <w:pPr>
        <w:spacing w:line="604" w:lineRule="atLeast"/>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关于城镇新建普通住宅燃气工程安装收费标准的通知</w:t>
      </w:r>
    </w:p>
    <w:p w:rsidR="007C352A" w:rsidRDefault="007C352A" w:rsidP="0016267C">
      <w:pPr>
        <w:spacing w:line="604" w:lineRule="atLeast"/>
        <w:rPr>
          <w:rFonts w:ascii="Sans-serif" w:hAnsi="Sans-serif" w:cs="Sans-serif"/>
          <w:color w:val="000000"/>
          <w:sz w:val="32"/>
          <w:szCs w:val="32"/>
        </w:rPr>
      </w:pPr>
    </w:p>
    <w:p w:rsidR="007C352A" w:rsidRDefault="007C352A">
      <w:pPr>
        <w:spacing w:line="561" w:lineRule="atLeast"/>
        <w:rPr>
          <w:rFonts w:ascii="Sans-serif" w:hAnsi="Sans-serif" w:cs="Sans-serif"/>
          <w:color w:val="000000"/>
          <w:sz w:val="32"/>
          <w:szCs w:val="32"/>
        </w:rPr>
      </w:pPr>
      <w:r>
        <w:rPr>
          <w:rFonts w:ascii="方正仿宋_GBK" w:eastAsia="方正仿宋_GBK" w:cs="方正仿宋_GBK" w:hint="eastAsia"/>
          <w:color w:val="000000"/>
          <w:sz w:val="32"/>
          <w:szCs w:val="32"/>
        </w:rPr>
        <w:t>重庆涪陵燃气有限责任公司、重庆君峰燃气有限责任公司、重庆辰龙燃气发展有限公司、重庆淞云燃气有限公司、重庆芝源燃气有限公司：</w:t>
      </w:r>
    </w:p>
    <w:p w:rsidR="007C352A" w:rsidRDefault="007C352A">
      <w:pPr>
        <w:spacing w:line="561"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为规范城镇燃气工程安装行为，强化燃气工程安装收费管理，根据《重庆市发展和改革委员会、市场监督管理局转发〈国家发展和改革委员会、住房和城乡建设部、国家市场监督管理总局关于规范城镇燃气工程安装收费的指导意见〉的通知》（渝发改价格〔</w:t>
      </w:r>
      <w:r>
        <w:rPr>
          <w:rFonts w:ascii="方正仿宋_GBK" w:eastAsia="方正仿宋_GBK" w:cs="方正仿宋_GBK"/>
          <w:color w:val="000000"/>
          <w:sz w:val="32"/>
          <w:szCs w:val="32"/>
        </w:rPr>
        <w:t>2019</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1121</w:t>
      </w:r>
      <w:r>
        <w:rPr>
          <w:rFonts w:ascii="方正仿宋_GBK" w:eastAsia="方正仿宋_GBK" w:cs="方正仿宋_GBK" w:hint="eastAsia"/>
          <w:color w:val="000000"/>
          <w:sz w:val="32"/>
          <w:szCs w:val="32"/>
        </w:rPr>
        <w:t>号）和《区政府第</w:t>
      </w:r>
      <w:r>
        <w:rPr>
          <w:rFonts w:ascii="方正仿宋_GBK" w:eastAsia="方正仿宋_GBK" w:cs="方正仿宋_GBK"/>
          <w:color w:val="000000"/>
          <w:sz w:val="32"/>
          <w:szCs w:val="32"/>
        </w:rPr>
        <w:t>117</w:t>
      </w:r>
      <w:r>
        <w:rPr>
          <w:rFonts w:ascii="方正仿宋_GBK" w:eastAsia="方正仿宋_GBK" w:cs="方正仿宋_GBK" w:hint="eastAsia"/>
          <w:color w:val="000000"/>
          <w:sz w:val="32"/>
          <w:szCs w:val="32"/>
        </w:rPr>
        <w:t>次常务会议纪要》精神，结合涪陵实际，就城镇新建普通住宅燃气工程安装收费标准的有关事宜通知如下：</w:t>
      </w:r>
    </w:p>
    <w:p w:rsidR="007C352A" w:rsidRDefault="007C352A">
      <w:pPr>
        <w:spacing w:line="561" w:lineRule="atLeast"/>
        <w:ind w:firstLine="633"/>
        <w:rPr>
          <w:rFonts w:ascii="Sans-serif" w:hAnsi="Sans-serif" w:cs="Sans-serif"/>
          <w:color w:val="000000"/>
          <w:sz w:val="32"/>
          <w:szCs w:val="32"/>
        </w:rPr>
      </w:pPr>
      <w:r>
        <w:rPr>
          <w:rFonts w:ascii="方正黑体_GBK" w:eastAsia="方正黑体_GBK" w:cs="方正黑体_GBK" w:hint="eastAsia"/>
          <w:color w:val="000000"/>
          <w:sz w:val="32"/>
          <w:szCs w:val="32"/>
        </w:rPr>
        <w:t>一、居民燃气工程安装范围及收费含义。</w:t>
      </w:r>
      <w:r>
        <w:rPr>
          <w:rFonts w:ascii="方正仿宋_GBK" w:eastAsia="方正仿宋_GBK" w:cs="方正仿宋_GBK" w:hint="eastAsia"/>
          <w:color w:val="000000"/>
          <w:sz w:val="32"/>
          <w:szCs w:val="32"/>
        </w:rPr>
        <w:t>城镇居民燃气工程安装仅限于建筑区划红线内产权属于用户的资产（不含燃气表后安装），不得向红线外延伸；燃气主管网到建筑区划红线连接的燃气工程安装由燃气企业负责，不得向房地产开发企业（用户）收取，纳入配气价格统筹考虑。城镇居民燃气工程安装收费是指相关企业提供建筑区划红线内燃气工程勘察、设计、施工、监理、验收等服务而收取的与工程建设相关的服务费和材料费等费用。</w:t>
      </w:r>
    </w:p>
    <w:p w:rsidR="007C352A" w:rsidRDefault="007C352A">
      <w:pPr>
        <w:spacing w:line="561" w:lineRule="atLeast"/>
        <w:ind w:firstLine="633"/>
        <w:rPr>
          <w:rFonts w:ascii="Sans-serif" w:hAnsi="Sans-serif" w:cs="Sans-serif"/>
          <w:color w:val="000000"/>
          <w:sz w:val="32"/>
          <w:szCs w:val="32"/>
        </w:rPr>
      </w:pPr>
      <w:r>
        <w:rPr>
          <w:rFonts w:ascii="方正黑体_GBK" w:eastAsia="方正黑体_GBK" w:cs="方正黑体_GBK" w:hint="eastAsia"/>
          <w:color w:val="000000"/>
          <w:sz w:val="32"/>
          <w:szCs w:val="32"/>
        </w:rPr>
        <w:t>二、城镇新建普通住宅燃气工程安装收费标准。</w:t>
      </w:r>
      <w:r>
        <w:rPr>
          <w:rFonts w:ascii="方正仿宋_GBK" w:eastAsia="方正仿宋_GBK" w:cs="方正仿宋_GBK" w:hint="eastAsia"/>
          <w:color w:val="000000"/>
          <w:sz w:val="32"/>
          <w:szCs w:val="32"/>
        </w:rPr>
        <w:t>城市建成区域内居民安装天然气</w:t>
      </w:r>
      <w:r>
        <w:rPr>
          <w:rFonts w:ascii="方正仿宋_GBK" w:eastAsia="方正仿宋_GBK" w:cs="方正仿宋_GBK"/>
          <w:color w:val="000000"/>
          <w:sz w:val="32"/>
          <w:szCs w:val="32"/>
        </w:rPr>
        <w:t>2750</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户；建制乡（镇）政府所在地（乡镇建成区域内）居民安装</w:t>
      </w:r>
      <w:r>
        <w:rPr>
          <w:rFonts w:ascii="方正仿宋_GBK" w:eastAsia="方正仿宋_GBK" w:cs="方正仿宋_GBK" w:hint="eastAsia"/>
          <w:color w:val="222222"/>
          <w:sz w:val="32"/>
          <w:szCs w:val="32"/>
        </w:rPr>
        <w:t>天然气</w:t>
      </w:r>
      <w:r>
        <w:rPr>
          <w:rFonts w:ascii="方正仿宋_GBK" w:eastAsia="方正仿宋_GBK" w:cs="方正仿宋_GBK"/>
          <w:color w:val="222222"/>
          <w:sz w:val="32"/>
          <w:szCs w:val="32"/>
        </w:rPr>
        <w:t>3500</w:t>
      </w:r>
      <w:r>
        <w:rPr>
          <w:rFonts w:ascii="方正仿宋_GBK" w:eastAsia="方正仿宋_GBK" w:cs="方正仿宋_GBK" w:hint="eastAsia"/>
          <w:color w:val="222222"/>
          <w:sz w:val="32"/>
          <w:szCs w:val="32"/>
        </w:rPr>
        <w:t>元</w:t>
      </w:r>
      <w:r>
        <w:rPr>
          <w:rFonts w:ascii="方正仿宋_GBK" w:eastAsia="方正仿宋_GBK" w:cs="方正仿宋_GBK"/>
          <w:color w:val="222222"/>
          <w:sz w:val="32"/>
          <w:szCs w:val="32"/>
        </w:rPr>
        <w:t>/</w:t>
      </w:r>
      <w:r>
        <w:rPr>
          <w:rFonts w:ascii="方正仿宋_GBK" w:eastAsia="方正仿宋_GBK" w:cs="方正仿宋_GBK" w:hint="eastAsia"/>
          <w:color w:val="222222"/>
          <w:sz w:val="32"/>
          <w:szCs w:val="32"/>
        </w:rPr>
        <w:t>户。不得收取超长材料费。</w:t>
      </w:r>
      <w:r>
        <w:rPr>
          <w:rFonts w:ascii="Sans-serif" w:hAnsi="Sans-serif" w:hint="eastAsia"/>
          <w:color w:val="222222"/>
          <w:sz w:val="32"/>
          <w:szCs w:val="32"/>
        </w:rPr>
        <w:t>均不含管沟开挖回填和青苗赔偿费用。此收费标准与我委《关于城镇新建普通住宅燃气工程安装临时收费标准的通知》（涪发改委发〔</w:t>
      </w:r>
      <w:r>
        <w:rPr>
          <w:rFonts w:ascii="方正仿宋_GBK" w:eastAsia="方正仿宋_GBK" w:cs="方正仿宋_GBK"/>
          <w:color w:val="000000"/>
          <w:sz w:val="32"/>
          <w:szCs w:val="32"/>
        </w:rPr>
        <w:t>2019</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577</w:t>
      </w:r>
      <w:r>
        <w:rPr>
          <w:rFonts w:ascii="方正仿宋_GBK" w:eastAsia="方正仿宋_GBK" w:cs="方正仿宋_GBK" w:hint="eastAsia"/>
          <w:color w:val="000000"/>
          <w:sz w:val="32"/>
          <w:szCs w:val="32"/>
        </w:rPr>
        <w:t>号）一致，因此，不需清退。</w:t>
      </w:r>
      <w:r>
        <w:rPr>
          <w:rFonts w:ascii="方正仿宋_GBK" w:eastAsia="方正仿宋_GBK" w:cs="方正仿宋_GBK" w:hint="eastAsia"/>
          <w:color w:val="222222"/>
          <w:sz w:val="32"/>
          <w:szCs w:val="32"/>
        </w:rPr>
        <w:t>表后安装按我委《</w:t>
      </w:r>
      <w:r>
        <w:rPr>
          <w:rFonts w:ascii="方正仿宋_GBK" w:eastAsia="方正仿宋_GBK" w:cs="方正仿宋_GBK" w:hint="eastAsia"/>
          <w:color w:val="000000"/>
          <w:sz w:val="32"/>
          <w:szCs w:val="32"/>
        </w:rPr>
        <w:t>关于天然气表后设施安装等延伸服务价格管理的批复》（涪发改委发〔</w:t>
      </w:r>
      <w:r>
        <w:rPr>
          <w:rFonts w:ascii="方正仿宋_GBK" w:eastAsia="方正仿宋_GBK" w:cs="方正仿宋_GBK"/>
          <w:color w:val="000000"/>
          <w:sz w:val="32"/>
          <w:szCs w:val="32"/>
        </w:rPr>
        <w:t>2015</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71</w:t>
      </w:r>
      <w:r>
        <w:rPr>
          <w:rFonts w:ascii="方正仿宋_GBK" w:eastAsia="方正仿宋_GBK" w:cs="方正仿宋_GBK" w:hint="eastAsia"/>
          <w:color w:val="000000"/>
          <w:sz w:val="32"/>
          <w:szCs w:val="32"/>
        </w:rPr>
        <w:t>号）执行。</w:t>
      </w:r>
    </w:p>
    <w:p w:rsidR="007C352A" w:rsidRDefault="007C352A">
      <w:pPr>
        <w:spacing w:line="561"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延伸至村的居民燃气工程安装收费（含表后）由燃气企业按定额规定据实测算并公示，公示</w:t>
      </w:r>
      <w:r>
        <w:rPr>
          <w:rFonts w:ascii="方正仿宋_GBK" w:eastAsia="方正仿宋_GBK" w:cs="方正仿宋_GBK"/>
          <w:color w:val="000000"/>
          <w:sz w:val="32"/>
          <w:szCs w:val="32"/>
        </w:rPr>
        <w:t>15</w:t>
      </w:r>
      <w:r>
        <w:rPr>
          <w:rFonts w:ascii="方正仿宋_GBK" w:eastAsia="方正仿宋_GBK" w:cs="方正仿宋_GBK" w:hint="eastAsia"/>
          <w:color w:val="000000"/>
          <w:sz w:val="32"/>
          <w:szCs w:val="32"/>
        </w:rPr>
        <w:t>天，与用户协商一致，每户签订协议，向用户收费后实施安装。安装过程中和安装完后不得再收取费用。至少一村一价或相同时段安装的同价，安装以后再新增的用户安装天然气不得低于前面的安装收费标准。</w:t>
      </w:r>
    </w:p>
    <w:p w:rsidR="007C352A" w:rsidRDefault="007C352A">
      <w:pPr>
        <w:spacing w:line="561" w:lineRule="atLeast"/>
        <w:ind w:firstLine="633"/>
        <w:rPr>
          <w:rFonts w:ascii="Sans-serif" w:hAnsi="Sans-serif" w:cs="Sans-serif"/>
          <w:color w:val="000000"/>
          <w:sz w:val="32"/>
          <w:szCs w:val="32"/>
        </w:rPr>
      </w:pPr>
      <w:r>
        <w:rPr>
          <w:rFonts w:ascii="方正黑体_GBK" w:eastAsia="方正黑体_GBK" w:cs="方正黑体_GBK" w:hint="eastAsia"/>
          <w:color w:val="000000"/>
          <w:sz w:val="32"/>
          <w:szCs w:val="32"/>
        </w:rPr>
        <w:t>三、特殊事项收费办法。</w:t>
      </w:r>
      <w:r>
        <w:rPr>
          <w:rFonts w:ascii="方正仿宋_GBK" w:eastAsia="方正仿宋_GBK" w:cs="方正仿宋_GBK" w:hint="eastAsia"/>
          <w:color w:val="000000"/>
          <w:sz w:val="32"/>
          <w:szCs w:val="32"/>
        </w:rPr>
        <w:t>有以下情况之一的，其收费由用户与燃气安装企业协商确定</w:t>
      </w:r>
      <w:r>
        <w:rPr>
          <w:rFonts w:ascii="方正仿宋_GBK" w:eastAsia="方正仿宋_GBK" w:cs="方正仿宋_GBK"/>
          <w:color w:val="000000"/>
          <w:sz w:val="32"/>
          <w:szCs w:val="32"/>
        </w:rPr>
        <w:t>:</w:t>
      </w:r>
    </w:p>
    <w:p w:rsidR="007C352A" w:rsidRDefault="007C352A">
      <w:pPr>
        <w:spacing w:line="561"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（一）建筑高度大于</w:t>
      </w:r>
      <w:r>
        <w:rPr>
          <w:rFonts w:ascii="方正仿宋_GBK" w:eastAsia="方正仿宋_GBK" w:cs="方正仿宋_GBK"/>
          <w:color w:val="000000"/>
          <w:sz w:val="32"/>
          <w:szCs w:val="32"/>
        </w:rPr>
        <w:t>100</w:t>
      </w:r>
      <w:r>
        <w:rPr>
          <w:rFonts w:ascii="方正仿宋_GBK" w:eastAsia="方正仿宋_GBK" w:cs="方正仿宋_GBK" w:hint="eastAsia"/>
          <w:color w:val="000000"/>
          <w:sz w:val="32"/>
          <w:szCs w:val="32"/>
        </w:rPr>
        <w:t>米超高层住宅、同一建筑内单层层高超过</w:t>
      </w:r>
      <w:r>
        <w:rPr>
          <w:rFonts w:ascii="方正仿宋_GBK" w:eastAsia="方正仿宋_GBK" w:cs="方正仿宋_GBK"/>
          <w:color w:val="000000"/>
          <w:sz w:val="32"/>
          <w:szCs w:val="32"/>
        </w:rPr>
        <w:t>3</w:t>
      </w:r>
      <w:r>
        <w:rPr>
          <w:rFonts w:ascii="方正仿宋_GBK" w:eastAsia="方正仿宋_GBK" w:cs="方正仿宋_GBK" w:hint="eastAsia"/>
          <w:color w:val="000000"/>
          <w:sz w:val="32"/>
          <w:szCs w:val="32"/>
        </w:rPr>
        <w:t>米的部分住宅。</w:t>
      </w:r>
      <w:r>
        <w:rPr>
          <w:rFonts w:ascii="方正仿宋_GBK" w:eastAsia="方正仿宋_GBK" w:cs="方正仿宋_GBK" w:hint="eastAsia"/>
          <w:color w:val="000000"/>
          <w:sz w:val="32"/>
          <w:szCs w:val="32"/>
        </w:rPr>
        <w:t> </w:t>
      </w:r>
    </w:p>
    <w:p w:rsidR="007C352A" w:rsidRDefault="007C352A">
      <w:pPr>
        <w:spacing w:line="561" w:lineRule="atLeast"/>
        <w:ind w:left="676"/>
        <w:rPr>
          <w:rFonts w:ascii="Sans-serif" w:hAnsi="Sans-serif" w:cs="Sans-serif"/>
          <w:color w:val="000000"/>
          <w:sz w:val="32"/>
          <w:szCs w:val="32"/>
        </w:rPr>
      </w:pPr>
      <w:r>
        <w:rPr>
          <w:rFonts w:ascii="方正仿宋_GBK" w:eastAsia="方正仿宋_GBK" w:cs="方正仿宋_GBK" w:hint="eastAsia"/>
          <w:color w:val="000000"/>
          <w:sz w:val="32"/>
          <w:szCs w:val="32"/>
        </w:rPr>
        <w:t>（二）城镇居民自建房。</w:t>
      </w:r>
    </w:p>
    <w:p w:rsidR="007C352A" w:rsidRDefault="007C352A">
      <w:pPr>
        <w:spacing w:line="561" w:lineRule="atLeast"/>
        <w:ind w:left="676"/>
        <w:rPr>
          <w:rFonts w:ascii="Sans-serif" w:hAnsi="Sans-serif" w:cs="Sans-serif"/>
          <w:color w:val="000000"/>
          <w:sz w:val="32"/>
          <w:szCs w:val="32"/>
        </w:rPr>
      </w:pPr>
      <w:r>
        <w:rPr>
          <w:rFonts w:ascii="方正仿宋_GBK" w:eastAsia="方正仿宋_GBK" w:cs="方正仿宋_GBK" w:hint="eastAsia"/>
          <w:color w:val="000000"/>
          <w:sz w:val="32"/>
          <w:szCs w:val="32"/>
        </w:rPr>
        <w:t>（三）因采暖需增大供气管径及计量表具型号的。</w:t>
      </w:r>
    </w:p>
    <w:p w:rsidR="007C352A" w:rsidRDefault="007C352A">
      <w:pPr>
        <w:spacing w:line="561" w:lineRule="atLeast"/>
        <w:jc w:val="right"/>
        <w:rPr>
          <w:rFonts w:ascii="方正仿宋_GBK" w:eastAsia="方正仿宋_GBK" w:cs="Times New Roman"/>
          <w:color w:val="000000"/>
          <w:sz w:val="32"/>
          <w:szCs w:val="32"/>
        </w:rPr>
      </w:pPr>
    </w:p>
    <w:p w:rsidR="007C352A" w:rsidRDefault="007C352A">
      <w:pPr>
        <w:spacing w:line="561" w:lineRule="atLeast"/>
        <w:jc w:val="right"/>
        <w:rPr>
          <w:rFonts w:ascii="方正仿宋_GBK" w:eastAsia="方正仿宋_GBK" w:cs="Times New Roman"/>
          <w:color w:val="000000"/>
          <w:sz w:val="32"/>
          <w:szCs w:val="32"/>
        </w:rPr>
      </w:pPr>
    </w:p>
    <w:p w:rsidR="007C352A" w:rsidRDefault="007C352A">
      <w:pPr>
        <w:spacing w:line="561" w:lineRule="atLeast"/>
        <w:jc w:val="right"/>
        <w:rPr>
          <w:rFonts w:ascii="方正仿宋_GBK" w:eastAsia="方正仿宋_GBK" w:cs="Times New Roman"/>
          <w:color w:val="000000"/>
          <w:sz w:val="32"/>
          <w:szCs w:val="32"/>
        </w:rPr>
      </w:pPr>
    </w:p>
    <w:p w:rsidR="007C352A" w:rsidRDefault="007C352A" w:rsidP="0016267C">
      <w:pPr>
        <w:wordWrap w:val="0"/>
        <w:spacing w:line="561" w:lineRule="atLeast"/>
        <w:jc w:val="right"/>
        <w:rPr>
          <w:rFonts w:ascii="Sans-serif" w:hAnsi="Sans-serif" w:cs="Sans-serif"/>
          <w:color w:val="000000"/>
          <w:sz w:val="32"/>
          <w:szCs w:val="32"/>
        </w:rPr>
      </w:pPr>
      <w:r>
        <w:rPr>
          <w:rFonts w:ascii="方正仿宋_GBK" w:eastAsia="方正仿宋_GBK" w:cs="方正仿宋_GBK" w:hint="eastAsia"/>
          <w:color w:val="000000"/>
          <w:sz w:val="32"/>
          <w:szCs w:val="32"/>
        </w:rPr>
        <w:t>重庆市涪陵区发展和改革委员会</w:t>
      </w:r>
      <w:r>
        <w:rPr>
          <w:rFonts w:ascii="方正仿宋_GBK" w:eastAsia="方正仿宋_GBK" w:cs="方正仿宋_GBK"/>
          <w:color w:val="000000"/>
          <w:sz w:val="32"/>
          <w:szCs w:val="32"/>
        </w:rPr>
        <w:t xml:space="preserve">  </w:t>
      </w:r>
    </w:p>
    <w:p w:rsidR="007C352A" w:rsidRDefault="007C352A" w:rsidP="0016267C">
      <w:pPr>
        <w:wordWrap w:val="0"/>
        <w:spacing w:line="561" w:lineRule="atLeast"/>
        <w:jc w:val="right"/>
        <w:rPr>
          <w:rFonts w:ascii="Sans-serif" w:hAnsi="Sans-serif" w:cs="Sans-serif"/>
          <w:color w:val="000000"/>
          <w:sz w:val="32"/>
          <w:szCs w:val="32"/>
        </w:rPr>
      </w:pPr>
      <w:r>
        <w:rPr>
          <w:rFonts w:ascii="Sans-serif" w:hAnsi="Sans-serif" w:cs="Sans-serif"/>
          <w:color w:val="000000"/>
          <w:sz w:val="32"/>
          <w:szCs w:val="32"/>
        </w:rPr>
        <w:t> </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5</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11</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p w:rsidR="007C352A" w:rsidRDefault="007C352A">
      <w:pPr>
        <w:rPr>
          <w:rFonts w:cs="Times New Roman"/>
        </w:rPr>
      </w:pPr>
    </w:p>
    <w:sectPr w:rsidR="007C352A" w:rsidSect="002B7E9F">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52A" w:rsidRDefault="007C352A">
      <w:pPr>
        <w:rPr>
          <w:rFonts w:cs="Times New Roman"/>
        </w:rPr>
      </w:pPr>
      <w:r>
        <w:rPr>
          <w:rFonts w:cs="Times New Roman"/>
        </w:rPr>
        <w:separator/>
      </w:r>
    </w:p>
  </w:endnote>
  <w:endnote w:type="continuationSeparator" w:id="0">
    <w:p w:rsidR="007C352A" w:rsidRDefault="007C35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Times New Roman"/>
    <w:panose1 w:val="00000000000000000000"/>
    <w:charset w:val="00"/>
    <w:family w:val="auto"/>
    <w:notTrueType/>
    <w:pitch w:val="variable"/>
    <w:sig w:usb0="00000003" w:usb1="00000000" w:usb2="00000000" w:usb3="00000000" w:csb0="00000001" w:csb1="00000000"/>
  </w:font>
  <w:font w:name="方正黑体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52A" w:rsidRDefault="007C352A">
      <w:pPr>
        <w:rPr>
          <w:rFonts w:cs="Times New Roman"/>
        </w:rPr>
      </w:pPr>
      <w:r>
        <w:rPr>
          <w:rFonts w:cs="Times New Roman"/>
        </w:rPr>
        <w:separator/>
      </w:r>
    </w:p>
  </w:footnote>
  <w:footnote w:type="continuationSeparator" w:id="0">
    <w:p w:rsidR="007C352A" w:rsidRDefault="007C352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E9F"/>
    <w:rsid w:val="0016267C"/>
    <w:rsid w:val="002B7E9F"/>
    <w:rsid w:val="007C352A"/>
    <w:rsid w:val="008E0900"/>
    <w:rsid w:val="00C83ED2"/>
    <w:rsid w:val="00D978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9F"/>
    <w:pPr>
      <w:widowControl w:val="0"/>
    </w:pPr>
    <w:rPr>
      <w:rFonts w:ascii="宋体" w:cs="宋体"/>
      <w:sz w:val="24"/>
      <w:szCs w:val="24"/>
    </w:rPr>
  </w:style>
  <w:style w:type="paragraph" w:styleId="Heading1">
    <w:name w:val="heading 1"/>
    <w:basedOn w:val="Normal"/>
    <w:next w:val="Normal"/>
    <w:link w:val="Heading1Char"/>
    <w:uiPriority w:val="99"/>
    <w:qFormat/>
    <w:rsid w:val="002B7E9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B7E9F"/>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2B7E9F"/>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39"/>
    <w:rPr>
      <w:rFonts w:ascii="宋体" w:cs="宋体"/>
      <w:b/>
      <w:bCs/>
      <w:kern w:val="44"/>
      <w:sz w:val="44"/>
      <w:szCs w:val="44"/>
    </w:rPr>
  </w:style>
  <w:style w:type="character" w:customStyle="1" w:styleId="Heading2Char">
    <w:name w:val="Heading 2 Char"/>
    <w:basedOn w:val="DefaultParagraphFont"/>
    <w:link w:val="Heading2"/>
    <w:uiPriority w:val="9"/>
    <w:semiHidden/>
    <w:rsid w:val="00727C3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27C39"/>
    <w:rPr>
      <w:rFonts w:ascii="宋体" w:cs="宋体"/>
      <w:b/>
      <w:bCs/>
      <w:sz w:val="32"/>
      <w:szCs w:val="32"/>
    </w:rPr>
  </w:style>
  <w:style w:type="paragraph" w:styleId="Header">
    <w:name w:val="header"/>
    <w:basedOn w:val="Normal"/>
    <w:link w:val="HeaderChar"/>
    <w:uiPriority w:val="99"/>
    <w:rsid w:val="00D97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27C39"/>
    <w:rPr>
      <w:rFonts w:ascii="宋体" w:cs="宋体"/>
      <w:sz w:val="18"/>
      <w:szCs w:val="18"/>
    </w:rPr>
  </w:style>
  <w:style w:type="paragraph" w:styleId="Footer">
    <w:name w:val="footer"/>
    <w:basedOn w:val="Normal"/>
    <w:link w:val="FooterChar"/>
    <w:uiPriority w:val="99"/>
    <w:rsid w:val="00D9784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727C39"/>
    <w:rPr>
      <w:rFonts w:asci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154</Words>
  <Characters>878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3</cp:revision>
  <dcterms:created xsi:type="dcterms:W3CDTF">2021-12-23T07:33:00Z</dcterms:created>
  <dcterms:modified xsi:type="dcterms:W3CDTF">2022-10-17T08:46:00Z</dcterms:modified>
</cp:coreProperties>
</file>