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21600"/>
                    <wp:lineTo x="21600" y="21600"/>
                    <wp:lineTo x="21600" y="0"/>
                    <wp:lineTo x="0" y="0"/>
                  </wp:wrapPolygon>
                </wp:wrapTight>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14.65pt;height:0pt;width:0.05pt;mso-position-horizontal:center;mso-wrap-distance-left:9pt;mso-wrap-distance-right:9pt;z-index:251663360;mso-width-relative:page;mso-height-relative:page;" filled="f" stroked="t" coordsize="21600,21600" wrapcoords="0 0 0 21600 21600 21600 2160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fGyg&#10;+NEAAAADAQAADwAAAAAAAAABACAAAAA4AAAAZHJzL2Rvd25yZXYueG1sUEsBAhQAFAAAAAgAh07i&#10;QAyijD3aAQAAmAMAAA4AAAAAAAAAAQAgAAAANgEAAGRycy9lMm9Eb2MueG1sUEsFBgAAAAAGAAYA&#10;WQEAAIIFA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158"/>
          <w:tab w:val="left" w:pos="8690"/>
        </w:tabs>
        <w:spacing w:line="1180" w:lineRule="exact"/>
        <w:jc w:val="center"/>
        <w:rPr>
          <w:rFonts w:hint="eastAsia" w:ascii="方正小标宋_GBK" w:eastAsia="方正小标宋_GBK"/>
          <w:b/>
          <w:bCs/>
          <w:color w:val="FF0000"/>
          <w:spacing w:val="-14"/>
          <w:w w:val="52"/>
          <w:sz w:val="108"/>
          <w:szCs w:val="108"/>
        </w:rPr>
      </w:pPr>
      <w:r>
        <w:rPr>
          <w:rFonts w:hint="eastAsia" w:ascii="方正小标宋_GBK" w:eastAsia="方正小标宋_GBK"/>
          <w:b/>
          <w:bCs/>
          <w:color w:val="FF0000"/>
          <w:spacing w:val="-14"/>
          <w:w w:val="52"/>
          <w:sz w:val="108"/>
          <w:szCs w:val="108"/>
        </w:rPr>
        <w:t>重庆市涪陵区发展和改革委员会文件</w:t>
      </w:r>
    </w:p>
    <w:p>
      <w:pPr>
        <w:spacing w:line="480" w:lineRule="exact"/>
        <w:jc w:val="center"/>
        <w:rPr>
          <w:rFonts w:hint="eastAsia" w:ascii="仿宋_GB2312"/>
        </w:rPr>
      </w:pPr>
    </w:p>
    <w:p>
      <w:pPr>
        <w:spacing w:line="460" w:lineRule="exact"/>
        <w:jc w:val="center"/>
        <w:rPr>
          <w:rFonts w:hint="eastAsia" w:ascii="仿宋_GB2312"/>
        </w:rPr>
      </w:pPr>
    </w:p>
    <w:p>
      <w:pPr>
        <w:tabs>
          <w:tab w:val="left" w:pos="316"/>
        </w:tabs>
        <w:jc w:val="center"/>
        <w:rPr>
          <w:rFonts w:hint="default" w:ascii="方正仿宋_GBK" w:eastAsia="方正仿宋_GBK"/>
          <w:lang w:val="en-US" w:eastAsia="zh-CN"/>
        </w:rPr>
      </w:pPr>
      <w:r>
        <w:rPr>
          <w:rFonts w:hint="eastAsia" w:ascii="方正仿宋_GBK"/>
          <w:lang w:eastAsia="zh-CN"/>
        </w:rPr>
        <w:t>涪发改委发</w:t>
      </w:r>
      <w:r>
        <w:rPr>
          <w:rFonts w:hint="eastAsia" w:ascii="方正仿宋_GBK" w:hAnsi="方正仿宋_GBK" w:eastAsia="方正仿宋_GBK" w:cs="方正仿宋_GBK"/>
          <w:lang w:eastAsia="zh-CN"/>
        </w:rPr>
        <w:t>﹝</w:t>
      </w:r>
      <w:r>
        <w:rPr>
          <w:rFonts w:hint="eastAsia" w:ascii="Times New Roman" w:hAnsi="Times New Roman" w:cs="Times New Roman"/>
          <w:lang w:val="en-US" w:eastAsia="zh-CN"/>
        </w:rPr>
        <w:t>2023</w:t>
      </w:r>
      <w:r>
        <w:rPr>
          <w:rFonts w:hint="eastAsia" w:ascii="方正仿宋_GBK" w:hAnsi="方正仿宋_GBK" w:eastAsia="方正仿宋_GBK" w:cs="方正仿宋_GBK"/>
          <w:lang w:eastAsia="zh-CN"/>
        </w:rPr>
        <w:t>﹞</w:t>
      </w:r>
      <w:r>
        <w:rPr>
          <w:rFonts w:hint="default" w:ascii="Times New Roman" w:hAnsi="Times New Roman" w:cs="Times New Roman"/>
          <w:lang w:val="en-US" w:eastAsia="zh-CN"/>
        </w:rPr>
        <w:t>618</w:t>
      </w:r>
      <w:r>
        <w:rPr>
          <w:rFonts w:hint="eastAsia" w:ascii="方正仿宋_GBK" w:hAnsi="方正仿宋_GBK" w:cs="方正仿宋_GBK"/>
          <w:lang w:val="en-US" w:eastAsia="zh-CN"/>
        </w:rPr>
        <w:t>号</w:t>
      </w:r>
    </w:p>
    <w:p>
      <w:pPr>
        <w:jc w:val="center"/>
        <w:rPr>
          <w:rFonts w:hint="eastAsia"/>
        </w:rPr>
      </w:pPr>
      <w:r>
        <w:rPr>
          <w:rFonts w:ascii="黑体" w:eastAsia="黑体"/>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6pt;height:0pt;width:442.2pt;mso-wrap-distance-bottom:0pt;mso-wrap-distance-left:9pt;mso-wrap-distance-right:9pt;mso-wrap-distance-top:0pt;z-index:25166438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yODATUAAAABgEAAA8AAAAAAAAAAQAgAAAAOAAAAGRycy9kb3ducmV2LnhtbFBLAQIU&#10;ABQAAAAIAIdO4kCt1/at4QEAAJoDAAAOAAAAAAAAAAEAIAAAADkBAABkcnMvZTJvRG9jLnhtbFBL&#10;BQYAAAAABgAGAFkBAACMBQ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重庆市涪陵区发展和改革委员会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eastAsia="zh-CN"/>
        </w:rPr>
        <w:t>新妙岔河口坝后式水</w:t>
      </w:r>
      <w:r>
        <w:rPr>
          <w:rFonts w:hint="eastAsia" w:ascii="方正小标宋_GBK" w:eastAsia="方正小标宋_GBK"/>
          <w:sz w:val="44"/>
          <w:szCs w:val="44"/>
        </w:rPr>
        <w:t>电站上网电价的批复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方正仿宋_GBK" w:eastAsia="方正仿宋_GBK"/>
          <w:sz w:val="32"/>
          <w:szCs w:val="32"/>
        </w:rPr>
      </w:pPr>
      <w:r>
        <w:rPr>
          <w:rFonts w:hint="eastAsia" w:ascii="方正仿宋_GBK" w:eastAsia="方正仿宋_GBK"/>
          <w:sz w:val="32"/>
          <w:szCs w:val="32"/>
          <w:lang w:eastAsia="zh-CN"/>
        </w:rPr>
        <w:t>重庆市涪陵区</w:t>
      </w:r>
      <w:r>
        <w:rPr>
          <w:rFonts w:hint="eastAsia" w:ascii="方正仿宋_GBK"/>
          <w:sz w:val="32"/>
          <w:szCs w:val="32"/>
          <w:lang w:eastAsia="zh-CN"/>
        </w:rPr>
        <w:t>乾源电力</w:t>
      </w:r>
      <w:r>
        <w:rPr>
          <w:rFonts w:hint="eastAsia" w:ascii="方正仿宋_GBK" w:eastAsia="方正仿宋_GBK"/>
          <w:sz w:val="32"/>
          <w:szCs w:val="32"/>
          <w:lang w:eastAsia="zh-CN"/>
        </w:rPr>
        <w:t>有限责任公司</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5"/>
        <w:textAlignment w:val="auto"/>
        <w:outlineLvl w:val="9"/>
        <w:rPr>
          <w:rFonts w:hint="eastAsia" w:ascii="方正仿宋_GBK" w:eastAsia="方正仿宋_GBK"/>
          <w:sz w:val="32"/>
          <w:szCs w:val="32"/>
        </w:rPr>
      </w:pPr>
      <w:r>
        <w:rPr>
          <w:rFonts w:hint="eastAsia" w:ascii="方正仿宋_GBK" w:eastAsia="方正仿宋_GBK"/>
          <w:sz w:val="32"/>
          <w:szCs w:val="32"/>
        </w:rPr>
        <w:t>你司《关于</w:t>
      </w:r>
      <w:r>
        <w:rPr>
          <w:rFonts w:hint="eastAsia" w:ascii="方正仿宋_GBK"/>
          <w:sz w:val="32"/>
          <w:szCs w:val="32"/>
          <w:lang w:eastAsia="zh-CN"/>
        </w:rPr>
        <w:t>岔河口坝后式电站上网电价变更业主单位的请示</w:t>
      </w:r>
      <w:r>
        <w:rPr>
          <w:rFonts w:hint="eastAsia" w:ascii="方正仿宋_GBK" w:eastAsia="方正仿宋_GBK"/>
          <w:sz w:val="32"/>
          <w:szCs w:val="32"/>
        </w:rPr>
        <w:t>》（</w:t>
      </w:r>
      <w:r>
        <w:rPr>
          <w:rFonts w:hint="eastAsia" w:ascii="方正仿宋_GBK"/>
          <w:sz w:val="32"/>
          <w:szCs w:val="32"/>
          <w:lang w:eastAsia="zh-CN"/>
        </w:rPr>
        <w:t>涪乾电司</w:t>
      </w:r>
      <w:r>
        <w:rPr>
          <w:rFonts w:hint="eastAsia" w:ascii="方正仿宋_GBK" w:eastAsia="方正仿宋_GBK"/>
          <w:sz w:val="32"/>
          <w:szCs w:val="32"/>
          <w:lang w:eastAsia="zh-CN"/>
        </w:rPr>
        <w:t>文</w:t>
      </w:r>
      <w:r>
        <w:rPr>
          <w:rFonts w:hint="eastAsia" w:ascii="方正仿宋_GBK" w:eastAsia="方正仿宋_GBK"/>
          <w:sz w:val="32"/>
          <w:szCs w:val="32"/>
        </w:rPr>
        <w:t>〔20</w:t>
      </w:r>
      <w:r>
        <w:rPr>
          <w:rFonts w:hint="eastAsia" w:ascii="方正仿宋_GBK" w:eastAsia="方正仿宋_GBK"/>
          <w:sz w:val="32"/>
          <w:szCs w:val="32"/>
          <w:lang w:val="en-US" w:eastAsia="zh-CN"/>
        </w:rPr>
        <w:t>2</w:t>
      </w:r>
      <w:r>
        <w:rPr>
          <w:rFonts w:hint="eastAsia" w:ascii="方正仿宋_GBK"/>
          <w:sz w:val="32"/>
          <w:szCs w:val="32"/>
          <w:lang w:val="en-US" w:eastAsia="zh-CN"/>
        </w:rPr>
        <w:t>3</w:t>
      </w:r>
      <w:r>
        <w:rPr>
          <w:rFonts w:hint="eastAsia" w:ascii="方正仿宋_GBK" w:eastAsia="方正仿宋_GBK"/>
          <w:sz w:val="32"/>
          <w:szCs w:val="32"/>
        </w:rPr>
        <w:t>〕</w:t>
      </w:r>
      <w:r>
        <w:rPr>
          <w:rFonts w:hint="eastAsia" w:ascii="方正仿宋_GBK"/>
          <w:sz w:val="32"/>
          <w:szCs w:val="32"/>
          <w:lang w:val="en-US" w:eastAsia="zh-CN"/>
        </w:rPr>
        <w:t>24</w:t>
      </w:r>
      <w:r>
        <w:rPr>
          <w:rFonts w:hint="eastAsia" w:ascii="方正仿宋_GBK" w:eastAsia="方正仿宋_GBK"/>
          <w:sz w:val="32"/>
          <w:szCs w:val="32"/>
        </w:rPr>
        <w:t>号）收悉。按照《重庆市物价局贯彻国家发展改革委关于调整重庆市电网电价的通知》（渝价〔2011〕424号）</w:t>
      </w:r>
      <w:r>
        <w:rPr>
          <w:rFonts w:hint="eastAsia" w:ascii="方正仿宋_GBK"/>
          <w:sz w:val="32"/>
          <w:szCs w:val="32"/>
          <w:lang w:eastAsia="zh-CN"/>
        </w:rPr>
        <w:t>、</w:t>
      </w:r>
      <w:r>
        <w:rPr>
          <w:rFonts w:hint="eastAsia" w:ascii="方正仿宋_GBK" w:eastAsia="方正仿宋_GBK"/>
          <w:sz w:val="32"/>
          <w:szCs w:val="32"/>
        </w:rPr>
        <w:t>《重庆市物价局贯彻国家发展改革委关于降低燃煤发电上网电价和工商业用电价格的通知》（渝价〔2015〕98号）</w:t>
      </w:r>
      <w:r>
        <w:rPr>
          <w:rFonts w:hint="eastAsia" w:ascii="方正仿宋_GBK"/>
          <w:sz w:val="32"/>
          <w:szCs w:val="32"/>
          <w:lang w:eastAsia="zh-CN"/>
        </w:rPr>
        <w:t>和涪陵区水利电力局、涪陵区发展改革委《关于岔河口坝后式电站申报</w:t>
      </w:r>
      <w:r>
        <w:rPr>
          <w:rFonts w:hint="eastAsia" w:ascii="方正仿宋_GBK"/>
          <w:sz w:val="32"/>
          <w:szCs w:val="32"/>
          <w:lang w:val="en-US" w:eastAsia="zh-CN"/>
        </w:rPr>
        <w:t>2009年电气化项目建设资金的请示</w:t>
      </w:r>
      <w:r>
        <w:rPr>
          <w:rFonts w:hint="eastAsia" w:ascii="方正仿宋_GBK"/>
          <w:sz w:val="32"/>
          <w:szCs w:val="32"/>
          <w:lang w:eastAsia="zh-CN"/>
        </w:rPr>
        <w:t>》（涪水电发</w:t>
      </w:r>
      <w:r>
        <w:rPr>
          <w:rFonts w:hint="eastAsia" w:ascii="方正仿宋_GBK" w:eastAsia="方正仿宋_GBK"/>
          <w:sz w:val="32"/>
          <w:szCs w:val="32"/>
        </w:rPr>
        <w:t>〔20</w:t>
      </w:r>
      <w:r>
        <w:rPr>
          <w:rFonts w:hint="eastAsia" w:ascii="方正仿宋_GBK"/>
          <w:sz w:val="32"/>
          <w:szCs w:val="32"/>
          <w:lang w:val="en-US" w:eastAsia="zh-CN"/>
        </w:rPr>
        <w:t>09</w:t>
      </w:r>
      <w:r>
        <w:rPr>
          <w:rFonts w:hint="eastAsia" w:ascii="方正仿宋_GBK" w:eastAsia="方正仿宋_GBK"/>
          <w:sz w:val="32"/>
          <w:szCs w:val="32"/>
        </w:rPr>
        <w:t>〕</w:t>
      </w:r>
      <w:r>
        <w:rPr>
          <w:rFonts w:hint="eastAsia" w:ascii="方正仿宋_GBK"/>
          <w:sz w:val="32"/>
          <w:szCs w:val="32"/>
          <w:lang w:val="en-US" w:eastAsia="zh-CN"/>
        </w:rPr>
        <w:t>321</w:t>
      </w:r>
      <w:r>
        <w:rPr>
          <w:rFonts w:hint="eastAsia" w:ascii="方正仿宋_GBK" w:eastAsia="方正仿宋_GBK"/>
          <w:sz w:val="32"/>
          <w:szCs w:val="32"/>
        </w:rPr>
        <w:t>号</w:t>
      </w:r>
      <w:r>
        <w:rPr>
          <w:rFonts w:hint="eastAsia" w:ascii="方正仿宋_GBK"/>
          <w:sz w:val="32"/>
          <w:szCs w:val="32"/>
          <w:lang w:eastAsia="zh-CN"/>
        </w:rPr>
        <w:t>）</w:t>
      </w:r>
      <w:r>
        <w:rPr>
          <w:rFonts w:hint="eastAsia" w:ascii="方正仿宋_GBK" w:eastAsia="方正仿宋_GBK"/>
          <w:sz w:val="32"/>
          <w:szCs w:val="32"/>
        </w:rPr>
        <w:t>精神，现批复如下: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5"/>
        <w:textAlignment w:val="auto"/>
        <w:outlineLvl w:val="9"/>
        <w:rPr>
          <w:rFonts w:hint="eastAsia" w:ascii="方正仿宋_GBK" w:eastAsia="方正仿宋_GBK"/>
          <w:sz w:val="32"/>
          <w:szCs w:val="32"/>
        </w:rPr>
      </w:pPr>
      <w:r>
        <w:rPr>
          <w:rFonts w:hint="eastAsia" w:ascii="方正仿宋_GBK" w:eastAsia="方正仿宋_GBK"/>
          <w:sz w:val="32"/>
          <w:szCs w:val="32"/>
        </w:rPr>
        <w:t>你</w:t>
      </w:r>
      <w:r>
        <w:rPr>
          <w:rFonts w:hint="eastAsia" w:ascii="方正仿宋_GBK" w:eastAsia="方正仿宋_GBK"/>
          <w:sz w:val="32"/>
          <w:szCs w:val="32"/>
          <w:lang w:eastAsia="zh-CN"/>
        </w:rPr>
        <w:t>司</w:t>
      </w:r>
      <w:r>
        <w:rPr>
          <w:rFonts w:hint="eastAsia" w:ascii="方正仿宋_GBK"/>
          <w:sz w:val="32"/>
          <w:szCs w:val="32"/>
          <w:lang w:eastAsia="zh-CN"/>
        </w:rPr>
        <w:t>新妙岔河口坝后式</w:t>
      </w:r>
      <w:r>
        <w:rPr>
          <w:rFonts w:hint="eastAsia" w:ascii="方正仿宋_GBK" w:eastAsia="方正仿宋_GBK"/>
          <w:sz w:val="32"/>
          <w:szCs w:val="32"/>
          <w:lang w:eastAsia="zh-CN"/>
        </w:rPr>
        <w:t>水电站</w:t>
      </w:r>
      <w:r>
        <w:rPr>
          <w:rFonts w:hint="eastAsia" w:ascii="方正仿宋_GBK" w:eastAsia="方正仿宋_GBK"/>
          <w:sz w:val="32"/>
          <w:szCs w:val="32"/>
        </w:rPr>
        <w:t>上网电价（含税电价）核定为：0.</w:t>
      </w:r>
      <w:r>
        <w:rPr>
          <w:rFonts w:hint="eastAsia" w:ascii="方正仿宋_GBK" w:eastAsia="方正仿宋_GBK"/>
          <w:sz w:val="32"/>
          <w:szCs w:val="32"/>
          <w:lang w:val="en-US" w:eastAsia="zh-CN"/>
        </w:rPr>
        <w:t>30</w:t>
      </w:r>
      <w:r>
        <w:rPr>
          <w:rFonts w:hint="eastAsia" w:ascii="方正仿宋_GBK" w:eastAsia="方正仿宋_GBK"/>
          <w:sz w:val="32"/>
          <w:szCs w:val="32"/>
        </w:rPr>
        <w:t>5元/千瓦时，自发电上网之日起执行。</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5"/>
        <w:textAlignment w:val="auto"/>
        <w:outlineLvl w:val="9"/>
        <w:rPr>
          <w:rFonts w:hint="eastAsia" w:ascii="方正仿宋_GBK" w:eastAsia="方正仿宋_GBK"/>
          <w:sz w:val="32"/>
          <w:szCs w:val="32"/>
        </w:rPr>
      </w:pPr>
      <w:r>
        <w:rPr>
          <w:rFonts w:hint="eastAsia" w:ascii="方正仿宋_GBK"/>
          <w:sz w:val="32"/>
          <w:szCs w:val="32"/>
          <w:lang w:eastAsia="zh-CN"/>
        </w:rPr>
        <w:t>原涪发改委发</w:t>
      </w:r>
      <w:r>
        <w:rPr>
          <w:rFonts w:hint="eastAsia" w:ascii="方正仿宋_GBK" w:eastAsia="方正仿宋_GBK"/>
          <w:sz w:val="32"/>
          <w:szCs w:val="32"/>
        </w:rPr>
        <w:t>〔201</w:t>
      </w:r>
      <w:r>
        <w:rPr>
          <w:rFonts w:hint="eastAsia" w:ascii="方正仿宋_GBK"/>
          <w:sz w:val="32"/>
          <w:szCs w:val="32"/>
          <w:lang w:val="en-US" w:eastAsia="zh-CN"/>
        </w:rPr>
        <w:t>6</w:t>
      </w:r>
      <w:r>
        <w:rPr>
          <w:rFonts w:hint="eastAsia" w:ascii="方正仿宋_GBK" w:eastAsia="方正仿宋_GBK"/>
          <w:sz w:val="32"/>
          <w:szCs w:val="32"/>
        </w:rPr>
        <w:t>〕</w:t>
      </w:r>
      <w:r>
        <w:rPr>
          <w:rFonts w:hint="eastAsia" w:ascii="方正仿宋_GBK"/>
          <w:sz w:val="32"/>
          <w:szCs w:val="32"/>
          <w:lang w:val="en-US" w:eastAsia="zh-CN"/>
        </w:rPr>
        <w:t>266</w:t>
      </w:r>
      <w:r>
        <w:rPr>
          <w:rFonts w:hint="eastAsia" w:ascii="方正仿宋_GBK" w:eastAsia="方正仿宋_GBK"/>
          <w:sz w:val="32"/>
          <w:szCs w:val="32"/>
        </w:rPr>
        <w:t>号</w:t>
      </w:r>
      <w:r>
        <w:rPr>
          <w:rFonts w:hint="eastAsia" w:ascii="方正仿宋_GBK"/>
          <w:sz w:val="32"/>
          <w:szCs w:val="32"/>
          <w:lang w:eastAsia="zh-CN"/>
        </w:rPr>
        <w:t>同时作废。</w:t>
      </w:r>
    </w:p>
    <w:p>
      <w:pPr>
        <w:keepNext w:val="0"/>
        <w:keepLines w:val="0"/>
        <w:pageBreakBefore w:val="0"/>
        <w:widowControl w:val="0"/>
        <w:kinsoku/>
        <w:wordWrap/>
        <w:overflowPunct/>
        <w:topLinePunct w:val="0"/>
        <w:autoSpaceDE/>
        <w:autoSpaceDN/>
        <w:bidi w:val="0"/>
        <w:adjustRightInd/>
        <w:snapToGrid/>
        <w:spacing w:line="640" w:lineRule="exact"/>
        <w:ind w:firstLine="645"/>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5"/>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5"/>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3792" w:firstLineChars="1200"/>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重庆市涪陵区发展和改革委员会  </w:t>
      </w:r>
    </w:p>
    <w:p>
      <w:pPr>
        <w:keepNext w:val="0"/>
        <w:keepLines w:val="0"/>
        <w:pageBreakBefore w:val="0"/>
        <w:widowControl w:val="0"/>
        <w:kinsoku/>
        <w:wordWrap/>
        <w:overflowPunct/>
        <w:topLinePunct w:val="0"/>
        <w:autoSpaceDE/>
        <w:autoSpaceDN/>
        <w:bidi w:val="0"/>
        <w:adjustRightInd/>
        <w:snapToGrid/>
        <w:spacing w:line="640" w:lineRule="exact"/>
        <w:ind w:firstLine="5056" w:firstLineChars="1600"/>
        <w:textAlignment w:val="auto"/>
        <w:outlineLvl w:val="9"/>
        <w:rPr>
          <w:rFonts w:hint="eastAsia" w:ascii="方正仿宋_GBK" w:eastAsia="方正仿宋_GBK"/>
          <w:sz w:val="32"/>
          <w:szCs w:val="32"/>
        </w:rPr>
      </w:pPr>
      <w:bookmarkStart w:id="0" w:name="_GoBack"/>
      <w:bookmarkEnd w:id="0"/>
      <w:r>
        <w:rPr>
          <w:rFonts w:hint="eastAsia" w:ascii="方正仿宋_GBK" w:eastAsia="方正仿宋_GBK"/>
          <w:sz w:val="32"/>
          <w:szCs w:val="32"/>
        </w:rPr>
        <w:t>20</w:t>
      </w:r>
      <w:r>
        <w:rPr>
          <w:rFonts w:hint="eastAsia" w:ascii="方正仿宋_GBK" w:eastAsia="方正仿宋_GBK"/>
          <w:sz w:val="32"/>
          <w:szCs w:val="32"/>
          <w:lang w:val="en-US" w:eastAsia="zh-CN"/>
        </w:rPr>
        <w:t>2</w:t>
      </w:r>
      <w:r>
        <w:rPr>
          <w:rFonts w:hint="eastAsia" w:ascii="方正仿宋_GBK"/>
          <w:sz w:val="32"/>
          <w:szCs w:val="32"/>
          <w:lang w:val="en-US" w:eastAsia="zh-CN"/>
        </w:rPr>
        <w:t>3</w:t>
      </w:r>
      <w:r>
        <w:rPr>
          <w:rFonts w:hint="eastAsia" w:ascii="方正仿宋_GBK" w:eastAsia="方正仿宋_GBK"/>
          <w:sz w:val="32"/>
          <w:szCs w:val="32"/>
        </w:rPr>
        <w:t>年</w:t>
      </w:r>
      <w:r>
        <w:rPr>
          <w:rFonts w:hint="eastAsia" w:ascii="方正仿宋_GBK"/>
          <w:sz w:val="32"/>
          <w:szCs w:val="32"/>
          <w:lang w:val="en-US" w:eastAsia="zh-CN"/>
        </w:rPr>
        <w:t>10</w:t>
      </w:r>
      <w:r>
        <w:rPr>
          <w:rFonts w:hint="eastAsia" w:ascii="方正仿宋_GBK" w:eastAsia="方正仿宋_GBK"/>
          <w:sz w:val="32"/>
          <w:szCs w:val="32"/>
        </w:rPr>
        <w:t>月</w:t>
      </w:r>
      <w:r>
        <w:rPr>
          <w:rFonts w:hint="eastAsia" w:ascii="方正仿宋_GBK"/>
          <w:sz w:val="32"/>
          <w:szCs w:val="32"/>
          <w:lang w:val="en-US" w:eastAsia="zh-CN"/>
        </w:rPr>
        <w:t>7</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方正仿宋_GBK" w:eastAsia="方正仿宋_GBK"/>
          <w:sz w:val="32"/>
          <w:szCs w:val="32"/>
          <w:lang w:val="en-US" w:eastAsia="zh-CN"/>
        </w:rPr>
      </w:pPr>
      <w:r>
        <w:rPr>
          <w:rFonts w:hint="eastAsia" w:ascii="方正仿宋_GBK" w:eastAsia="方正仿宋_GBK"/>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00" w:lineRule="exact"/>
        <w:ind w:firstLine="3792" w:firstLineChars="120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792" w:firstLineChars="120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792" w:firstLineChars="120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792" w:firstLineChars="120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792" w:firstLineChars="120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792" w:firstLineChars="120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316" w:rightChars="100" w:firstLine="316" w:firstLineChars="100"/>
        <w:textAlignment w:val="auto"/>
        <w:outlineLvl w:val="9"/>
        <w:rPr>
          <w:rFonts w:hint="eastAsia" w:ascii="方正仿宋_GBK" w:eastAsia="方正仿宋_GBK"/>
          <w:sz w:val="32"/>
          <w:szCs w:val="32"/>
        </w:rPr>
      </w:pPr>
    </w:p>
    <w:sectPr>
      <w:footerReference r:id="rId3" w:type="default"/>
      <w:footerReference r:id="rId4" w:type="even"/>
      <w:pgSz w:w="11907" w:h="16840"/>
      <w:pgMar w:top="2098" w:right="1474" w:bottom="1984" w:left="1587" w:header="851" w:footer="85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24D99"/>
    <w:multiLevelType w:val="singleLevel"/>
    <w:tmpl w:val="31F24D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NjlhMGM3NWJlNzI0MjEzYmZlOTUzNDU3Yjc0YjUifQ=="/>
  </w:docVars>
  <w:rsids>
    <w:rsidRoot w:val="00000000"/>
    <w:rsid w:val="024F7937"/>
    <w:rsid w:val="0A695198"/>
    <w:rsid w:val="0D905205"/>
    <w:rsid w:val="0EAC4969"/>
    <w:rsid w:val="25BE59ED"/>
    <w:rsid w:val="26511281"/>
    <w:rsid w:val="2CBF4552"/>
    <w:rsid w:val="3B7A1890"/>
    <w:rsid w:val="3F793678"/>
    <w:rsid w:val="4C7E4429"/>
    <w:rsid w:val="589F0EEB"/>
    <w:rsid w:val="58AD1042"/>
    <w:rsid w:val="75EE0B0F"/>
    <w:rsid w:val="7BF2098C"/>
    <w:rsid w:val="7D2421DC"/>
    <w:rsid w:val="FFE98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5">
    <w:name w:val="Default Paragraph Font"/>
    <w:link w:val="6"/>
    <w:semiHidden/>
    <w:qFormat/>
    <w:uiPriority w:val="0"/>
    <w:rPr>
      <w:szCs w:val="20"/>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4 Char Char Char"/>
    <w:basedOn w:val="1"/>
    <w:link w:val="5"/>
    <w:qFormat/>
    <w:uiPriority w:val="0"/>
    <w:pPr>
      <w:adjustRightInd w:val="0"/>
      <w:snapToGrid w:val="0"/>
      <w:spacing w:line="360" w:lineRule="auto"/>
      <w:ind w:firstLine="200" w:firstLineChars="200"/>
    </w:pPr>
    <w:rPr>
      <w:szCs w:val="20"/>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2023-10-09T10:53:00Z</cp:lastPrinted>
  <dcterms:modified xsi:type="dcterms:W3CDTF">2023-10-10T15:50:17Z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65E4A70182C34FE8AF985BAE7BE0C5A9_12</vt:lpwstr>
  </property>
</Properties>
</file>