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重庆市涪陵区交通运输委员会</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4</w:t>
      </w:r>
      <w:r>
        <w:rPr>
          <w:rFonts w:ascii="方正小标宋_GBK" w:hAnsi="方正小标宋_GBK" w:eastAsia="方正小标宋_GBK" w:cs="方正小标宋_GBK"/>
          <w:sz w:val="44"/>
          <w:szCs w:val="44"/>
        </w:rPr>
        <w:t>年度决算公开说明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方正小标宋_GBK" w:hAnsi="方正小标宋_GBK" w:eastAsia="方正小标宋_GBK" w:cs="方正小标宋_GBK"/>
          <w:sz w:val="44"/>
          <w:szCs w:val="44"/>
        </w:rPr>
      </w:pPr>
    </w:p>
    <w:p>
      <w:pPr>
        <w:pStyle w:val="11"/>
        <w:keepNext w:val="0"/>
        <w:keepLines w:val="0"/>
        <w:pageBreakBefore w:val="0"/>
        <w:widowControl/>
        <w:kinsoku/>
        <w:wordWrap/>
        <w:overflowPunct/>
        <w:topLinePunct w:val="0"/>
        <w:autoSpaceDE w:val="0"/>
        <w:autoSpaceDN/>
        <w:bidi w:val="0"/>
        <w:adjustRightInd/>
        <w:snapToGrid/>
        <w:ind w:firstLine="0" w:firstLineChars="0"/>
        <w:jc w:val="both"/>
        <w:textAlignment w:val="auto"/>
        <w:rPr>
          <w:rFonts w:hint="default" w:ascii="黑体" w:hAnsi="黑体" w:eastAsia="黑体" w:cs="黑体"/>
          <w:b/>
          <w:bCs/>
          <w:sz w:val="32"/>
          <w:szCs w:val="32"/>
          <w:shd w:val="clear" w:color="auto" w:fill="FFFFFF"/>
          <w:lang w:eastAsia="zh-CN"/>
        </w:rPr>
      </w:pPr>
      <w:r>
        <w:rPr>
          <w:rFonts w:hint="eastAsia" w:ascii="黑体" w:hAnsi="黑体" w:eastAsia="黑体" w:cs="黑体"/>
          <w:b/>
          <w:bCs/>
          <w:sz w:val="32"/>
          <w:szCs w:val="32"/>
          <w:shd w:val="clear" w:color="auto" w:fill="FFFFFF"/>
          <w:lang w:eastAsia="zh-CN"/>
        </w:rPr>
        <w:t>一、部门基本情况</w:t>
      </w:r>
    </w:p>
    <w:p>
      <w:pPr>
        <w:pStyle w:val="11"/>
        <w:autoSpaceDE w:val="0"/>
        <w:ind w:firstLine="643"/>
        <w:jc w:val="both"/>
        <w:rPr>
          <w:rFonts w:hint="default"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（一）职能职责</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firstLine="640" w:firstLineChars="200"/>
        <w:jc w:val="both"/>
        <w:textAlignment w:val="auto"/>
        <w:rPr>
          <w:rFonts w:hint="eastAsia" w:ascii="方正仿宋_GBK" w:hAnsi="Calibri" w:eastAsia="方正仿宋_GBK" w:cs="宋体"/>
          <w:kern w:val="2"/>
          <w:sz w:val="32"/>
          <w:szCs w:val="32"/>
        </w:rPr>
      </w:pPr>
      <w:r>
        <w:rPr>
          <w:rFonts w:hint="eastAsia" w:ascii="方正仿宋_GBK" w:hAnsi="Calibri" w:eastAsia="方正仿宋_GBK" w:cs="宋体"/>
          <w:kern w:val="2"/>
          <w:sz w:val="32"/>
          <w:szCs w:val="32"/>
        </w:rPr>
        <w:t>1.负责贯彻执行交通运输法律、法规、规章和方针政策。</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firstLine="640" w:firstLineChars="200"/>
        <w:jc w:val="both"/>
        <w:textAlignment w:val="auto"/>
        <w:rPr>
          <w:rFonts w:hint="eastAsia" w:ascii="方正仿宋_GBK" w:hAnsi="Calibri" w:eastAsia="方正仿宋_GBK" w:cs="宋体"/>
          <w:kern w:val="2"/>
          <w:sz w:val="32"/>
          <w:szCs w:val="32"/>
        </w:rPr>
      </w:pPr>
      <w:r>
        <w:rPr>
          <w:rFonts w:hint="eastAsia" w:ascii="方正仿宋_GBK" w:hAnsi="Calibri" w:eastAsia="方正仿宋_GBK" w:cs="宋体"/>
          <w:kern w:val="2"/>
          <w:sz w:val="32"/>
          <w:szCs w:val="32"/>
        </w:rPr>
        <w:t>2.负责拟定全区交通行业发展规划、综合交通运输规划、综合交通建设规划和公路、水路交通中长期规划，并组织实施。</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firstLine="640" w:firstLineChars="200"/>
        <w:jc w:val="both"/>
        <w:textAlignment w:val="auto"/>
        <w:rPr>
          <w:rFonts w:hint="eastAsia" w:ascii="方正仿宋_GBK" w:hAnsi="Calibri" w:eastAsia="方正仿宋_GBK" w:cs="宋体"/>
          <w:kern w:val="2"/>
          <w:sz w:val="32"/>
          <w:szCs w:val="32"/>
        </w:rPr>
      </w:pPr>
      <w:r>
        <w:rPr>
          <w:rFonts w:hint="eastAsia" w:ascii="方正仿宋_GBK" w:hAnsi="Calibri" w:eastAsia="方正仿宋_GBK" w:cs="宋体"/>
          <w:kern w:val="2"/>
          <w:sz w:val="32"/>
          <w:szCs w:val="32"/>
        </w:rPr>
        <w:t>3.负责全区交通基础设施建设的组织、协调和监管，指导铁路、民航建设管理。</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firstLine="640" w:firstLineChars="200"/>
        <w:jc w:val="both"/>
        <w:textAlignment w:val="auto"/>
        <w:rPr>
          <w:rFonts w:hint="eastAsia" w:ascii="方正仿宋_GBK" w:hAnsi="Calibri" w:eastAsia="方正仿宋_GBK" w:cs="宋体"/>
          <w:kern w:val="2"/>
          <w:sz w:val="32"/>
          <w:szCs w:val="32"/>
        </w:rPr>
      </w:pPr>
      <w:r>
        <w:rPr>
          <w:rFonts w:hint="eastAsia" w:ascii="方正仿宋_GBK" w:hAnsi="Calibri" w:eastAsia="方正仿宋_GBK" w:cs="宋体"/>
          <w:kern w:val="2"/>
          <w:sz w:val="32"/>
          <w:szCs w:val="32"/>
        </w:rPr>
        <w:t>4.承担区内国省县道的公路、桥梁养护、管理，指导乡村公路养护、管理工作。</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firstLine="640" w:firstLineChars="200"/>
        <w:jc w:val="both"/>
        <w:textAlignment w:val="auto"/>
        <w:rPr>
          <w:rFonts w:hint="eastAsia" w:ascii="方正仿宋_GBK" w:hAnsi="Calibri" w:eastAsia="方正仿宋_GBK" w:cs="宋体"/>
          <w:kern w:val="2"/>
          <w:sz w:val="32"/>
          <w:szCs w:val="32"/>
        </w:rPr>
      </w:pPr>
      <w:r>
        <w:rPr>
          <w:rFonts w:hint="eastAsia" w:ascii="方正仿宋_GBK" w:hAnsi="Calibri" w:eastAsia="方正仿宋_GBK" w:cs="宋体"/>
          <w:kern w:val="2"/>
          <w:sz w:val="32"/>
          <w:szCs w:val="32"/>
        </w:rPr>
        <w:t>5.承担全区道路、水路运输市场监管责任；负责公路、水运、铁路等运输方式的协调工作；负责重点物资和紧急客货运输的调控；负责城乡客运、出租汽车、危险货物运输、旅游客运、汽车维修、驾培等行业管理。</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firstLine="640" w:firstLineChars="200"/>
        <w:jc w:val="both"/>
        <w:textAlignment w:val="auto"/>
        <w:rPr>
          <w:rFonts w:hint="eastAsia" w:ascii="方正仿宋_GBK" w:hAnsi="Calibri" w:eastAsia="方正仿宋_GBK" w:cs="宋体"/>
          <w:kern w:val="2"/>
          <w:sz w:val="32"/>
          <w:szCs w:val="32"/>
        </w:rPr>
      </w:pPr>
      <w:r>
        <w:rPr>
          <w:rFonts w:hint="eastAsia" w:ascii="方正仿宋_GBK" w:hAnsi="Calibri" w:eastAsia="方正仿宋_GBK" w:cs="宋体"/>
          <w:kern w:val="2"/>
          <w:sz w:val="32"/>
          <w:szCs w:val="32"/>
        </w:rPr>
        <w:t>6.承担全区交通运政、路政、港政、地方海事等交通行政执法工作。</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firstLine="640" w:firstLineChars="200"/>
        <w:jc w:val="both"/>
        <w:textAlignment w:val="auto"/>
        <w:rPr>
          <w:rFonts w:hint="eastAsia" w:ascii="方正仿宋_GBK" w:hAnsi="Calibri" w:eastAsia="方正仿宋_GBK" w:cs="宋体"/>
          <w:kern w:val="2"/>
          <w:sz w:val="32"/>
          <w:szCs w:val="32"/>
        </w:rPr>
      </w:pPr>
      <w:r>
        <w:rPr>
          <w:rFonts w:hint="eastAsia" w:ascii="方正仿宋_GBK" w:hAnsi="Calibri" w:eastAsia="方正仿宋_GBK" w:cs="宋体"/>
          <w:kern w:val="2"/>
          <w:sz w:val="32"/>
          <w:szCs w:val="32"/>
        </w:rPr>
        <w:t>7.指导公路、水路行业安全生产和应急管理工作；协调全区交通行业重大事件的应急管理和处置。</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firstLine="640" w:firstLineChars="200"/>
        <w:jc w:val="both"/>
        <w:textAlignment w:val="auto"/>
        <w:rPr>
          <w:rFonts w:hint="eastAsia" w:ascii="方正仿宋_GBK" w:hAnsi="Calibri" w:eastAsia="方正仿宋_GBK" w:cs="宋体"/>
          <w:kern w:val="2"/>
          <w:sz w:val="32"/>
          <w:szCs w:val="32"/>
        </w:rPr>
      </w:pPr>
      <w:r>
        <w:rPr>
          <w:rFonts w:hint="eastAsia" w:ascii="方正仿宋_GBK" w:hAnsi="Calibri" w:eastAsia="方正仿宋_GBK" w:cs="宋体"/>
          <w:kern w:val="2"/>
          <w:sz w:val="32"/>
          <w:szCs w:val="32"/>
        </w:rPr>
        <w:t>8.负责协调上级垂直管理的海事、邮政、铁路、民航等管理机构的涉地相关工作等。</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firstLine="640" w:firstLineChars="200"/>
        <w:jc w:val="both"/>
        <w:textAlignment w:val="auto"/>
        <w:rPr>
          <w:rFonts w:hint="eastAsia" w:ascii="方正仿宋_GBK" w:hAnsi="Calibri" w:eastAsia="方正仿宋_GBK" w:cs="宋体"/>
          <w:kern w:val="2"/>
          <w:sz w:val="32"/>
          <w:szCs w:val="32"/>
        </w:rPr>
      </w:pPr>
      <w:r>
        <w:rPr>
          <w:rFonts w:hint="eastAsia" w:ascii="方正仿宋_GBK" w:hAnsi="Calibri" w:eastAsia="方正仿宋_GBK" w:cs="宋体"/>
          <w:kern w:val="2"/>
          <w:sz w:val="32"/>
          <w:szCs w:val="32"/>
        </w:rPr>
        <w:t>9.负责贯彻执行地方性船舶检验政策、标准及法规，渔业船舶检验监督管理和行业指导等工作。</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firstLine="640" w:firstLineChars="200"/>
        <w:jc w:val="both"/>
        <w:textAlignment w:val="auto"/>
        <w:rPr>
          <w:rFonts w:hint="eastAsia" w:ascii="方正仿宋_GBK" w:hAnsi="Calibri" w:eastAsia="方正仿宋_GBK" w:cs="宋体"/>
          <w:kern w:val="2"/>
          <w:sz w:val="32"/>
          <w:szCs w:val="32"/>
        </w:rPr>
      </w:pPr>
      <w:r>
        <w:rPr>
          <w:rFonts w:hint="eastAsia" w:ascii="方正仿宋_GBK" w:hAnsi="Calibri" w:eastAsia="方正仿宋_GBK" w:cs="宋体"/>
          <w:kern w:val="2"/>
          <w:sz w:val="32"/>
          <w:szCs w:val="32"/>
          <w:lang w:val="en-US" w:eastAsia="zh-CN"/>
        </w:rPr>
        <w:t>10.承担交通运输物流发展工作；</w:t>
      </w:r>
      <w:r>
        <w:rPr>
          <w:rFonts w:hint="default" w:ascii="方正仿宋_GBK" w:hAnsi="Calibri" w:eastAsia="方正仿宋_GBK" w:cs="宋体"/>
          <w:kern w:val="2"/>
          <w:sz w:val="32"/>
          <w:szCs w:val="32"/>
          <w:lang w:val="en-US" w:eastAsia="zh-CN"/>
        </w:rPr>
        <w:t>牵头推动多式联运发展</w:t>
      </w:r>
      <w:r>
        <w:rPr>
          <w:rFonts w:hint="eastAsia" w:ascii="方正仿宋_GBK" w:hAnsi="Calibri" w:eastAsia="方正仿宋_GBK" w:cs="宋体"/>
          <w:kern w:val="2"/>
          <w:sz w:val="32"/>
          <w:szCs w:val="32"/>
          <w:lang w:val="en-US" w:eastAsia="zh-CN"/>
        </w:rPr>
        <w:t>；负责全区口岸设施</w:t>
      </w:r>
      <w:r>
        <w:rPr>
          <w:rFonts w:hint="default" w:ascii="方正仿宋_GBK" w:hAnsi="Calibri" w:eastAsia="方正仿宋_GBK" w:cs="宋体"/>
          <w:kern w:val="2"/>
          <w:sz w:val="32"/>
          <w:szCs w:val="32"/>
        </w:rPr>
        <w:t>规划建设的协调服务</w:t>
      </w:r>
      <w:r>
        <w:rPr>
          <w:rFonts w:hint="default" w:ascii="方正仿宋_GBK" w:hAnsi="Calibri" w:eastAsia="方正仿宋_GBK" w:cs="宋体"/>
          <w:kern w:val="2"/>
          <w:sz w:val="32"/>
          <w:szCs w:val="32"/>
          <w:lang w:val="en-US" w:eastAsia="zh-CN"/>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Calibri" w:eastAsia="方正仿宋_GBK" w:cs="宋体"/>
          <w:kern w:val="2"/>
          <w:sz w:val="32"/>
          <w:szCs w:val="32"/>
        </w:rPr>
        <w:t>1</w:t>
      </w:r>
      <w:r>
        <w:rPr>
          <w:rFonts w:hint="eastAsia" w:ascii="方正仿宋_GBK" w:hAnsi="Calibri" w:eastAsia="方正仿宋_GBK" w:cs="宋体"/>
          <w:kern w:val="2"/>
          <w:sz w:val="32"/>
          <w:szCs w:val="32"/>
          <w:lang w:val="en-US" w:eastAsia="zh-CN"/>
        </w:rPr>
        <w:t>1</w:t>
      </w:r>
      <w:r>
        <w:rPr>
          <w:rFonts w:hint="eastAsia" w:ascii="方正仿宋_GBK" w:hAnsi="Calibri" w:eastAsia="方正仿宋_GBK" w:cs="宋体"/>
          <w:kern w:val="2"/>
          <w:sz w:val="32"/>
          <w:szCs w:val="32"/>
        </w:rPr>
        <w:t>.承办区委、区政府交办的其他事项。</w:t>
      </w:r>
    </w:p>
    <w:p>
      <w:pPr>
        <w:pStyle w:val="11"/>
        <w:autoSpaceDE w:val="0"/>
        <w:ind w:firstLine="643"/>
        <w:jc w:val="both"/>
        <w:rPr>
          <w:rFonts w:hint="default"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（二）机构设置</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firstLine="640" w:firstLineChars="200"/>
        <w:jc w:val="both"/>
        <w:textAlignment w:val="auto"/>
        <w:rPr>
          <w:rFonts w:hint="eastAsia" w:ascii="方正仿宋_GBK" w:hAnsi="Calibri" w:eastAsia="方正仿宋_GBK" w:cs="宋体"/>
          <w:kern w:val="2"/>
          <w:sz w:val="32"/>
          <w:szCs w:val="32"/>
        </w:rPr>
      </w:pPr>
      <w:r>
        <w:rPr>
          <w:rFonts w:hint="eastAsia" w:ascii="方正仿宋_GBK" w:hAnsi="Calibri" w:eastAsia="方正仿宋_GBK" w:cs="宋体"/>
          <w:kern w:val="2"/>
          <w:sz w:val="32"/>
          <w:szCs w:val="32"/>
        </w:rPr>
        <w:t>重庆市涪陵区交通</w:t>
      </w:r>
      <w:r>
        <w:rPr>
          <w:rFonts w:hint="eastAsia" w:ascii="方正仿宋_GBK" w:hAnsi="Calibri" w:eastAsia="方正仿宋_GBK" w:cs="宋体"/>
          <w:kern w:val="2"/>
          <w:sz w:val="32"/>
          <w:szCs w:val="32"/>
          <w:lang w:eastAsia="zh-CN"/>
        </w:rPr>
        <w:t>运输委员会</w:t>
      </w:r>
      <w:r>
        <w:rPr>
          <w:rFonts w:hint="eastAsia" w:ascii="方正仿宋_GBK" w:hAnsi="Calibri" w:eastAsia="方正仿宋_GBK" w:cs="宋体"/>
          <w:kern w:val="2"/>
          <w:sz w:val="32"/>
          <w:szCs w:val="32"/>
        </w:rPr>
        <w:t>是负责全区交通建设管理的政府工作部门，重庆市涪陵区交通</w:t>
      </w:r>
      <w:r>
        <w:rPr>
          <w:rFonts w:hint="eastAsia" w:ascii="方正仿宋_GBK" w:hAnsi="Calibri" w:eastAsia="方正仿宋_GBK" w:cs="宋体"/>
          <w:kern w:val="2"/>
          <w:sz w:val="32"/>
          <w:szCs w:val="32"/>
          <w:lang w:eastAsia="zh-CN"/>
        </w:rPr>
        <w:t>运输委员会</w:t>
      </w:r>
      <w:r>
        <w:rPr>
          <w:rFonts w:hint="eastAsia" w:ascii="方正仿宋_GBK" w:hAnsi="Calibri" w:eastAsia="方正仿宋_GBK" w:cs="宋体"/>
          <w:kern w:val="2"/>
          <w:sz w:val="32"/>
          <w:szCs w:val="32"/>
        </w:rPr>
        <w:t>（本级）为行政单位，内设办公室、综合规划科、公路建设管理科、公路管理养护科、港航管理科、综合客运科、物流发展科、铁路民航科、政策法规科（行政审批科、信访办公室）、财务审计科、组织人事教育科、安全监督科（应急管理办公室）、科技信息科</w:t>
      </w:r>
      <w:r>
        <w:rPr>
          <w:rFonts w:hint="eastAsia" w:ascii="方正仿宋_GBK" w:hAnsi="Calibri" w:eastAsia="方正仿宋_GBK" w:cs="宋体"/>
          <w:kern w:val="2"/>
          <w:sz w:val="32"/>
          <w:szCs w:val="32"/>
          <w:lang w:eastAsia="zh-CN"/>
        </w:rPr>
        <w:t>等</w:t>
      </w:r>
      <w:r>
        <w:rPr>
          <w:rFonts w:hint="eastAsia" w:ascii="方正仿宋_GBK" w:hAnsi="Calibri" w:eastAsia="方正仿宋_GBK" w:cs="宋体"/>
          <w:kern w:val="2"/>
          <w:sz w:val="32"/>
          <w:szCs w:val="32"/>
        </w:rPr>
        <w:t>1</w:t>
      </w:r>
      <w:r>
        <w:rPr>
          <w:rFonts w:hint="eastAsia" w:ascii="方正仿宋_GBK" w:hAnsi="Calibri" w:eastAsia="方正仿宋_GBK" w:cs="宋体"/>
          <w:kern w:val="2"/>
          <w:sz w:val="32"/>
          <w:szCs w:val="32"/>
          <w:lang w:val="en-US" w:eastAsia="zh-CN"/>
        </w:rPr>
        <w:t>3</w:t>
      </w:r>
      <w:r>
        <w:rPr>
          <w:rFonts w:hint="eastAsia" w:ascii="方正仿宋_GBK" w:hAnsi="Calibri" w:eastAsia="方正仿宋_GBK" w:cs="宋体"/>
          <w:kern w:val="2"/>
          <w:sz w:val="32"/>
          <w:szCs w:val="32"/>
        </w:rPr>
        <w:t>个科室。下属重庆市涪陵区渡口事务中心为参公事业单位，下属重庆市涪陵区公路事务中心、重庆市涪陵区港航海事事务中心、重庆市涪陵区道路运输事务中心、重庆市涪陵区交通规划与技术发展中心、重庆市涪陵区交通运输综合行政执法支队为全额拨款事业单位。</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firstLine="640" w:firstLineChars="200"/>
        <w:jc w:val="both"/>
        <w:textAlignment w:val="auto"/>
        <w:rPr>
          <w:rFonts w:hint="default" w:ascii="方正仿宋_GBK" w:hAnsi="Calibri" w:eastAsia="方正仿宋_GBK" w:cs="宋体"/>
          <w:kern w:val="2"/>
          <w:sz w:val="32"/>
          <w:szCs w:val="32"/>
        </w:rPr>
      </w:pPr>
      <w:r>
        <w:rPr>
          <w:rFonts w:hint="eastAsia" w:ascii="方正仿宋_GBK" w:hAnsi="Calibri" w:eastAsia="方正仿宋_GBK" w:cs="宋体"/>
          <w:kern w:val="2"/>
          <w:sz w:val="32"/>
          <w:szCs w:val="32"/>
        </w:rPr>
        <w:t>从预算单位构成看，纳入本部门202</w:t>
      </w:r>
      <w:r>
        <w:rPr>
          <w:rFonts w:hint="eastAsia" w:ascii="方正仿宋_GBK" w:hAnsi="Calibri" w:eastAsia="方正仿宋_GBK" w:cs="宋体"/>
          <w:kern w:val="2"/>
          <w:sz w:val="32"/>
          <w:szCs w:val="32"/>
          <w:lang w:val="en-US" w:eastAsia="zh-CN"/>
        </w:rPr>
        <w:t>4</w:t>
      </w:r>
      <w:r>
        <w:rPr>
          <w:rFonts w:hint="eastAsia" w:ascii="方正仿宋_GBK" w:hAnsi="Calibri" w:eastAsia="方正仿宋_GBK" w:cs="宋体"/>
          <w:kern w:val="2"/>
          <w:sz w:val="32"/>
          <w:szCs w:val="32"/>
        </w:rPr>
        <w:t>年度决算编制的二级预算单位主要包括重庆市涪陵区交通</w:t>
      </w:r>
      <w:r>
        <w:rPr>
          <w:rFonts w:hint="eastAsia" w:ascii="方正仿宋_GBK" w:hAnsi="Calibri" w:eastAsia="方正仿宋_GBK" w:cs="宋体"/>
          <w:kern w:val="2"/>
          <w:sz w:val="32"/>
          <w:szCs w:val="32"/>
          <w:lang w:eastAsia="zh-CN"/>
        </w:rPr>
        <w:t>运输委员会</w:t>
      </w:r>
      <w:r>
        <w:rPr>
          <w:rFonts w:hint="eastAsia" w:ascii="方正仿宋_GBK" w:hAnsi="Calibri" w:eastAsia="方正仿宋_GBK" w:cs="宋体"/>
          <w:kern w:val="2"/>
          <w:sz w:val="32"/>
          <w:szCs w:val="32"/>
        </w:rPr>
        <w:t>（本级）、重庆市涪陵区公路事务中心、重庆市涪陵区港航海事事务中心、重庆市涪陵区道路运输事务中心、重庆市涪陵区交通规划与技术发展中心、重庆市涪陵区交通运输综合行政执法支队、重庆市涪陵区渡口事务中心。</w:t>
      </w:r>
    </w:p>
    <w:p>
      <w:pPr>
        <w:pStyle w:val="11"/>
        <w:keepNext w:val="0"/>
        <w:keepLines w:val="0"/>
        <w:pageBreakBefore w:val="0"/>
        <w:widowControl/>
        <w:kinsoku/>
        <w:wordWrap/>
        <w:overflowPunct/>
        <w:topLinePunct w:val="0"/>
        <w:autoSpaceDE w:val="0"/>
        <w:autoSpaceDN/>
        <w:bidi w:val="0"/>
        <w:adjustRightInd/>
        <w:snapToGrid/>
        <w:ind w:firstLine="0" w:firstLineChars="0"/>
        <w:jc w:val="both"/>
        <w:textAlignment w:val="auto"/>
        <w:rPr>
          <w:rFonts w:hint="default" w:ascii="黑体" w:hAnsi="黑体" w:eastAsia="黑体" w:cs="黑体"/>
          <w:b/>
          <w:bCs/>
          <w:sz w:val="32"/>
          <w:szCs w:val="32"/>
          <w:shd w:val="clear" w:color="auto" w:fill="FFFFFF"/>
          <w:lang w:eastAsia="zh-CN"/>
        </w:rPr>
      </w:pPr>
      <w:r>
        <w:rPr>
          <w:rFonts w:hint="eastAsia" w:ascii="黑体" w:hAnsi="黑体" w:eastAsia="黑体" w:cs="黑体"/>
          <w:b/>
          <w:bCs/>
          <w:sz w:val="32"/>
          <w:szCs w:val="32"/>
          <w:shd w:val="clear" w:color="auto" w:fill="FFFFFF"/>
          <w:lang w:eastAsia="zh-CN"/>
        </w:rPr>
        <w:t>二、部门决算情况说明</w:t>
      </w:r>
    </w:p>
    <w:p>
      <w:pPr>
        <w:pStyle w:val="11"/>
        <w:autoSpaceDE w:val="0"/>
        <w:ind w:firstLine="643"/>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lang w:eastAsia="zh-CN"/>
        </w:rPr>
      </w:pPr>
      <w:r>
        <w:rPr>
          <w:rStyle w:val="8"/>
          <w:rFonts w:hint="eastAsia" w:ascii="方正仿宋_GBK" w:hAnsi="方正仿宋_GBK" w:eastAsia="方正仿宋_GBK" w:cs="方正仿宋_GBK"/>
          <w:sz w:val="32"/>
          <w:szCs w:val="32"/>
          <w:shd w:val="clear" w:color="auto" w:fill="FFFFFF"/>
          <w:lang w:eastAsia="zh-CN"/>
        </w:rPr>
        <w:t>1.总体情况。</w:t>
      </w:r>
      <w:r>
        <w:rPr>
          <w:rFonts w:hint="eastAsia" w:ascii="方正仿宋_GBK" w:hAnsi="方正仿宋_GBK" w:eastAsia="方正仿宋_GBK" w:cs="方正仿宋_GBK"/>
          <w:sz w:val="32"/>
          <w:szCs w:val="32"/>
          <w:shd w:val="clear" w:color="auto" w:fill="FFFFFF"/>
          <w:lang w:eastAsia="zh-CN"/>
        </w:rPr>
        <w:t>2024年度收入总计87908.81万元，支出总计87908.81万元。收、支与2023年度相比，增加9311.71万元，增长11.9%，主要原因是</w:t>
      </w:r>
      <w:r>
        <w:rPr>
          <w:rFonts w:hint="eastAsia" w:ascii="方正仿宋_GBK" w:hAnsi="方正仿宋_GBK" w:eastAsia="方正仿宋_GBK" w:cs="方正仿宋_GBK"/>
          <w:sz w:val="32"/>
          <w:szCs w:val="32"/>
          <w:shd w:val="clear" w:color="auto" w:fill="FFFFFF"/>
          <w:lang w:val="en-US" w:eastAsia="zh-CN"/>
        </w:rPr>
        <w:t>区财政增加拨入车辆购置税收入补助地方资金预算、普通省道和农村公路“以奖代补”项目、政府还贷二级公路取消收费后补助资金、农村公路安防工程、普通干线公路项目、涪陵区支持服务业高质量发展物流板块奖补资金项目、灾后整治工程和其他交通重点项目</w:t>
      </w:r>
      <w:r>
        <w:rPr>
          <w:rFonts w:hint="eastAsia" w:ascii="方正仿宋_GBK" w:hAnsi="方正仿宋_GBK" w:eastAsia="方正仿宋_GBK" w:cs="方正仿宋_GBK"/>
          <w:sz w:val="32"/>
          <w:szCs w:val="32"/>
          <w:shd w:val="clear" w:color="auto" w:fill="FFFFFF"/>
          <w:lang w:eastAsia="zh-CN"/>
        </w:rPr>
        <w:t>等一般公共预算财政拨款，新增老旧营运船舶报废更新项目政府性基金预算拨款，相应增加收支。主要用于公路建设、公路养护、其他公路水路运输支出、车辆购置税用于公路等基础设施建设支出、公共交通运营补助、其他交通运输支出等一般公共预算财政拨款支出；其他国有土地使用权出让收入安排的支出等政府性基金预算财政拨款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2024年度</w:t>
      </w:r>
      <w:r>
        <w:rPr>
          <w:rFonts w:ascii="方正仿宋_GBK" w:hAnsi="方正仿宋_GBK" w:eastAsia="方正仿宋_GBK" w:cs="方正仿宋_GBK"/>
          <w:sz w:val="32"/>
          <w:szCs w:val="32"/>
          <w:shd w:val="clear" w:color="auto" w:fill="FFFFFF"/>
        </w:rPr>
        <w:t>收入合计87901.70万元，与2023年度相比，增加25129.83万元，增长40.0%，主要原因是</w:t>
      </w:r>
      <w:r>
        <w:rPr>
          <w:rFonts w:hint="eastAsia" w:ascii="方正仿宋_GBK" w:hAnsi="方正仿宋_GBK" w:eastAsia="方正仿宋_GBK" w:cs="方正仿宋_GBK"/>
          <w:sz w:val="32"/>
          <w:szCs w:val="32"/>
          <w:shd w:val="clear" w:color="auto" w:fill="FFFFFF"/>
          <w:lang w:val="en-US" w:eastAsia="zh-CN"/>
        </w:rPr>
        <w:t>本年增加车辆购置税收入补助地方资金预算、普通省道和农村公路“以奖代补”项目、政府还贷二级公路取消收费后补助资金、农村公路安防工程、普通干线公路项目、涪陵区支持服务业高质量发展物流板块奖补资金项目、灾后整治工程和其他交通重点项目</w:t>
      </w:r>
      <w:r>
        <w:rPr>
          <w:rFonts w:hint="eastAsia" w:ascii="方正仿宋_GBK" w:hAnsi="方正仿宋_GBK" w:eastAsia="方正仿宋_GBK" w:cs="方正仿宋_GBK"/>
          <w:sz w:val="32"/>
          <w:szCs w:val="32"/>
          <w:shd w:val="clear" w:color="auto" w:fill="FFFFFF"/>
          <w:lang w:eastAsia="zh-CN"/>
        </w:rPr>
        <w:t>等一般公共预算财政拨款，增加老旧营运船舶报废更新项目等政府性基金预算拨款，相应增加收入。</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87901.70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7.11</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2024年度</w:t>
      </w:r>
      <w:r>
        <w:rPr>
          <w:rFonts w:ascii="方正仿宋_GBK" w:hAnsi="方正仿宋_GBK" w:eastAsia="方正仿宋_GBK" w:cs="方正仿宋_GBK"/>
          <w:sz w:val="32"/>
          <w:szCs w:val="32"/>
          <w:shd w:val="clear" w:color="auto" w:fill="FFFFFF"/>
        </w:rPr>
        <w:t>支出合计</w:t>
      </w:r>
      <w:r>
        <w:rPr>
          <w:rFonts w:ascii="方正仿宋_GBK" w:hAnsi="方正仿宋_GBK" w:eastAsia="方正仿宋_GBK" w:cs="方正仿宋_GBK"/>
          <w:sz w:val="32"/>
          <w:szCs w:val="32"/>
        </w:rPr>
        <w:t>87906.53</w:t>
      </w:r>
      <w:r>
        <w:rPr>
          <w:rFonts w:ascii="方正仿宋_GBK" w:hAnsi="方正仿宋_GBK" w:eastAsia="方正仿宋_GBK" w:cs="方正仿宋_GBK"/>
          <w:sz w:val="32"/>
          <w:szCs w:val="32"/>
          <w:shd w:val="clear" w:color="auto" w:fill="FFFFFF"/>
        </w:rPr>
        <w:t>万元，与2023年度相比，增加9319.72万元，增长11.9%，主要原因是</w:t>
      </w:r>
      <w:r>
        <w:rPr>
          <w:rFonts w:hint="eastAsia" w:ascii="方正仿宋_GBK" w:hAnsi="方正仿宋_GBK" w:eastAsia="方正仿宋_GBK" w:cs="方正仿宋_GBK"/>
          <w:sz w:val="32"/>
          <w:szCs w:val="32"/>
          <w:shd w:val="clear" w:color="auto" w:fill="FFFFFF"/>
          <w:lang w:val="en-US" w:eastAsia="zh-CN"/>
        </w:rPr>
        <w:t>本年增加车辆购置税收入补助地方资金预算、普通省道和农村公路“以奖代补”项目、政府还贷二级公路取消收费后补助资金、农村公路安防工程、普通干线公路项目、涪陵区支持服务业高质量发展物流板块奖补资金项目、灾后整治工程和其他交通重点项目</w:t>
      </w:r>
      <w:r>
        <w:rPr>
          <w:rFonts w:hint="eastAsia" w:ascii="方正仿宋_GBK" w:hAnsi="方正仿宋_GBK" w:eastAsia="方正仿宋_GBK" w:cs="方正仿宋_GBK"/>
          <w:sz w:val="32"/>
          <w:szCs w:val="32"/>
          <w:shd w:val="clear" w:color="auto" w:fill="FFFFFF"/>
          <w:lang w:eastAsia="zh-CN"/>
        </w:rPr>
        <w:t>等一般公共预算财政拨款，增加老旧营运船舶报废更新项目等政府性基金预算拨款，相应增加支出。</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12476.33</w:t>
      </w:r>
      <w:r>
        <w:rPr>
          <w:rFonts w:ascii="方正仿宋_GBK" w:hAnsi="方正仿宋_GBK" w:eastAsia="方正仿宋_GBK" w:cs="方正仿宋_GBK"/>
          <w:sz w:val="32"/>
          <w:szCs w:val="32"/>
          <w:shd w:val="clear" w:color="auto" w:fill="FFFFFF"/>
        </w:rPr>
        <w:t>万元，占14.19%；项目支出</w:t>
      </w:r>
      <w:r>
        <w:rPr>
          <w:rFonts w:ascii="方正仿宋_GBK" w:hAnsi="方正仿宋_GBK" w:eastAsia="方正仿宋_GBK" w:cs="方正仿宋_GBK"/>
          <w:sz w:val="32"/>
          <w:szCs w:val="32"/>
        </w:rPr>
        <w:t>75430.20</w:t>
      </w:r>
      <w:r>
        <w:rPr>
          <w:rFonts w:ascii="方正仿宋_GBK" w:hAnsi="方正仿宋_GBK" w:eastAsia="方正仿宋_GBK" w:cs="方正仿宋_GBK"/>
          <w:sz w:val="32"/>
          <w:szCs w:val="32"/>
          <w:shd w:val="clear" w:color="auto" w:fill="FFFFFF"/>
        </w:rPr>
        <w:t>万元，占85.81%；经营支出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8"/>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2024年度</w:t>
      </w:r>
      <w:r>
        <w:rPr>
          <w:rFonts w:ascii="方正仿宋_GBK" w:hAnsi="方正仿宋_GBK" w:eastAsia="方正仿宋_GBK" w:cs="方正仿宋_GBK"/>
          <w:sz w:val="32"/>
          <w:szCs w:val="32"/>
          <w:shd w:val="clear" w:color="auto" w:fill="FFFFFF"/>
        </w:rPr>
        <w:t>年末结转和结余</w:t>
      </w:r>
      <w:r>
        <w:rPr>
          <w:rFonts w:ascii="方正仿宋_GBK" w:hAnsi="方正仿宋_GBK" w:eastAsia="方正仿宋_GBK" w:cs="方正仿宋_GBK"/>
          <w:sz w:val="32"/>
          <w:szCs w:val="32"/>
        </w:rPr>
        <w:t>2.28</w:t>
      </w:r>
      <w:r>
        <w:rPr>
          <w:rFonts w:ascii="方正仿宋_GBK" w:hAnsi="方正仿宋_GBK" w:eastAsia="方正仿宋_GBK" w:cs="方正仿宋_GBK"/>
          <w:sz w:val="32"/>
          <w:szCs w:val="32"/>
          <w:shd w:val="clear" w:color="auto" w:fill="FFFFFF"/>
        </w:rPr>
        <w:t>万元，与2023年度相比，减少8.01万元，下降77.8%，主要原因是</w:t>
      </w:r>
      <w:r>
        <w:rPr>
          <w:rFonts w:hint="eastAsia" w:ascii="方正仿宋_GBK" w:hAnsi="方正仿宋_GBK" w:eastAsia="方正仿宋_GBK" w:cs="方正仿宋_GBK"/>
          <w:color w:val="auto"/>
          <w:sz w:val="32"/>
          <w:szCs w:val="32"/>
          <w:shd w:val="clear" w:color="auto" w:fill="FFFFFF"/>
        </w:rPr>
        <w:t>区渡口事务中心、区道路运输事务中心和区交通运输综合行政执法支队减少年末结转和结余。</w:t>
      </w:r>
    </w:p>
    <w:p>
      <w:pPr>
        <w:pStyle w:val="11"/>
        <w:autoSpaceDE w:val="0"/>
        <w:ind w:firstLine="643"/>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2024年度</w:t>
      </w:r>
      <w:r>
        <w:rPr>
          <w:rFonts w:ascii="方正仿宋_GBK" w:hAnsi="方正仿宋_GBK" w:eastAsia="方正仿宋_GBK" w:cs="方正仿宋_GBK"/>
          <w:sz w:val="32"/>
          <w:szCs w:val="32"/>
          <w:shd w:val="clear" w:color="auto" w:fill="FFFFFF"/>
        </w:rPr>
        <w:t>财政拨款收、支总计87908.81万元。与2022年相比，财政拨款收、支总计各增加35893.45万元，增长69.0%。</w:t>
      </w:r>
      <w:r>
        <w:rPr>
          <w:rFonts w:hint="eastAsia" w:ascii="方正仿宋_GBK" w:hAnsi="Calibri" w:eastAsia="方正仿宋_GBK"/>
          <w:kern w:val="2"/>
          <w:sz w:val="32"/>
          <w:szCs w:val="32"/>
        </w:rPr>
        <w:t>主要原因是</w:t>
      </w:r>
      <w:r>
        <w:rPr>
          <w:rFonts w:hint="eastAsia" w:ascii="方正仿宋_GBK" w:hAnsi="Calibri" w:eastAsia="方正仿宋_GBK"/>
          <w:kern w:val="2"/>
          <w:sz w:val="32"/>
          <w:szCs w:val="32"/>
          <w:lang w:val="en-US" w:eastAsia="zh-CN"/>
        </w:rPr>
        <w:t>区财政增加拨入</w:t>
      </w:r>
      <w:r>
        <w:rPr>
          <w:rFonts w:hint="eastAsia" w:ascii="方正仿宋_GBK" w:hAnsi="Calibri" w:eastAsia="方正仿宋_GBK"/>
          <w:kern w:val="2"/>
          <w:sz w:val="32"/>
          <w:szCs w:val="32"/>
        </w:rPr>
        <w:t>一般公共预算财政拨款</w:t>
      </w:r>
      <w:r>
        <w:rPr>
          <w:rFonts w:hint="eastAsia" w:ascii="方正仿宋_GBK" w:hAnsi="Calibri" w:eastAsia="方正仿宋_GBK"/>
          <w:kern w:val="2"/>
          <w:sz w:val="32"/>
          <w:szCs w:val="32"/>
          <w:lang w:val="en-US" w:eastAsia="zh-CN"/>
        </w:rPr>
        <w:t>和</w:t>
      </w:r>
      <w:r>
        <w:rPr>
          <w:rFonts w:hint="eastAsia" w:ascii="方正仿宋_GBK" w:hAnsi="Calibri" w:eastAsia="方正仿宋_GBK"/>
          <w:kern w:val="2"/>
          <w:sz w:val="32"/>
          <w:szCs w:val="32"/>
        </w:rPr>
        <w:t>政府性基金预算拨款</w:t>
      </w:r>
      <w:r>
        <w:rPr>
          <w:rFonts w:hint="eastAsia" w:ascii="方正仿宋_GBK" w:hAnsi="Calibri" w:eastAsia="方正仿宋_GBK"/>
          <w:kern w:val="2"/>
          <w:sz w:val="32"/>
          <w:szCs w:val="32"/>
          <w:lang w:val="en-US" w:eastAsia="zh-CN"/>
        </w:rPr>
        <w:t>，相应增加收支。</w:t>
      </w:r>
    </w:p>
    <w:p>
      <w:pPr>
        <w:pStyle w:val="11"/>
        <w:autoSpaceDE w:val="0"/>
        <w:ind w:firstLine="643"/>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2024年度</w:t>
      </w:r>
      <w:r>
        <w:rPr>
          <w:rFonts w:ascii="方正仿宋_GBK" w:hAnsi="方正仿宋_GBK" w:eastAsia="方正仿宋_GBK" w:cs="方正仿宋_GBK"/>
          <w:sz w:val="32"/>
          <w:szCs w:val="32"/>
          <w:shd w:val="clear" w:color="auto" w:fill="FFFFFF"/>
        </w:rPr>
        <w:t>一般公共预算财政拨款收入</w:t>
      </w:r>
      <w:r>
        <w:rPr>
          <w:rFonts w:ascii="方正仿宋_GBK" w:hAnsi="方正仿宋_GBK" w:eastAsia="方正仿宋_GBK" w:cs="方正仿宋_GBK"/>
          <w:sz w:val="32"/>
          <w:szCs w:val="32"/>
        </w:rPr>
        <w:t>50122.20</w:t>
      </w:r>
      <w:r>
        <w:rPr>
          <w:rFonts w:ascii="方正仿宋_GBK" w:hAnsi="方正仿宋_GBK" w:eastAsia="方正仿宋_GBK" w:cs="方正仿宋_GBK"/>
          <w:sz w:val="32"/>
          <w:szCs w:val="32"/>
          <w:shd w:val="clear" w:color="auto" w:fill="FFFFFF"/>
        </w:rPr>
        <w:t>万元，与2023年度相比，增加8521.81万元，增长20.5%。主要原因是</w:t>
      </w:r>
      <w:r>
        <w:rPr>
          <w:rFonts w:hint="eastAsia" w:ascii="方正仿宋_GBK" w:hAnsi="方正仿宋_GBK" w:eastAsia="方正仿宋_GBK" w:cs="方正仿宋_GBK"/>
          <w:sz w:val="32"/>
          <w:szCs w:val="32"/>
          <w:shd w:val="clear" w:color="auto" w:fill="FFFFFF"/>
          <w:lang w:val="en-US" w:eastAsia="zh-CN"/>
        </w:rPr>
        <w:t>本年增加车辆购置税收入补助地方资金预算、普通省道和农村公路“以奖代补”项目、政府还贷二级公路取消收费后补助资金、农村公路安防工程、普通干线公路项目、涪陵区支持服务业高质量发展物流板块奖补资金项目、灾后整治工程和其他交通重点项目</w:t>
      </w:r>
      <w:r>
        <w:rPr>
          <w:rFonts w:hint="eastAsia" w:ascii="方正仿宋_GBK" w:hAnsi="方正仿宋_GBK" w:eastAsia="方正仿宋_GBK" w:cs="方正仿宋_GBK"/>
          <w:sz w:val="32"/>
          <w:szCs w:val="32"/>
          <w:shd w:val="clear" w:color="auto" w:fill="FFFFFF"/>
          <w:lang w:eastAsia="zh-CN"/>
        </w:rPr>
        <w:t>等一般公共预算财政拨款，相应增加收入。</w:t>
      </w:r>
      <w:r>
        <w:rPr>
          <w:rFonts w:ascii="方正仿宋_GBK" w:hAnsi="方正仿宋_GBK" w:eastAsia="方正仿宋_GBK" w:cs="方正仿宋_GBK"/>
          <w:sz w:val="32"/>
          <w:szCs w:val="32"/>
          <w:shd w:val="clear" w:color="auto" w:fill="FFFFFF"/>
        </w:rPr>
        <w:t>较年初预算数增加9918.87万元，增长24.7%。主要原因是</w:t>
      </w:r>
      <w:r>
        <w:rPr>
          <w:rFonts w:hint="eastAsia" w:ascii="方正仿宋_GBK" w:eastAsia="方正仿宋_GBK" w:cs="宋体"/>
          <w:sz w:val="32"/>
          <w:szCs w:val="32"/>
          <w:highlight w:val="none"/>
          <w:lang w:val="en-US" w:eastAsia="zh-CN"/>
        </w:rPr>
        <w:t>区财政年中</w:t>
      </w:r>
      <w:r>
        <w:rPr>
          <w:rFonts w:hint="eastAsia" w:ascii="方正仿宋_GBK" w:eastAsia="方正仿宋_GBK" w:cs="宋体"/>
          <w:sz w:val="32"/>
          <w:szCs w:val="32"/>
          <w:highlight w:val="none"/>
          <w:lang w:eastAsia="zh-CN"/>
        </w:rPr>
        <w:t>追加社会保障和就业支出等</w:t>
      </w:r>
      <w:r>
        <w:rPr>
          <w:rFonts w:hint="eastAsia" w:ascii="方正仿宋_GBK" w:eastAsia="方正仿宋_GBK" w:cs="宋体"/>
          <w:sz w:val="32"/>
          <w:szCs w:val="32"/>
          <w:highlight w:val="none"/>
          <w:lang w:val="en-US" w:eastAsia="zh-CN"/>
        </w:rPr>
        <w:t>经费</w:t>
      </w:r>
      <w:r>
        <w:rPr>
          <w:rFonts w:hint="eastAsia" w:ascii="方正仿宋_GBK" w:eastAsia="方正仿宋_GBK" w:cs="宋体"/>
          <w:sz w:val="32"/>
          <w:szCs w:val="32"/>
          <w:highlight w:val="none"/>
          <w:lang w:eastAsia="zh-CN"/>
        </w:rPr>
        <w:t>，</w:t>
      </w:r>
      <w:r>
        <w:rPr>
          <w:rFonts w:hint="eastAsia" w:ascii="方正仿宋_GBK" w:hAnsi="方正仿宋_GBK" w:eastAsia="方正仿宋_GBK" w:cs="方正仿宋_GBK"/>
          <w:sz w:val="32"/>
          <w:szCs w:val="32"/>
          <w:shd w:val="clear" w:color="auto" w:fill="FFFFFF"/>
          <w:lang w:val="en-US" w:eastAsia="zh-CN"/>
        </w:rPr>
        <w:t>农村公路安防工程、普通干线公路项目、物流板块奖补资金项目、自然灾害灾后重建补助</w:t>
      </w:r>
      <w:r>
        <w:rPr>
          <w:rFonts w:hint="eastAsia" w:ascii="方正仿宋_GBK" w:eastAsia="方正仿宋_GBK" w:cs="宋体"/>
          <w:sz w:val="32"/>
          <w:szCs w:val="32"/>
          <w:highlight w:val="none"/>
          <w:lang w:val="en-US" w:eastAsia="zh-CN"/>
        </w:rPr>
        <w:t>等专项资金拨款，相应较年初预算收入增加</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7.11</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2024年度</w:t>
      </w:r>
      <w:r>
        <w:rPr>
          <w:rFonts w:ascii="方正仿宋_GBK" w:hAnsi="方正仿宋_GBK" w:eastAsia="方正仿宋_GBK" w:cs="方正仿宋_GBK"/>
          <w:sz w:val="32"/>
          <w:szCs w:val="32"/>
          <w:shd w:val="clear" w:color="auto" w:fill="FFFFFF"/>
        </w:rPr>
        <w:t>一般公共预算财政拨款支出</w:t>
      </w:r>
      <w:r>
        <w:rPr>
          <w:rFonts w:ascii="方正仿宋_GBK" w:hAnsi="方正仿宋_GBK" w:eastAsia="方正仿宋_GBK" w:cs="方正仿宋_GBK"/>
          <w:sz w:val="32"/>
          <w:szCs w:val="32"/>
        </w:rPr>
        <w:t>50127.04</w:t>
      </w:r>
      <w:r>
        <w:rPr>
          <w:rFonts w:ascii="方正仿宋_GBK" w:hAnsi="方正仿宋_GBK" w:eastAsia="方正仿宋_GBK" w:cs="方正仿宋_GBK"/>
          <w:sz w:val="32"/>
          <w:szCs w:val="32"/>
          <w:shd w:val="clear" w:color="auto" w:fill="FFFFFF"/>
        </w:rPr>
        <w:t>万元，与2023年度相比，增加8505.22万元，增长20.4%。主要原因是</w:t>
      </w:r>
      <w:r>
        <w:rPr>
          <w:rFonts w:hint="eastAsia" w:ascii="方正仿宋_GBK" w:hAnsi="方正仿宋_GBK" w:eastAsia="方正仿宋_GBK" w:cs="方正仿宋_GBK"/>
          <w:sz w:val="32"/>
          <w:szCs w:val="32"/>
          <w:shd w:val="clear" w:color="auto" w:fill="FFFFFF"/>
          <w:lang w:val="en-US" w:eastAsia="zh-CN"/>
        </w:rPr>
        <w:t>本年增加车辆购置税收入补助地方资金预算、普通省道和农村公路“以奖代补”项目、政府还贷二级公路取消收费后补助资金、农村公路安防工程、普通干线公路项目、涪陵区支持服务业高质量发展物流板块奖补资金项目、灾后整治工程和其他交通重点项目</w:t>
      </w:r>
      <w:r>
        <w:rPr>
          <w:rFonts w:hint="eastAsia" w:ascii="方正仿宋_GBK" w:hAnsi="方正仿宋_GBK" w:eastAsia="方正仿宋_GBK" w:cs="方正仿宋_GBK"/>
          <w:sz w:val="32"/>
          <w:szCs w:val="32"/>
          <w:shd w:val="clear" w:color="auto" w:fill="FFFFFF"/>
          <w:lang w:eastAsia="zh-CN"/>
        </w:rPr>
        <w:t>等一般公共预算财政拨款，相应增加支出。</w:t>
      </w:r>
      <w:r>
        <w:rPr>
          <w:rFonts w:ascii="方正仿宋_GBK" w:hAnsi="方正仿宋_GBK" w:eastAsia="方正仿宋_GBK" w:cs="方正仿宋_GBK"/>
          <w:sz w:val="32"/>
          <w:szCs w:val="32"/>
          <w:shd w:val="clear" w:color="auto" w:fill="FFFFFF"/>
        </w:rPr>
        <w:t>较年初预算数增加9923.71万元，增长24.7%。主要原因是</w:t>
      </w:r>
      <w:r>
        <w:rPr>
          <w:rFonts w:hint="eastAsia" w:ascii="方正仿宋_GBK" w:eastAsia="方正仿宋_GBK" w:cs="宋体"/>
          <w:sz w:val="32"/>
          <w:szCs w:val="32"/>
          <w:highlight w:val="none"/>
          <w:lang w:val="en-US" w:eastAsia="zh-CN"/>
        </w:rPr>
        <w:t>区财政年中</w:t>
      </w:r>
      <w:r>
        <w:rPr>
          <w:rFonts w:hint="eastAsia" w:ascii="方正仿宋_GBK" w:eastAsia="方正仿宋_GBK" w:cs="宋体"/>
          <w:sz w:val="32"/>
          <w:szCs w:val="32"/>
          <w:highlight w:val="none"/>
          <w:lang w:eastAsia="zh-CN"/>
        </w:rPr>
        <w:t>追加社会保障和就业支出等</w:t>
      </w:r>
      <w:r>
        <w:rPr>
          <w:rFonts w:hint="eastAsia" w:ascii="方正仿宋_GBK" w:eastAsia="方正仿宋_GBK" w:cs="宋体"/>
          <w:sz w:val="32"/>
          <w:szCs w:val="32"/>
          <w:highlight w:val="none"/>
          <w:lang w:val="en-US" w:eastAsia="zh-CN"/>
        </w:rPr>
        <w:t>经费</w:t>
      </w:r>
      <w:r>
        <w:rPr>
          <w:rFonts w:hint="eastAsia" w:ascii="方正仿宋_GBK" w:eastAsia="方正仿宋_GBK" w:cs="宋体"/>
          <w:sz w:val="32"/>
          <w:szCs w:val="32"/>
          <w:highlight w:val="none"/>
          <w:lang w:eastAsia="zh-CN"/>
        </w:rPr>
        <w:t>，</w:t>
      </w:r>
      <w:r>
        <w:rPr>
          <w:rFonts w:hint="eastAsia" w:ascii="方正仿宋_GBK" w:hAnsi="方正仿宋_GBK" w:eastAsia="方正仿宋_GBK" w:cs="方正仿宋_GBK"/>
          <w:sz w:val="32"/>
          <w:szCs w:val="32"/>
          <w:shd w:val="clear" w:color="auto" w:fill="FFFFFF"/>
          <w:lang w:val="en-US" w:eastAsia="zh-CN"/>
        </w:rPr>
        <w:t>农村公路安防工程、普通干线公路项目、物流板块奖补资金项目、自然灾害灾后重建补助</w:t>
      </w:r>
      <w:r>
        <w:rPr>
          <w:rFonts w:hint="eastAsia" w:ascii="方正仿宋_GBK" w:eastAsia="方正仿宋_GBK" w:cs="宋体"/>
          <w:sz w:val="32"/>
          <w:szCs w:val="32"/>
          <w:highlight w:val="none"/>
          <w:lang w:val="en-US" w:eastAsia="zh-CN"/>
        </w:rPr>
        <w:t>等专项资金拨款，相应较年初预算支出增加</w:t>
      </w:r>
      <w:r>
        <w:rPr>
          <w:rFonts w:hint="eastAsia" w:ascii="方正仿宋_GBK" w:hAnsi="方正仿宋_GBK" w:eastAsia="方正仿宋_GBK" w:cs="方正仿宋_GBK"/>
          <w:color w:val="auto"/>
          <w:sz w:val="32"/>
          <w:szCs w:val="32"/>
          <w:shd w:val="clear" w:color="auto" w:fill="FFFFFF"/>
          <w:lang w:eastAsia="zh-CN"/>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2024年度</w:t>
      </w:r>
      <w:r>
        <w:rPr>
          <w:rFonts w:ascii="方正仿宋_GBK" w:hAnsi="方正仿宋_GBK" w:eastAsia="方正仿宋_GBK" w:cs="方正仿宋_GBK"/>
          <w:sz w:val="32"/>
          <w:szCs w:val="32"/>
          <w:shd w:val="clear" w:color="auto" w:fill="FFFFFF"/>
        </w:rPr>
        <w:t>年末一般公共预算财政拨款结转和结余</w:t>
      </w:r>
      <w:r>
        <w:rPr>
          <w:rFonts w:ascii="方正仿宋_GBK" w:hAnsi="方正仿宋_GBK" w:eastAsia="方正仿宋_GBK" w:cs="方正仿宋_GBK"/>
          <w:sz w:val="32"/>
          <w:szCs w:val="32"/>
        </w:rPr>
        <w:t>2.28</w:t>
      </w:r>
      <w:r>
        <w:rPr>
          <w:rFonts w:ascii="方正仿宋_GBK" w:hAnsi="方正仿宋_GBK" w:eastAsia="方正仿宋_GBK" w:cs="方正仿宋_GBK"/>
          <w:sz w:val="32"/>
          <w:szCs w:val="32"/>
          <w:shd w:val="clear" w:color="auto" w:fill="FFFFFF"/>
        </w:rPr>
        <w:t>万元，与2023年度相比，减少8.01万元，下降77.8%，主要原因是</w:t>
      </w:r>
      <w:r>
        <w:rPr>
          <w:rFonts w:hint="eastAsia" w:ascii="方正仿宋_GBK" w:hAnsi="方正仿宋_GBK" w:eastAsia="方正仿宋_GBK" w:cs="方正仿宋_GBK"/>
          <w:color w:val="auto"/>
          <w:sz w:val="32"/>
          <w:szCs w:val="32"/>
          <w:shd w:val="clear" w:color="auto" w:fill="FFFFFF"/>
        </w:rPr>
        <w:t>区渡口事务中心、区道路运输事务中心和区交通运输综合行政执法支队减少年末结转和结余。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8"/>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2024年度</w:t>
      </w:r>
      <w:r>
        <w:rPr>
          <w:rFonts w:ascii="方正仿宋_GBK" w:hAnsi="方正仿宋_GBK" w:eastAsia="方正仿宋_GBK" w:cs="方正仿宋_GBK"/>
          <w:sz w:val="32"/>
          <w:szCs w:val="32"/>
          <w:shd w:val="clear" w:color="auto" w:fill="FFFFFF"/>
        </w:rPr>
        <w:t>一般公共预算财政拨款支出主要用于以下几个方面：</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90.04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0.18</w:t>
      </w:r>
      <w:r>
        <w:rPr>
          <w:rFonts w:ascii="方正仿宋_GBK" w:hAnsi="方正仿宋_GBK" w:eastAsia="方正仿宋_GBK" w:cs="方正仿宋_GBK"/>
          <w:sz w:val="32"/>
          <w:szCs w:val="32"/>
          <w:shd w:val="clear" w:color="auto" w:fill="FFFFFF"/>
        </w:rPr>
        <w:t>%，较年初预算数增加90.04万元，增长100.0%，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原区物流办机构撤销后，</w:t>
      </w:r>
      <w:r>
        <w:rPr>
          <w:rFonts w:hint="eastAsia" w:ascii="方正仿宋_GBK" w:hAnsi="方正仿宋_GBK" w:eastAsia="方正仿宋_GBK" w:cs="方正仿宋_GBK"/>
          <w:color w:val="auto"/>
          <w:sz w:val="32"/>
          <w:szCs w:val="32"/>
          <w:shd w:val="clear" w:color="auto" w:fill="FFFFFF"/>
          <w:lang w:val="en-US" w:eastAsia="zh-CN"/>
        </w:rPr>
        <w:t>2024年度收支数据</w:t>
      </w:r>
      <w:r>
        <w:rPr>
          <w:rFonts w:hint="eastAsia" w:ascii="方正仿宋_GBK" w:hAnsi="方正仿宋_GBK" w:eastAsia="方正仿宋_GBK" w:cs="方正仿宋_GBK"/>
          <w:color w:val="auto"/>
          <w:sz w:val="32"/>
          <w:szCs w:val="32"/>
          <w:shd w:val="clear" w:color="auto" w:fill="FFFFFF"/>
          <w:lang w:eastAsia="zh-CN"/>
        </w:rPr>
        <w:t>纳入本部门决算。</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3651.23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7.28</w:t>
      </w:r>
      <w:r>
        <w:rPr>
          <w:rFonts w:ascii="方正仿宋_GBK" w:hAnsi="方正仿宋_GBK" w:eastAsia="方正仿宋_GBK" w:cs="方正仿宋_GBK"/>
          <w:sz w:val="32"/>
          <w:szCs w:val="32"/>
          <w:shd w:val="clear" w:color="auto" w:fill="FFFFFF"/>
        </w:rPr>
        <w:t>%，较年初预算数增加2705.29万元，增长286.0%，</w:t>
      </w:r>
      <w:r>
        <w:rPr>
          <w:rFonts w:ascii="方正仿宋_GBK" w:eastAsia="方正仿宋_GBK" w:cs="宋体"/>
          <w:sz w:val="32"/>
          <w:szCs w:val="32"/>
          <w:highlight w:val="none"/>
        </w:rPr>
        <w:t>主要原因是区财政追加退休职工健康疗养经费拨款</w:t>
      </w:r>
      <w:r>
        <w:rPr>
          <w:rFonts w:hint="eastAsia" w:ascii="方正仿宋_GBK" w:eastAsia="方正仿宋_GBK" w:cs="宋体"/>
          <w:sz w:val="32"/>
          <w:szCs w:val="32"/>
          <w:highlight w:val="none"/>
          <w:lang w:eastAsia="zh-CN"/>
        </w:rPr>
        <w:t>及增人增资</w:t>
      </w:r>
      <w:r>
        <w:rPr>
          <w:rFonts w:ascii="方正仿宋_GBK" w:eastAsia="方正仿宋_GBK" w:cs="宋体"/>
          <w:sz w:val="32"/>
          <w:szCs w:val="32"/>
          <w:highlight w:val="none"/>
        </w:rPr>
        <w:t>，相应增加支出。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612.67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1.22</w:t>
      </w:r>
      <w:r>
        <w:rPr>
          <w:rFonts w:ascii="方正仿宋_GBK" w:hAnsi="方正仿宋_GBK" w:eastAsia="方正仿宋_GBK" w:cs="方正仿宋_GBK"/>
          <w:sz w:val="32"/>
          <w:szCs w:val="32"/>
          <w:shd w:val="clear" w:color="auto" w:fill="FFFFFF"/>
        </w:rPr>
        <w:t>%，较年初预算数减少9.74万元，下降1.6%，</w:t>
      </w:r>
      <w:r>
        <w:rPr>
          <w:rFonts w:hint="eastAsia" w:ascii="方正仿宋_GBK" w:eastAsia="方正仿宋_GBK" w:cs="宋体"/>
          <w:kern w:val="0"/>
          <w:sz w:val="32"/>
          <w:szCs w:val="32"/>
          <w:highlight w:val="none"/>
        </w:rPr>
        <w:t>主要原因是区财政</w:t>
      </w:r>
      <w:r>
        <w:rPr>
          <w:rFonts w:hint="eastAsia" w:ascii="方正仿宋_GBK" w:eastAsia="方正仿宋_GBK" w:cs="宋体"/>
          <w:kern w:val="0"/>
          <w:sz w:val="32"/>
          <w:szCs w:val="32"/>
          <w:highlight w:val="none"/>
          <w:lang w:eastAsia="zh-CN"/>
        </w:rPr>
        <w:t>追减</w:t>
      </w:r>
      <w:r>
        <w:rPr>
          <w:rFonts w:hint="eastAsia" w:ascii="方正仿宋_GBK" w:eastAsia="方正仿宋_GBK" w:cs="宋体"/>
          <w:kern w:val="0"/>
          <w:sz w:val="32"/>
          <w:szCs w:val="32"/>
          <w:highlight w:val="none"/>
        </w:rPr>
        <w:t>职工医疗费拨款，相应</w:t>
      </w:r>
      <w:r>
        <w:rPr>
          <w:rFonts w:hint="eastAsia" w:ascii="方正仿宋_GBK" w:eastAsia="方正仿宋_GBK" w:cs="宋体"/>
          <w:kern w:val="0"/>
          <w:sz w:val="32"/>
          <w:szCs w:val="32"/>
          <w:highlight w:val="none"/>
          <w:lang w:eastAsia="zh-CN"/>
        </w:rPr>
        <w:t>减少</w:t>
      </w:r>
      <w:r>
        <w:rPr>
          <w:rFonts w:hint="eastAsia" w:ascii="方正仿宋_GBK" w:eastAsia="方正仿宋_GBK" w:cs="宋体"/>
          <w:kern w:val="0"/>
          <w:sz w:val="32"/>
          <w:szCs w:val="32"/>
          <w:highlight w:val="none"/>
        </w:rPr>
        <w:t>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588.38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1.17</w:t>
      </w:r>
      <w:r>
        <w:rPr>
          <w:rFonts w:ascii="方正仿宋_GBK" w:hAnsi="方正仿宋_GBK" w:eastAsia="方正仿宋_GBK" w:cs="方正仿宋_GBK"/>
          <w:sz w:val="32"/>
          <w:szCs w:val="32"/>
          <w:shd w:val="clear" w:color="auto" w:fill="FFFFFF"/>
        </w:rPr>
        <w:t>%，较年初预算数增加366.21万元，增长164.8%，</w:t>
      </w:r>
      <w:r>
        <w:rPr>
          <w:rFonts w:hint="eastAsia" w:ascii="方正仿宋_GBK" w:eastAsia="方正仿宋_GBK" w:cs="宋体"/>
          <w:kern w:val="0"/>
          <w:sz w:val="32"/>
          <w:szCs w:val="32"/>
          <w:highlight w:val="none"/>
        </w:rPr>
        <w:t>主要原因是</w:t>
      </w:r>
      <w:r>
        <w:rPr>
          <w:rFonts w:hint="eastAsia" w:ascii="方正仿宋_GBK" w:eastAsia="方正仿宋_GBK" w:cs="宋体"/>
          <w:kern w:val="0"/>
          <w:sz w:val="32"/>
          <w:szCs w:val="32"/>
          <w:highlight w:val="none"/>
          <w:lang w:eastAsia="zh-CN"/>
        </w:rPr>
        <w:t>区财政局追加</w:t>
      </w:r>
      <w:r>
        <w:rPr>
          <w:rFonts w:hint="eastAsia" w:ascii="方正仿宋_GBK" w:eastAsia="方正仿宋_GBK" w:cs="宋体"/>
          <w:kern w:val="0"/>
          <w:sz w:val="32"/>
          <w:szCs w:val="32"/>
          <w:highlight w:val="none"/>
          <w:lang w:val="en-US" w:eastAsia="zh-CN"/>
        </w:rPr>
        <w:t>衔接推进乡村振兴项目</w:t>
      </w:r>
      <w:r>
        <w:rPr>
          <w:rFonts w:hint="eastAsia" w:ascii="方正仿宋_GBK" w:eastAsia="方正仿宋_GBK" w:cs="宋体"/>
          <w:kern w:val="0"/>
          <w:sz w:val="32"/>
          <w:szCs w:val="32"/>
          <w:highlight w:val="none"/>
        </w:rPr>
        <w:t>专项资金拨款，相应增加支出。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42433.17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84.65</w:t>
      </w:r>
      <w:r>
        <w:rPr>
          <w:rFonts w:ascii="方正仿宋_GBK" w:hAnsi="方正仿宋_GBK" w:eastAsia="方正仿宋_GBK" w:cs="方正仿宋_GBK"/>
          <w:sz w:val="32"/>
          <w:szCs w:val="32"/>
          <w:shd w:val="clear" w:color="auto" w:fill="FFFFFF"/>
        </w:rPr>
        <w:t>%，较年初预算数增加4485.14万元，增长11.8%，</w:t>
      </w:r>
      <w:r>
        <w:rPr>
          <w:rFonts w:hint="eastAsia" w:ascii="方正仿宋_GBK" w:eastAsia="方正仿宋_GBK" w:cs="宋体"/>
          <w:kern w:val="0"/>
          <w:sz w:val="32"/>
          <w:szCs w:val="32"/>
          <w:highlight w:val="none"/>
        </w:rPr>
        <w:t>主要原因是</w:t>
      </w:r>
      <w:r>
        <w:rPr>
          <w:rFonts w:hint="eastAsia" w:ascii="方正仿宋_GBK" w:eastAsia="方正仿宋_GBK" w:cs="宋体"/>
          <w:kern w:val="0"/>
          <w:sz w:val="32"/>
          <w:szCs w:val="32"/>
          <w:highlight w:val="none"/>
          <w:lang w:eastAsia="zh-CN"/>
        </w:rPr>
        <w:t>基本支出、</w:t>
      </w:r>
      <w:r>
        <w:rPr>
          <w:rFonts w:hint="eastAsia" w:ascii="方正仿宋_GBK" w:eastAsia="方正仿宋_GBK" w:cs="宋体"/>
          <w:kern w:val="0"/>
          <w:sz w:val="32"/>
          <w:szCs w:val="32"/>
          <w:highlight w:val="none"/>
          <w:lang w:val="en-US" w:eastAsia="zh-CN"/>
        </w:rPr>
        <w:t>公路建设、公路养护等项目支出增加，相应增加支出。</w:t>
      </w:r>
    </w:p>
    <w:p>
      <w:pPr>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住房保障支出446.94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0.89</w:t>
      </w:r>
      <w:r>
        <w:rPr>
          <w:rFonts w:ascii="方正仿宋_GBK" w:hAnsi="方正仿宋_GBK" w:eastAsia="方正仿宋_GBK" w:cs="方正仿宋_GBK"/>
          <w:sz w:val="32"/>
          <w:szCs w:val="32"/>
          <w:shd w:val="clear" w:color="auto" w:fill="FFFFFF"/>
        </w:rPr>
        <w:t>%，较年初预算数减少17.83万元，下降3.8%，</w:t>
      </w:r>
      <w:r>
        <w:rPr>
          <w:rFonts w:hint="eastAsia" w:ascii="方正仿宋_GBK" w:eastAsia="方正仿宋_GBK" w:cs="宋体"/>
          <w:kern w:val="0"/>
          <w:sz w:val="32"/>
          <w:szCs w:val="32"/>
          <w:highlight w:val="none"/>
        </w:rPr>
        <w:t>主要原因是区财政</w:t>
      </w:r>
      <w:r>
        <w:rPr>
          <w:rFonts w:hint="eastAsia" w:ascii="方正仿宋_GBK" w:eastAsia="方正仿宋_GBK" w:cs="宋体"/>
          <w:kern w:val="0"/>
          <w:sz w:val="32"/>
          <w:szCs w:val="32"/>
          <w:highlight w:val="none"/>
          <w:lang w:eastAsia="zh-CN"/>
        </w:rPr>
        <w:t>追减住房保障支出，相应减少支出</w:t>
      </w:r>
      <w:r>
        <w:rPr>
          <w:rFonts w:hint="eastAsia" w:ascii="方正仿宋_GBK" w:eastAsia="方正仿宋_GBK" w:cs="宋体"/>
          <w:kern w:val="0"/>
          <w:sz w:val="32"/>
          <w:szCs w:val="32"/>
          <w:highlight w:val="none"/>
        </w:rPr>
        <w:t>。</w:t>
      </w:r>
    </w:p>
    <w:p>
      <w:pPr>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灾害防治及应急管理支出2304.61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4.60</w:t>
      </w:r>
      <w:r>
        <w:rPr>
          <w:rFonts w:ascii="方正仿宋_GBK" w:hAnsi="方正仿宋_GBK" w:eastAsia="方正仿宋_GBK" w:cs="方正仿宋_GBK"/>
          <w:sz w:val="32"/>
          <w:szCs w:val="32"/>
          <w:shd w:val="clear" w:color="auto" w:fill="FFFFFF"/>
        </w:rPr>
        <w:t>%，较年初预算数增加2304.61万元，增长100.0%，主要原因是</w:t>
      </w:r>
      <w:r>
        <w:rPr>
          <w:rFonts w:hint="eastAsia" w:ascii="方正仿宋_GBK" w:hAnsi="方正仿宋_GBK" w:eastAsia="方正仿宋_GBK" w:cs="方正仿宋_GBK"/>
          <w:sz w:val="32"/>
          <w:szCs w:val="32"/>
          <w:shd w:val="clear" w:color="auto" w:fill="FFFFFF"/>
          <w:lang w:eastAsia="zh-CN"/>
        </w:rPr>
        <w:t>区财政追加</w:t>
      </w:r>
      <w:r>
        <w:rPr>
          <w:rFonts w:hint="eastAsia" w:ascii="方正仿宋_GBK" w:hAnsi="方正仿宋_GBK" w:eastAsia="方正仿宋_GBK" w:cs="方正仿宋_GBK"/>
          <w:sz w:val="32"/>
          <w:szCs w:val="32"/>
          <w:shd w:val="clear" w:color="auto" w:fill="FFFFFF"/>
          <w:lang w:val="en-US" w:eastAsia="zh-CN"/>
        </w:rPr>
        <w:t>自然灾害灾后重建补助专项资金拨款，相应增加支出。</w:t>
      </w:r>
    </w:p>
    <w:p>
      <w:pPr>
        <w:pStyle w:val="11"/>
        <w:autoSpaceDE w:val="0"/>
        <w:ind w:firstLine="643"/>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2024年度</w:t>
      </w:r>
      <w:r>
        <w:rPr>
          <w:rFonts w:ascii="方正仿宋_GBK" w:hAnsi="方正仿宋_GBK" w:eastAsia="方正仿宋_GBK" w:cs="方正仿宋_GBK"/>
          <w:sz w:val="32"/>
          <w:szCs w:val="32"/>
          <w:shd w:val="clear" w:color="auto" w:fill="FFFFFF"/>
        </w:rPr>
        <w:t>一般公共财政拨款基本支出</w:t>
      </w:r>
      <w:r>
        <w:rPr>
          <w:rFonts w:ascii="方正仿宋_GBK" w:hAnsi="方正仿宋_GBK" w:eastAsia="方正仿宋_GBK" w:cs="方正仿宋_GBK"/>
          <w:sz w:val="32"/>
          <w:szCs w:val="32"/>
        </w:rPr>
        <w:t>12476.33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11374.41</w:t>
      </w:r>
      <w:r>
        <w:rPr>
          <w:rFonts w:ascii="方正仿宋_GBK" w:hAnsi="方正仿宋_GBK" w:eastAsia="方正仿宋_GBK" w:cs="方正仿宋_GBK"/>
          <w:sz w:val="32"/>
          <w:szCs w:val="32"/>
          <w:shd w:val="clear" w:color="auto" w:fill="FFFFFF"/>
        </w:rPr>
        <w:t>万元，与2023年度相比，增加21.18万元，增长0.2%，主要原因是</w:t>
      </w:r>
      <w:r>
        <w:rPr>
          <w:rFonts w:hint="eastAsia" w:ascii="方正仿宋_GBK" w:hAnsi="方正仿宋_GBK" w:eastAsia="方正仿宋_GBK" w:cs="方正仿宋_GBK"/>
          <w:sz w:val="32"/>
          <w:szCs w:val="32"/>
          <w:shd w:val="clear" w:color="auto" w:fill="FFFFFF"/>
          <w:lang w:val="en-US" w:eastAsia="zh-CN"/>
        </w:rPr>
        <w:t>增人增资，相应增加支出。</w:t>
      </w:r>
      <w:r>
        <w:rPr>
          <w:rFonts w:hint="eastAsia" w:ascii="方正仿宋_GBK" w:eastAsia="方正仿宋_GBK" w:cs="宋体"/>
          <w:kern w:val="0"/>
          <w:sz w:val="32"/>
          <w:szCs w:val="32"/>
          <w:highlight w:val="none"/>
        </w:rPr>
        <w:t>人员经费用途主要包括基本工资、津贴补贴、奖金、社会保障缴费、抚恤金、住房公积金等。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1101.91</w:t>
      </w:r>
      <w:r>
        <w:rPr>
          <w:rFonts w:ascii="方正仿宋_GBK" w:hAnsi="方正仿宋_GBK" w:eastAsia="方正仿宋_GBK" w:cs="方正仿宋_GBK"/>
          <w:sz w:val="32"/>
          <w:szCs w:val="32"/>
          <w:shd w:val="clear" w:color="auto" w:fill="FFFFFF"/>
        </w:rPr>
        <w:t>万元，与2023年度相比，增加37.52万元，增长3.5%，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本年度用于保障部门正常运转的各项商品服务支出等费用增加。</w:t>
      </w:r>
      <w:r>
        <w:rPr>
          <w:rFonts w:ascii="方正仿宋_GBK" w:eastAsia="方正仿宋_GBK" w:cs="宋体"/>
          <w:color w:val="auto"/>
          <w:sz w:val="32"/>
          <w:szCs w:val="32"/>
          <w:highlight w:val="none"/>
        </w:rPr>
        <w:t>公用经费用途主要包括办公费、水费、电</w:t>
      </w:r>
      <w:r>
        <w:rPr>
          <w:rFonts w:ascii="方正仿宋_GBK" w:eastAsia="方正仿宋_GBK" w:cs="宋体"/>
          <w:sz w:val="32"/>
          <w:szCs w:val="32"/>
          <w:highlight w:val="none"/>
        </w:rPr>
        <w:t>费、邮电费、物业管理费、差旅费、公务接待费、会议费、培训费、工会经费、福利费、其他交通费用、其他商品和服务支出等。</w:t>
      </w:r>
    </w:p>
    <w:p>
      <w:pPr>
        <w:pStyle w:val="11"/>
        <w:autoSpaceDE w:val="0"/>
        <w:ind w:firstLine="643"/>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2024年度</w:t>
      </w:r>
      <w:r>
        <w:rPr>
          <w:rFonts w:ascii="方正仿宋_GBK" w:hAnsi="方正仿宋_GBK" w:eastAsia="方正仿宋_GBK" w:cs="方正仿宋_GBK"/>
          <w:sz w:val="32"/>
          <w:szCs w:val="32"/>
          <w:shd w:val="clear" w:color="auto" w:fill="FFFFFF"/>
        </w:rPr>
        <w:t>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37779.49</w:t>
      </w:r>
      <w:r>
        <w:rPr>
          <w:rFonts w:ascii="方正仿宋_GBK" w:hAnsi="方正仿宋_GBK" w:eastAsia="方正仿宋_GBK" w:cs="方正仿宋_GBK"/>
          <w:sz w:val="32"/>
          <w:szCs w:val="32"/>
          <w:shd w:val="clear" w:color="auto" w:fill="FFFFFF"/>
        </w:rPr>
        <w:t>万元，与2023年度相比，增加27396.24万元，增长263.9%，</w:t>
      </w:r>
      <w:r>
        <w:rPr>
          <w:rFonts w:hint="eastAsia" w:ascii="方正仿宋_GBK" w:hAnsi="方正仿宋_GBK" w:eastAsia="方正仿宋_GBK" w:cs="方正仿宋_GBK"/>
          <w:sz w:val="32"/>
          <w:szCs w:val="32"/>
          <w:shd w:val="clear" w:color="auto" w:fill="FFFFFF"/>
        </w:rPr>
        <w:t>主要原因是本年增加普通省道和农村公路“以奖代补”项目、铁路沿线安全环境治理和2024年第二批超长期特别国债资金支持老旧营运船舶报废更新项目等政府性基金预算财政拨款收入</w:t>
      </w:r>
      <w:r>
        <w:rPr>
          <w:rFonts w:hint="eastAsia" w:ascii="方正仿宋_GBK" w:hAnsi="方正仿宋_GBK" w:eastAsia="方正仿宋_GBK" w:cs="方正仿宋_GBK"/>
          <w:sz w:val="32"/>
          <w:szCs w:val="32"/>
          <w:shd w:val="clear" w:color="auto" w:fill="FFFFFF"/>
          <w:lang w:eastAsia="zh-CN"/>
        </w:rPr>
        <w:t>，相应增加收入</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37779.49</w:t>
      </w:r>
      <w:r>
        <w:rPr>
          <w:rFonts w:ascii="方正仿宋_GBK" w:hAnsi="方正仿宋_GBK" w:eastAsia="方正仿宋_GBK" w:cs="方正仿宋_GBK"/>
          <w:sz w:val="32"/>
          <w:szCs w:val="32"/>
          <w:shd w:val="clear" w:color="auto" w:fill="FFFFFF"/>
        </w:rPr>
        <w:t>万元，与2023年度相比，增加27396.24万元，增长263.9%，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本年度收入增加，相应增加支出</w:t>
      </w:r>
      <w:r>
        <w:rPr>
          <w:rFonts w:ascii="方正仿宋_GBK" w:hAnsi="方正仿宋_GBK" w:eastAsia="方正仿宋_GBK" w:cs="方正仿宋_GBK"/>
          <w:color w:val="auto"/>
          <w:sz w:val="32"/>
          <w:szCs w:val="32"/>
          <w:shd w:val="clear" w:color="auto" w:fill="FFFFFF"/>
        </w:rPr>
        <w:t>。</w:t>
      </w:r>
    </w:p>
    <w:p>
      <w:pPr>
        <w:pStyle w:val="11"/>
        <w:autoSpaceDE w:val="0"/>
        <w:ind w:firstLine="643"/>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keepNext w:val="0"/>
        <w:keepLines w:val="0"/>
        <w:pageBreakBefore w:val="0"/>
        <w:kinsoku/>
        <w:wordWrap/>
        <w:overflowPunct/>
        <w:topLinePunct w:val="0"/>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本部门2024年度无国有资本经营预算财政拨款支出。</w:t>
      </w:r>
    </w:p>
    <w:p>
      <w:pPr>
        <w:pStyle w:val="11"/>
        <w:keepNext w:val="0"/>
        <w:keepLines w:val="0"/>
        <w:pageBreakBefore w:val="0"/>
        <w:widowControl/>
        <w:kinsoku/>
        <w:wordWrap/>
        <w:overflowPunct/>
        <w:topLinePunct w:val="0"/>
        <w:autoSpaceDE w:val="0"/>
        <w:autoSpaceDN/>
        <w:bidi w:val="0"/>
        <w:adjustRightInd/>
        <w:snapToGrid/>
        <w:ind w:firstLine="0" w:firstLineChars="0"/>
        <w:jc w:val="both"/>
        <w:textAlignment w:val="auto"/>
        <w:rPr>
          <w:rFonts w:hint="default" w:ascii="黑体" w:hAnsi="黑体" w:eastAsia="黑体" w:cs="黑体"/>
          <w:b/>
          <w:bCs/>
          <w:sz w:val="32"/>
          <w:szCs w:val="32"/>
          <w:shd w:val="clear" w:color="auto" w:fill="FFFFFF"/>
          <w:lang w:eastAsia="zh-CN"/>
        </w:rPr>
      </w:pPr>
      <w:r>
        <w:rPr>
          <w:rFonts w:hint="eastAsia" w:ascii="黑体" w:hAnsi="黑体" w:eastAsia="黑体" w:cs="黑体"/>
          <w:b/>
          <w:bCs/>
          <w:sz w:val="32"/>
          <w:szCs w:val="32"/>
          <w:shd w:val="clear" w:color="auto" w:fill="FFFFFF"/>
          <w:lang w:eastAsia="zh-CN"/>
        </w:rPr>
        <w:t>三、“三公”经费情况说明</w:t>
      </w:r>
    </w:p>
    <w:p>
      <w:pPr>
        <w:pStyle w:val="11"/>
        <w:autoSpaceDE w:val="0"/>
        <w:ind w:firstLine="643"/>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2024年度</w:t>
      </w:r>
      <w:r>
        <w:rPr>
          <w:rFonts w:ascii="方正仿宋_GBK" w:hAnsi="方正仿宋_GBK" w:eastAsia="方正仿宋_GBK" w:cs="方正仿宋_GBK"/>
          <w:sz w:val="32"/>
          <w:szCs w:val="32"/>
          <w:shd w:val="clear" w:color="auto" w:fill="FFFFFF"/>
        </w:rPr>
        <w:t>“三公”经费支出共计</w:t>
      </w:r>
      <w:r>
        <w:rPr>
          <w:rFonts w:ascii="方正仿宋_GBK" w:hAnsi="方正仿宋_GBK" w:eastAsia="方正仿宋_GBK" w:cs="方正仿宋_GBK"/>
          <w:sz w:val="32"/>
          <w:szCs w:val="32"/>
        </w:rPr>
        <w:t>179.73</w:t>
      </w:r>
      <w:r>
        <w:rPr>
          <w:rFonts w:ascii="方正仿宋_GBK" w:hAnsi="方正仿宋_GBK" w:eastAsia="方正仿宋_GBK" w:cs="方正仿宋_GBK"/>
          <w:sz w:val="32"/>
          <w:szCs w:val="32"/>
          <w:shd w:val="clear" w:color="auto" w:fill="FFFFFF"/>
        </w:rPr>
        <w:t>万元，较年初预算数减少88.07万元，下降32.9%，</w:t>
      </w:r>
      <w:r>
        <w:rPr>
          <w:rFonts w:hint="eastAsia" w:ascii="方正仿宋_GBK" w:eastAsia="方正仿宋_GBK" w:cs="宋体"/>
          <w:kern w:val="0"/>
          <w:sz w:val="32"/>
          <w:szCs w:val="32"/>
          <w:highlight w:val="none"/>
        </w:rPr>
        <w:t>主要原因是厉行节约，从严控制“三公”经费</w:t>
      </w:r>
      <w:r>
        <w:rPr>
          <w:rFonts w:hint="eastAsia" w:ascii="方正仿宋_GBK" w:eastAsia="方正仿宋_GBK" w:cs="宋体"/>
          <w:kern w:val="0"/>
          <w:sz w:val="32"/>
          <w:szCs w:val="32"/>
          <w:highlight w:val="none"/>
          <w:lang w:val="en-US" w:eastAsia="zh-CN"/>
        </w:rPr>
        <w:t>支出</w:t>
      </w:r>
      <w:r>
        <w:rPr>
          <w:rFonts w:hint="eastAsia" w:ascii="方正仿宋_GBK" w:eastAsia="方正仿宋_GBK" w:cs="宋体"/>
          <w:kern w:val="0"/>
          <w:sz w:val="32"/>
          <w:szCs w:val="32"/>
          <w:highlight w:val="none"/>
        </w:rPr>
        <w:t>。</w:t>
      </w:r>
      <w:r>
        <w:rPr>
          <w:rFonts w:ascii="方正仿宋_GBK" w:hAnsi="方正仿宋_GBK" w:eastAsia="方正仿宋_GBK" w:cs="方正仿宋_GBK"/>
          <w:sz w:val="32"/>
          <w:szCs w:val="32"/>
          <w:shd w:val="clear" w:color="auto" w:fill="FFFFFF"/>
        </w:rPr>
        <w:t>较上年支出数减少90.04万元，下降33.4%，</w:t>
      </w:r>
      <w:r>
        <w:rPr>
          <w:rFonts w:hint="eastAsia" w:ascii="方正仿宋_GBK" w:eastAsia="方正仿宋_GBK" w:cs="宋体"/>
          <w:kern w:val="0"/>
          <w:sz w:val="32"/>
          <w:szCs w:val="32"/>
          <w:highlight w:val="none"/>
        </w:rPr>
        <w:t>主要原因是厉行节约，从严控制“三公”经费</w:t>
      </w:r>
      <w:r>
        <w:rPr>
          <w:rFonts w:hint="eastAsia" w:ascii="方正仿宋_GBK" w:eastAsia="方正仿宋_GBK" w:cs="宋体"/>
          <w:kern w:val="0"/>
          <w:sz w:val="32"/>
          <w:szCs w:val="32"/>
          <w:highlight w:val="none"/>
          <w:lang w:val="en-US" w:eastAsia="zh-CN"/>
        </w:rPr>
        <w:t>支出</w:t>
      </w:r>
      <w:r>
        <w:rPr>
          <w:rFonts w:hint="eastAsia" w:ascii="方正仿宋_GBK" w:eastAsia="方正仿宋_GBK" w:cs="宋体"/>
          <w:kern w:val="0"/>
          <w:sz w:val="32"/>
          <w:szCs w:val="32"/>
          <w:highlight w:val="none"/>
        </w:rPr>
        <w:t>。</w:t>
      </w:r>
    </w:p>
    <w:p>
      <w:pPr>
        <w:pStyle w:val="11"/>
        <w:autoSpaceDE w:val="0"/>
        <w:ind w:firstLine="643"/>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eastAsia="方正仿宋_GBK" w:cs="宋体"/>
          <w:kern w:val="0"/>
          <w:sz w:val="32"/>
          <w:szCs w:val="32"/>
          <w:highlight w:val="none"/>
        </w:rPr>
        <w:t>费用支出较年初预算数</w:t>
      </w:r>
      <w:r>
        <w:rPr>
          <w:rFonts w:hint="eastAsia" w:ascii="方正仿宋_GBK" w:eastAsia="方正仿宋_GBK" w:cs="宋体"/>
          <w:kern w:val="0"/>
          <w:sz w:val="32"/>
          <w:szCs w:val="32"/>
          <w:highlight w:val="none"/>
          <w:lang w:eastAsia="zh-CN"/>
        </w:rPr>
        <w:t>和</w:t>
      </w:r>
      <w:r>
        <w:rPr>
          <w:rFonts w:hint="eastAsia" w:ascii="方正仿宋_GBK" w:eastAsia="方正仿宋_GBK" w:cs="宋体"/>
          <w:kern w:val="0"/>
          <w:sz w:val="32"/>
          <w:szCs w:val="32"/>
          <w:highlight w:val="none"/>
        </w:rPr>
        <w:t>上年支出数</w:t>
      </w:r>
      <w:r>
        <w:rPr>
          <w:rFonts w:hint="eastAsia" w:ascii="方正仿宋_GBK" w:eastAsia="方正仿宋_GBK" w:cs="宋体"/>
          <w:kern w:val="0"/>
          <w:sz w:val="32"/>
          <w:szCs w:val="32"/>
          <w:highlight w:val="none"/>
          <w:lang w:eastAsia="zh-CN"/>
        </w:rPr>
        <w:t>无增减，</w:t>
      </w:r>
      <w:r>
        <w:rPr>
          <w:rFonts w:hint="eastAsia" w:ascii="方正仿宋_GBK" w:eastAsia="方正仿宋_GBK" w:cs="宋体"/>
          <w:kern w:val="0"/>
          <w:sz w:val="32"/>
          <w:szCs w:val="32"/>
          <w:highlight w:val="none"/>
        </w:rPr>
        <w:t>与年初预算数和上年支出数持平。本</w:t>
      </w:r>
      <w:r>
        <w:rPr>
          <w:rFonts w:hint="eastAsia" w:ascii="方正仿宋_GBK" w:eastAsia="方正仿宋_GBK" w:cs="宋体"/>
          <w:kern w:val="0"/>
          <w:sz w:val="32"/>
          <w:szCs w:val="32"/>
          <w:highlight w:val="none"/>
          <w:lang w:eastAsia="zh-CN"/>
        </w:rPr>
        <w:t>部门</w:t>
      </w:r>
      <w:r>
        <w:rPr>
          <w:rFonts w:hint="eastAsia" w:ascii="方正仿宋_GBK" w:eastAsia="方正仿宋_GBK" w:cs="宋体"/>
          <w:kern w:val="0"/>
          <w:sz w:val="32"/>
          <w:szCs w:val="32"/>
          <w:highlight w:val="none"/>
        </w:rPr>
        <w:t>20</w:t>
      </w:r>
      <w:r>
        <w:rPr>
          <w:rFonts w:hint="eastAsia" w:ascii="方正仿宋_GBK" w:eastAsia="方正仿宋_GBK" w:cs="宋体"/>
          <w:kern w:val="0"/>
          <w:sz w:val="32"/>
          <w:szCs w:val="32"/>
          <w:highlight w:val="none"/>
          <w:lang w:val="en-US" w:eastAsia="zh-CN"/>
        </w:rPr>
        <w:t>24</w:t>
      </w:r>
      <w:r>
        <w:rPr>
          <w:rFonts w:hint="eastAsia" w:ascii="方正仿宋_GBK" w:eastAsia="方正仿宋_GBK" w:cs="宋体"/>
          <w:kern w:val="0"/>
          <w:sz w:val="32"/>
          <w:szCs w:val="32"/>
          <w:highlight w:val="none"/>
        </w:rPr>
        <w:t>年度未发生因公出国（境）费用。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较上年支出数减少35.96万元，下降100.0%，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本年度未购置公务车辆</w:t>
      </w:r>
      <w:r>
        <w:rPr>
          <w:rFonts w:ascii="方正仿宋_GBK" w:hAnsi="方正仿宋_GBK" w:eastAsia="方正仿宋_GBK" w:cs="方正仿宋_GBK"/>
          <w:color w:val="auto"/>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154.76</w:t>
      </w:r>
      <w:r>
        <w:rPr>
          <w:rFonts w:ascii="方正仿宋_GBK" w:hAnsi="方正仿宋_GBK" w:eastAsia="方正仿宋_GBK" w:cs="方正仿宋_GBK"/>
          <w:sz w:val="32"/>
          <w:szCs w:val="32"/>
          <w:shd w:val="clear" w:color="auto" w:fill="FFFFFF"/>
        </w:rPr>
        <w:t>万元，</w:t>
      </w:r>
      <w:r>
        <w:rPr>
          <w:rFonts w:hint="eastAsia" w:ascii="方正仿宋_GBK" w:eastAsia="方正仿宋_GBK" w:cs="宋体"/>
          <w:kern w:val="0"/>
          <w:sz w:val="32"/>
          <w:szCs w:val="32"/>
          <w:highlight w:val="none"/>
        </w:rPr>
        <w:t>主要用于交通机要文件交换、区外区内因公出行和专项业务检查等工作所需车辆的燃料费、维修费、过桥过路费、保险费等。</w:t>
      </w:r>
      <w:r>
        <w:rPr>
          <w:rFonts w:ascii="方正仿宋_GBK" w:hAnsi="方正仿宋_GBK" w:eastAsia="方正仿宋_GBK" w:cs="方正仿宋_GBK"/>
          <w:sz w:val="32"/>
          <w:szCs w:val="32"/>
          <w:shd w:val="clear" w:color="auto" w:fill="FFFFFF"/>
        </w:rPr>
        <w:t>费用支出较年初预算数减少82.84万元，下降34.9%</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较上年支出数减少47.52万元，下降23.5%，</w:t>
      </w:r>
      <w:r>
        <w:rPr>
          <w:rFonts w:hint="eastAsia" w:ascii="方正仿宋_GBK" w:eastAsia="方正仿宋_GBK" w:cs="宋体"/>
          <w:kern w:val="0"/>
          <w:sz w:val="32"/>
          <w:szCs w:val="32"/>
          <w:highlight w:val="none"/>
        </w:rPr>
        <w:t>主要原因是严格落实公车使用规定，公车运行维护成本下降。</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24.97</w:t>
      </w:r>
      <w:r>
        <w:rPr>
          <w:rFonts w:ascii="方正仿宋_GBK" w:hAnsi="方正仿宋_GBK" w:eastAsia="方正仿宋_GBK" w:cs="方正仿宋_GBK"/>
          <w:sz w:val="32"/>
          <w:szCs w:val="32"/>
          <w:shd w:val="clear" w:color="auto" w:fill="FFFFFF"/>
        </w:rPr>
        <w:t>万元，</w:t>
      </w:r>
      <w:r>
        <w:rPr>
          <w:rFonts w:ascii="方正仿宋_GBK" w:eastAsia="方正仿宋_GBK" w:cs="宋体"/>
          <w:sz w:val="32"/>
          <w:szCs w:val="32"/>
          <w:highlight w:val="none"/>
        </w:rPr>
        <w:t>主要用于接待其他区县相关单位到我</w:t>
      </w:r>
      <w:r>
        <w:rPr>
          <w:rFonts w:hint="eastAsia" w:ascii="方正仿宋_GBK" w:eastAsia="方正仿宋_GBK" w:cs="宋体"/>
          <w:sz w:val="32"/>
          <w:szCs w:val="32"/>
          <w:highlight w:val="none"/>
          <w:lang w:val="en-US" w:eastAsia="zh-CN"/>
        </w:rPr>
        <w:t>部门</w:t>
      </w:r>
      <w:r>
        <w:rPr>
          <w:rFonts w:ascii="方正仿宋_GBK" w:eastAsia="方正仿宋_GBK" w:cs="宋体"/>
          <w:sz w:val="32"/>
          <w:szCs w:val="32"/>
          <w:highlight w:val="none"/>
        </w:rPr>
        <w:t>学习调研交通工作、接受相关部门检查指导工作发生的接待支出。</w:t>
      </w:r>
      <w:r>
        <w:rPr>
          <w:rFonts w:ascii="方正仿宋_GBK" w:hAnsi="方正仿宋_GBK" w:eastAsia="方正仿宋_GBK" w:cs="方正仿宋_GBK"/>
          <w:sz w:val="32"/>
          <w:szCs w:val="32"/>
          <w:shd w:val="clear" w:color="auto" w:fill="FFFFFF"/>
        </w:rPr>
        <w:t>费用支出较年初预算数减少5.23万元，下降17.3%</w:t>
      </w:r>
      <w:r>
        <w:rPr>
          <w:rFonts w:hint="eastAsia" w:ascii="方正仿宋_GBK" w:hAnsi="方正仿宋_GBK" w:eastAsia="方正仿宋_GBK" w:cs="方正仿宋_GBK"/>
          <w:sz w:val="32"/>
          <w:szCs w:val="32"/>
          <w:shd w:val="clear" w:color="auto" w:fill="FFFFFF"/>
          <w:lang w:eastAsia="zh-CN"/>
        </w:rPr>
        <w:t>。较上年支出数减少6.56万元，下降20.8%，</w:t>
      </w:r>
      <w:bookmarkStart w:id="0" w:name="_GoBack"/>
      <w:bookmarkEnd w:id="0"/>
      <w:r>
        <w:rPr>
          <w:rFonts w:hint="eastAsia" w:ascii="方正仿宋_GBK" w:eastAsia="方正仿宋_GBK" w:cs="宋体"/>
          <w:kern w:val="0"/>
          <w:sz w:val="32"/>
          <w:szCs w:val="32"/>
          <w:highlight w:val="none"/>
        </w:rPr>
        <w:t>主要原因是认真贯彻落实中央八项规定和厉行节约的要求，严格执行接待费管理办法规定的开支范围和标准，严格控制陪餐人数。</w:t>
      </w:r>
    </w:p>
    <w:p>
      <w:pPr>
        <w:pStyle w:val="11"/>
        <w:autoSpaceDE w:val="0"/>
        <w:ind w:firstLine="643"/>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2024年度</w:t>
      </w:r>
      <w:r>
        <w:rPr>
          <w:rFonts w:ascii="方正仿宋_GBK" w:hAnsi="方正仿宋_GBK" w:eastAsia="方正仿宋_GBK" w:cs="方正仿宋_GBK"/>
          <w:sz w:val="32"/>
          <w:szCs w:val="32"/>
          <w:shd w:val="clear" w:color="auto" w:fill="FFFFFF"/>
        </w:rPr>
        <w:t>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61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183</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3589</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69.56</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2.54</w:t>
      </w:r>
      <w:r>
        <w:rPr>
          <w:rFonts w:ascii="方正仿宋_GBK" w:hAnsi="方正仿宋_GBK" w:eastAsia="方正仿宋_GBK" w:cs="方正仿宋_GBK"/>
          <w:sz w:val="32"/>
          <w:szCs w:val="32"/>
          <w:shd w:val="clear" w:color="auto" w:fill="FFFFFF"/>
        </w:rPr>
        <w:t>万元。</w:t>
      </w:r>
    </w:p>
    <w:p>
      <w:pPr>
        <w:pStyle w:val="11"/>
        <w:keepNext w:val="0"/>
        <w:keepLines w:val="0"/>
        <w:pageBreakBefore w:val="0"/>
        <w:widowControl/>
        <w:kinsoku/>
        <w:wordWrap/>
        <w:overflowPunct/>
        <w:topLinePunct w:val="0"/>
        <w:autoSpaceDE w:val="0"/>
        <w:autoSpaceDN/>
        <w:bidi w:val="0"/>
        <w:adjustRightInd/>
        <w:snapToGrid/>
        <w:ind w:firstLine="0" w:firstLineChars="0"/>
        <w:jc w:val="both"/>
        <w:textAlignment w:val="auto"/>
        <w:rPr>
          <w:rFonts w:hint="default" w:ascii="黑体" w:hAnsi="黑体" w:eastAsia="黑体" w:cs="黑体"/>
          <w:b/>
          <w:bCs/>
          <w:sz w:val="32"/>
          <w:szCs w:val="32"/>
          <w:shd w:val="clear" w:color="auto" w:fill="FFFFFF"/>
          <w:lang w:eastAsia="zh-CN"/>
        </w:rPr>
      </w:pPr>
      <w:r>
        <w:rPr>
          <w:rFonts w:hint="eastAsia" w:ascii="黑体" w:hAnsi="黑体" w:eastAsia="黑体" w:cs="黑体"/>
          <w:b/>
          <w:bCs/>
          <w:sz w:val="32"/>
          <w:szCs w:val="32"/>
          <w:shd w:val="clear" w:color="auto" w:fill="FFFFFF"/>
          <w:lang w:eastAsia="zh-CN"/>
        </w:rPr>
        <w:t>四、其他需要说明的事项</w:t>
      </w:r>
    </w:p>
    <w:p>
      <w:pPr>
        <w:pStyle w:val="11"/>
        <w:autoSpaceDE w:val="0"/>
        <w:ind w:firstLine="643"/>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14.92</w:t>
      </w:r>
      <w:r>
        <w:rPr>
          <w:rFonts w:ascii="方正仿宋_GBK" w:hAnsi="方正仿宋_GBK" w:eastAsia="方正仿宋_GBK" w:cs="方正仿宋_GBK"/>
          <w:sz w:val="32"/>
          <w:szCs w:val="32"/>
          <w:shd w:val="clear" w:color="auto" w:fill="FFFFFF"/>
        </w:rPr>
        <w:t>万元，与2023年度相比，增加5.88万元，增长65.0%，</w:t>
      </w:r>
      <w:r>
        <w:rPr>
          <w:rFonts w:hint="eastAsia"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rPr>
        <w:t>本年度开展了执法工作研讨会、非法营运信访专题会、部门工作交流会、企业座谈会等会议，导致会议费相应增加</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27.19</w:t>
      </w:r>
      <w:r>
        <w:rPr>
          <w:rFonts w:ascii="方正仿宋_GBK" w:hAnsi="方正仿宋_GBK" w:eastAsia="方正仿宋_GBK" w:cs="方正仿宋_GBK"/>
          <w:sz w:val="32"/>
          <w:szCs w:val="32"/>
          <w:shd w:val="clear" w:color="auto" w:fill="FFFFFF"/>
        </w:rPr>
        <w:t>万元，与2023年度相比，减少10.90万元，下降28.6%，</w:t>
      </w:r>
      <w:r>
        <w:rPr>
          <w:rFonts w:hint="eastAsia" w:ascii="方正仿宋_GBK" w:hAnsi="方正仿宋_GBK" w:eastAsia="方正仿宋_GBK" w:cs="方正仿宋_GBK"/>
          <w:sz w:val="32"/>
          <w:szCs w:val="32"/>
          <w:shd w:val="clear" w:color="auto" w:fill="FFFFFF"/>
        </w:rPr>
        <w:t>厉行节约，相应培训费减少。</w:t>
      </w:r>
    </w:p>
    <w:p>
      <w:pPr>
        <w:pStyle w:val="11"/>
        <w:autoSpaceDE w:val="0"/>
        <w:ind w:firstLine="643"/>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shd w:val="clear" w:color="auto" w:fill="FFFFFF"/>
          <w:lang w:eastAsia="zh-CN"/>
        </w:rPr>
        <w:t>2024年度</w:t>
      </w:r>
      <w:r>
        <w:rPr>
          <w:rFonts w:ascii="方正仿宋_GBK" w:hAnsi="方正仿宋_GBK" w:eastAsia="方正仿宋_GBK" w:cs="方正仿宋_GBK"/>
          <w:sz w:val="32"/>
          <w:szCs w:val="32"/>
          <w:shd w:val="clear" w:color="auto" w:fill="FFFFFF"/>
        </w:rPr>
        <w:t>本部门机关运行经费支出</w:t>
      </w:r>
      <w:r>
        <w:rPr>
          <w:rFonts w:ascii="方正仿宋_GBK" w:hAnsi="方正仿宋_GBK" w:eastAsia="方正仿宋_GBK" w:cs="方正仿宋_GBK"/>
          <w:sz w:val="32"/>
          <w:szCs w:val="32"/>
        </w:rPr>
        <w:t>304.12</w:t>
      </w:r>
      <w:r>
        <w:rPr>
          <w:rFonts w:ascii="方正仿宋_GBK" w:hAnsi="方正仿宋_GBK" w:eastAsia="方正仿宋_GBK" w:cs="方正仿宋_GBK"/>
          <w:sz w:val="32"/>
          <w:szCs w:val="32"/>
          <w:shd w:val="clear" w:color="auto" w:fill="FFFFFF"/>
        </w:rPr>
        <w:t>万元，机关运行经费</w:t>
      </w:r>
      <w:r>
        <w:rPr>
          <w:rFonts w:hint="eastAsia" w:ascii="方正仿宋_GBK" w:eastAsia="方正仿宋_GBK" w:cs="宋体"/>
          <w:kern w:val="0"/>
          <w:sz w:val="32"/>
          <w:szCs w:val="32"/>
          <w:highlight w:val="none"/>
        </w:rPr>
        <w:t>主要用于开支办公费、差旅费、水电费、培训费、公务用车运行维护费等</w:t>
      </w:r>
      <w:r>
        <w:rPr>
          <w:rFonts w:hint="eastAsia" w:ascii="方正仿宋_GBK" w:eastAsia="方正仿宋_GBK" w:cs="宋体"/>
          <w:kern w:val="0"/>
          <w:sz w:val="32"/>
          <w:szCs w:val="32"/>
          <w:highlight w:val="none"/>
          <w:lang w:eastAsia="zh-CN"/>
        </w:rPr>
        <w:t>。</w:t>
      </w:r>
      <w:r>
        <w:rPr>
          <w:rFonts w:ascii="方正仿宋_GBK" w:hAnsi="方正仿宋_GBK" w:eastAsia="方正仿宋_GBK" w:cs="方正仿宋_GBK"/>
          <w:sz w:val="32"/>
          <w:szCs w:val="32"/>
          <w:shd w:val="clear" w:color="auto" w:fill="FFFFFF"/>
        </w:rPr>
        <w:t>机关运行经费较上年支出数增加48.86万元，增长45.1%，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本年度正常增人增资等，用于保障部门正常运转的各项商品服务支出等费用增加，相应机关运行经费较上年有所增加。</w:t>
      </w:r>
    </w:p>
    <w:p>
      <w:pPr>
        <w:pStyle w:val="11"/>
        <w:autoSpaceDE w:val="0"/>
        <w:ind w:firstLine="643"/>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年12月31日，本部门共有车辆</w:t>
      </w:r>
      <w:r>
        <w:rPr>
          <w:rFonts w:ascii="方正仿宋_GBK" w:hAnsi="方正仿宋_GBK" w:eastAsia="方正仿宋_GBK" w:cs="方正仿宋_GBK"/>
          <w:sz w:val="32"/>
          <w:szCs w:val="32"/>
        </w:rPr>
        <w:t>86</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44</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42</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2024年度</w:t>
      </w:r>
      <w:r>
        <w:rPr>
          <w:rFonts w:ascii="方正仿宋_GBK" w:hAnsi="方正仿宋_GBK" w:eastAsia="方正仿宋_GBK" w:cs="方正仿宋_GBK"/>
          <w:sz w:val="32"/>
          <w:szCs w:val="32"/>
          <w:shd w:val="clear" w:color="auto" w:fill="FFFFFF"/>
        </w:rPr>
        <w:t>本部门政府采购支出总额</w:t>
      </w:r>
      <w:r>
        <w:rPr>
          <w:rFonts w:ascii="方正仿宋_GBK" w:hAnsi="方正仿宋_GBK" w:eastAsia="方正仿宋_GBK" w:cs="方正仿宋_GBK"/>
          <w:sz w:val="32"/>
          <w:szCs w:val="32"/>
        </w:rPr>
        <w:t>12991.87</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377.89</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8282.00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4331.97</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12990.27万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99.99</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3932.85</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30.27</w:t>
      </w:r>
      <w:r>
        <w:rPr>
          <w:rFonts w:ascii="方正仿宋_GBK" w:hAnsi="方正仿宋_GBK" w:eastAsia="方正仿宋_GBK" w:cs="方正仿宋_GBK"/>
          <w:sz w:val="32"/>
          <w:szCs w:val="32"/>
          <w:shd w:val="clear" w:color="auto" w:fill="FFFFFF"/>
        </w:rPr>
        <w:t>%。</w:t>
      </w:r>
      <w:r>
        <w:rPr>
          <w:rFonts w:hint="eastAsia" w:ascii="方正仿宋_GBK" w:eastAsia="方正仿宋_GBK"/>
          <w:sz w:val="32"/>
          <w:szCs w:val="32"/>
        </w:rPr>
        <w:t>主要用于采购交通基础设施建设领域</w:t>
      </w:r>
      <w:r>
        <w:rPr>
          <w:rFonts w:hint="eastAsia" w:ascii="方正仿宋_GBK" w:eastAsia="方正仿宋_GBK"/>
          <w:sz w:val="32"/>
          <w:szCs w:val="32"/>
          <w:lang w:val="en-US" w:eastAsia="zh-CN"/>
        </w:rPr>
        <w:t>工程和</w:t>
      </w:r>
      <w:r>
        <w:rPr>
          <w:rFonts w:hint="eastAsia" w:ascii="方正仿宋_GBK" w:eastAsia="方正仿宋_GBK"/>
          <w:sz w:val="32"/>
          <w:szCs w:val="32"/>
        </w:rPr>
        <w:t>服务</w:t>
      </w:r>
      <w:r>
        <w:rPr>
          <w:rFonts w:hint="eastAsia" w:ascii="方正仿宋_GBK" w:eastAsia="方正仿宋_GBK"/>
          <w:sz w:val="32"/>
          <w:szCs w:val="32"/>
          <w:lang w:val="en-US" w:eastAsia="zh-CN"/>
        </w:rPr>
        <w:t>支出</w:t>
      </w:r>
      <w:r>
        <w:rPr>
          <w:rFonts w:hint="eastAsia" w:ascii="方正仿宋_GBK" w:eastAsia="方正仿宋_GBK"/>
          <w:sz w:val="32"/>
          <w:szCs w:val="32"/>
          <w:lang w:eastAsia="zh-CN"/>
        </w:rPr>
        <w:t>。</w:t>
      </w:r>
    </w:p>
    <w:p>
      <w:pPr>
        <w:pStyle w:val="11"/>
        <w:keepNext w:val="0"/>
        <w:keepLines w:val="0"/>
        <w:pageBreakBefore w:val="0"/>
        <w:widowControl/>
        <w:kinsoku/>
        <w:wordWrap/>
        <w:overflowPunct/>
        <w:topLinePunct w:val="0"/>
        <w:autoSpaceDE w:val="0"/>
        <w:autoSpaceDN/>
        <w:bidi w:val="0"/>
        <w:adjustRightInd/>
        <w:snapToGrid/>
        <w:ind w:firstLine="0" w:firstLineChars="0"/>
        <w:jc w:val="both"/>
        <w:textAlignment w:val="auto"/>
        <w:rPr>
          <w:rFonts w:hint="eastAsia" w:ascii="黑体" w:hAnsi="黑体" w:eastAsia="黑体" w:cs="黑体"/>
          <w:b/>
          <w:bCs/>
          <w:sz w:val="32"/>
          <w:szCs w:val="32"/>
          <w:shd w:val="clear" w:color="auto" w:fill="FFFFFF"/>
        </w:rPr>
      </w:pPr>
      <w:r>
        <w:rPr>
          <w:rFonts w:hint="eastAsia" w:ascii="黑体" w:hAnsi="黑体" w:eastAsia="黑体" w:cs="黑体"/>
          <w:b/>
          <w:bCs/>
          <w:sz w:val="32"/>
          <w:szCs w:val="32"/>
          <w:shd w:val="clear" w:color="auto" w:fill="FFFFFF"/>
          <w:lang w:eastAsia="zh-CN"/>
        </w:rPr>
        <w:t>五、</w:t>
      </w:r>
      <w:r>
        <w:rPr>
          <w:rFonts w:hint="eastAsia" w:ascii="黑体" w:hAnsi="黑体" w:eastAsia="黑体" w:cs="黑体"/>
          <w:b/>
          <w:bCs/>
          <w:sz w:val="32"/>
          <w:szCs w:val="32"/>
          <w:shd w:val="clear" w:color="auto" w:fill="FFFFFF"/>
        </w:rPr>
        <w:t>预算绩效管理情况说明</w:t>
      </w:r>
    </w:p>
    <w:p>
      <w:pPr>
        <w:pStyle w:val="11"/>
        <w:autoSpaceDE w:val="0"/>
        <w:ind w:firstLine="643"/>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pPr>
        <w:pStyle w:val="12"/>
        <w:autoSpaceDE w:val="0"/>
        <w:spacing w:before="0" w:beforeAutospacing="0" w:line="600" w:lineRule="exact"/>
        <w:ind w:firstLine="640"/>
        <w:jc w:val="both"/>
        <w:rPr>
          <w:rFonts w:eastAsia="方正仿宋_GBK" w:cs="宋体"/>
          <w:sz w:val="32"/>
          <w:szCs w:val="32"/>
          <w:highlight w:val="yellow"/>
        </w:rPr>
      </w:pPr>
      <w:r>
        <w:rPr>
          <w:rFonts w:hint="eastAsia" w:ascii="方正仿宋_GBK" w:hAnsi="方正仿宋_GBK" w:eastAsia="方正仿宋_GBK" w:cs="方正仿宋_GBK"/>
          <w:sz w:val="32"/>
          <w:szCs w:val="32"/>
          <w:shd w:val="clear" w:color="auto" w:fill="FFFFFF"/>
        </w:rPr>
        <w:t>根据预算绩效管理要求，我部门对部门整体和</w:t>
      </w:r>
      <w:r>
        <w:rPr>
          <w:rFonts w:hint="eastAsia" w:ascii="方正仿宋_GBK" w:hAnsi="方正仿宋_GBK" w:eastAsia="方正仿宋_GBK" w:cs="方正仿宋_GBK"/>
          <w:sz w:val="32"/>
          <w:szCs w:val="32"/>
          <w:shd w:val="clear" w:color="auto" w:fill="FFFFFF"/>
          <w:lang w:val="en-US" w:eastAsia="zh-CN"/>
        </w:rPr>
        <w:t>92</w:t>
      </w:r>
      <w:r>
        <w:rPr>
          <w:rFonts w:hint="eastAsia" w:ascii="方正仿宋_GBK" w:hAnsi="方正仿宋_GBK" w:eastAsia="方正仿宋_GBK" w:cs="方正仿宋_GBK"/>
          <w:sz w:val="32"/>
          <w:szCs w:val="32"/>
          <w:shd w:val="clear" w:color="auto" w:fill="FFFFFF"/>
        </w:rPr>
        <w:t>个项目开展了绩效评价。</w:t>
      </w:r>
    </w:p>
    <w:p>
      <w:pPr>
        <w:pStyle w:val="12"/>
        <w:autoSpaceDE w:val="0"/>
        <w:spacing w:before="0" w:beforeAutospacing="0" w:line="600" w:lineRule="exact"/>
        <w:ind w:firstLine="560"/>
        <w:jc w:val="both"/>
        <w:rPr>
          <w:rFonts w:ascii="方正仿宋_GBK" w:hAnsi="方正仿宋_GBK" w:eastAsia="方正仿宋_GBK" w:cs="方正仿宋_GBK"/>
          <w:sz w:val="32"/>
          <w:szCs w:val="32"/>
          <w:highlight w:val="yellow"/>
          <w:shd w:val="clear" w:color="auto" w:fill="FFFFFF"/>
        </w:rPr>
      </w:pPr>
      <w:r>
        <w:rPr>
          <w:rFonts w:hint="eastAsia" w:ascii="方正仿宋_GBK" w:hAnsi="方正仿宋_GBK" w:eastAsia="方正仿宋_GBK" w:cs="方正仿宋_GBK"/>
          <w:sz w:val="28"/>
          <w:szCs w:val="28"/>
          <w:shd w:val="clear" w:color="auto" w:fill="FFFFFF"/>
        </w:rPr>
        <w:t>1.部门整体绩效自评表</w:t>
      </w:r>
    </w:p>
    <w:tbl>
      <w:tblPr>
        <w:tblStyle w:val="9"/>
        <w:tblW w:w="7952" w:type="dxa"/>
        <w:tblInd w:w="0" w:type="dxa"/>
        <w:tblLayout w:type="fixed"/>
        <w:tblCellMar>
          <w:top w:w="0" w:type="dxa"/>
          <w:left w:w="0" w:type="dxa"/>
          <w:bottom w:w="0" w:type="dxa"/>
          <w:right w:w="0" w:type="dxa"/>
        </w:tblCellMar>
      </w:tblPr>
      <w:tblGrid>
        <w:gridCol w:w="1125"/>
        <w:gridCol w:w="597"/>
        <w:gridCol w:w="602"/>
        <w:gridCol w:w="848"/>
        <w:gridCol w:w="546"/>
        <w:gridCol w:w="1"/>
        <w:gridCol w:w="124"/>
        <w:gridCol w:w="546"/>
        <w:gridCol w:w="588"/>
        <w:gridCol w:w="122"/>
        <w:gridCol w:w="950"/>
        <w:gridCol w:w="602"/>
        <w:gridCol w:w="647"/>
        <w:gridCol w:w="8"/>
        <w:gridCol w:w="646"/>
      </w:tblGrid>
      <w:tr>
        <w:tblPrEx>
          <w:tblLayout w:type="fixed"/>
        </w:tblPrEx>
        <w:trPr>
          <w:trHeight w:val="337" w:hRule="atLeast"/>
        </w:trPr>
        <w:tc>
          <w:tcPr>
            <w:tcW w:w="7952"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微软雅黑" w:hAnsi="微软雅黑" w:eastAsia="微软雅黑" w:cs="微软雅黑"/>
                <w:b/>
                <w:color w:val="000000"/>
                <w:sz w:val="12"/>
                <w:szCs w:val="12"/>
              </w:rPr>
            </w:pPr>
            <w:r>
              <w:rPr>
                <w:rFonts w:hint="eastAsia" w:ascii="方正仿宋_GBK" w:hAnsi="方正仿宋_GBK" w:eastAsia="方正仿宋_GBK" w:cs="方正仿宋_GBK"/>
                <w:b/>
                <w:color w:val="000000"/>
                <w:sz w:val="12"/>
                <w:szCs w:val="12"/>
                <w:lang w:val="en-US" w:eastAsia="zh-CN"/>
              </w:rPr>
              <w:t>重庆市涪陵区交通运输委员会</w:t>
            </w:r>
            <w:r>
              <w:rPr>
                <w:rFonts w:ascii="方正仿宋_GBK" w:hAnsi="方正仿宋_GBK" w:eastAsia="方正仿宋_GBK" w:cs="方正仿宋_GBK"/>
                <w:b/>
                <w:color w:val="000000"/>
                <w:sz w:val="12"/>
                <w:szCs w:val="12"/>
              </w:rPr>
              <w:t>202</w:t>
            </w:r>
            <w:r>
              <w:rPr>
                <w:rFonts w:hint="eastAsia" w:ascii="方正仿宋_GBK" w:hAnsi="方正仿宋_GBK" w:eastAsia="方正仿宋_GBK" w:cs="方正仿宋_GBK"/>
                <w:b/>
                <w:color w:val="000000"/>
                <w:sz w:val="12"/>
                <w:szCs w:val="12"/>
                <w:lang w:val="en-US" w:eastAsia="zh-CN"/>
              </w:rPr>
              <w:t>4</w:t>
            </w:r>
            <w:r>
              <w:rPr>
                <w:rFonts w:ascii="方正仿宋_GBK" w:hAnsi="方正仿宋_GBK" w:eastAsia="方正仿宋_GBK" w:cs="方正仿宋_GBK"/>
                <w:b/>
                <w:color w:val="000000"/>
                <w:sz w:val="12"/>
                <w:szCs w:val="12"/>
              </w:rPr>
              <w:t>年度部门整体绩效自评表</w:t>
            </w:r>
          </w:p>
        </w:tc>
      </w:tr>
      <w:tr>
        <w:tblPrEx>
          <w:tblLayout w:type="fixed"/>
        </w:tblPrEx>
        <w:trPr>
          <w:trHeight w:val="337"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方正仿宋_GBK" w:hAnsi="方正仿宋_GBK" w:eastAsia="方正仿宋_GBK" w:cs="方正仿宋_GBK"/>
                <w:b/>
                <w:color w:val="000000"/>
                <w:sz w:val="12"/>
                <w:szCs w:val="12"/>
              </w:rPr>
            </w:pPr>
            <w:r>
              <w:rPr>
                <w:rFonts w:ascii="方正仿宋_GBK" w:hAnsi="方正仿宋_GBK" w:eastAsia="方正仿宋_GBK" w:cs="方正仿宋_GBK"/>
                <w:b/>
                <w:color w:val="000000"/>
                <w:sz w:val="12"/>
                <w:szCs w:val="12"/>
              </w:rPr>
              <w:t>项目主管部门：</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方正仿宋_GBK" w:hAnsi="方正仿宋_GBK" w:eastAsia="方正仿宋_GBK" w:cs="方正仿宋_GBK"/>
                <w:color w:val="000000"/>
                <w:sz w:val="12"/>
                <w:szCs w:val="12"/>
                <w:lang w:val="en-US" w:eastAsia="zh-CN"/>
              </w:rPr>
            </w:pPr>
            <w:r>
              <w:rPr>
                <w:rFonts w:hint="eastAsia" w:ascii="方正仿宋_GBK" w:hAnsi="方正仿宋_GBK" w:eastAsia="方正仿宋_GBK" w:cs="方正仿宋_GBK"/>
                <w:color w:val="000000"/>
                <w:sz w:val="12"/>
                <w:szCs w:val="12"/>
                <w:lang w:val="en-US" w:eastAsia="zh-CN"/>
              </w:rPr>
              <w:t>重庆市涪陵区交通运输委员会</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方正仿宋_GBK" w:hAnsi="方正仿宋_GBK" w:eastAsia="方正仿宋_GBK" w:cs="方正仿宋_GBK"/>
                <w:b/>
                <w:color w:val="000000"/>
                <w:sz w:val="12"/>
                <w:szCs w:val="12"/>
              </w:rPr>
            </w:pPr>
            <w:r>
              <w:rPr>
                <w:rFonts w:ascii="方正仿宋_GBK" w:hAnsi="方正仿宋_GBK" w:eastAsia="方正仿宋_GBK" w:cs="方正仿宋_GBK"/>
                <w:b/>
                <w:color w:val="000000"/>
                <w:sz w:val="12"/>
                <w:szCs w:val="12"/>
              </w:rPr>
              <w:t>执行率得分</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方正仿宋_GBK" w:hAnsi="方正仿宋_GBK" w:eastAsia="方正仿宋_GBK" w:cs="方正仿宋_GBK"/>
                <w:color w:val="000000"/>
                <w:sz w:val="12"/>
                <w:szCs w:val="12"/>
                <w:lang w:val="en-US" w:eastAsia="zh-CN"/>
              </w:rPr>
            </w:pPr>
            <w:r>
              <w:rPr>
                <w:rFonts w:hint="eastAsia" w:ascii="方正仿宋_GBK" w:hAnsi="方正仿宋_GBK" w:eastAsia="方正仿宋_GBK" w:cs="方正仿宋_GBK"/>
                <w:color w:val="000000"/>
                <w:sz w:val="12"/>
                <w:szCs w:val="12"/>
                <w:lang w:val="en-US" w:eastAsia="zh-CN"/>
              </w:rPr>
              <w:t>10</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方正仿宋_GBK" w:hAnsi="方正仿宋_GBK" w:eastAsia="方正仿宋_GBK" w:cs="方正仿宋_GBK"/>
                <w:b/>
                <w:color w:val="000000"/>
                <w:sz w:val="12"/>
                <w:szCs w:val="12"/>
              </w:rPr>
            </w:pPr>
            <w:r>
              <w:rPr>
                <w:rFonts w:ascii="方正仿宋_GBK" w:hAnsi="方正仿宋_GBK" w:eastAsia="方正仿宋_GBK" w:cs="方正仿宋_GBK"/>
                <w:b/>
                <w:color w:val="000000"/>
                <w:sz w:val="12"/>
                <w:szCs w:val="12"/>
              </w:rPr>
              <w:t>自评总分（分）：</w:t>
            </w:r>
          </w:p>
        </w:tc>
        <w:tc>
          <w:tcPr>
            <w:tcW w:w="190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eastAsia="宋体" w:cs="宋体"/>
                <w:color w:val="000000"/>
                <w:sz w:val="12"/>
                <w:szCs w:val="12"/>
                <w:lang w:val="en-US" w:eastAsia="zh-CN"/>
              </w:rPr>
            </w:pPr>
            <w:r>
              <w:rPr>
                <w:rFonts w:hint="eastAsia" w:cs="宋体"/>
                <w:color w:val="000000"/>
                <w:sz w:val="12"/>
                <w:szCs w:val="12"/>
                <w:lang w:val="en-US" w:eastAsia="zh-CN"/>
              </w:rPr>
              <w:t>95.71</w:t>
            </w:r>
          </w:p>
        </w:tc>
      </w:tr>
      <w:tr>
        <w:tblPrEx>
          <w:tblLayout w:type="fixed"/>
        </w:tblPrEx>
        <w:trPr>
          <w:trHeight w:val="337" w:hRule="atLeast"/>
        </w:trPr>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方正仿宋_GBK" w:hAnsi="方正仿宋_GBK" w:eastAsia="方正仿宋_GBK" w:cs="方正仿宋_GBK"/>
                <w:b/>
                <w:color w:val="000000"/>
                <w:sz w:val="12"/>
                <w:szCs w:val="12"/>
              </w:rPr>
            </w:pPr>
            <w:r>
              <w:rPr>
                <w:rFonts w:ascii="方正仿宋_GBK" w:hAnsi="方正仿宋_GBK" w:eastAsia="方正仿宋_GBK" w:cs="方正仿宋_GBK"/>
                <w:b/>
                <w:color w:val="000000"/>
                <w:sz w:val="12"/>
                <w:szCs w:val="12"/>
              </w:rPr>
              <w:t>当年绩效目标</w:t>
            </w:r>
          </w:p>
        </w:tc>
        <w:tc>
          <w:tcPr>
            <w:tcW w:w="2047" w:type="dxa"/>
            <w:gridSpan w:val="3"/>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both"/>
              <w:textAlignment w:val="center"/>
              <w:rPr>
                <w:rFonts w:hint="default" w:ascii="方正仿宋_GBK" w:hAnsi="方正仿宋_GBK" w:eastAsia="方正仿宋_GBK" w:cs="方正仿宋_GBK"/>
                <w:b/>
                <w:color w:val="000000"/>
                <w:sz w:val="12"/>
                <w:szCs w:val="12"/>
              </w:rPr>
            </w:pPr>
            <w:r>
              <w:rPr>
                <w:rFonts w:ascii="方正仿宋_GBK" w:hAnsi="方正仿宋_GBK" w:eastAsia="方正仿宋_GBK" w:cs="方正仿宋_GBK"/>
                <w:b/>
                <w:color w:val="000000"/>
                <w:sz w:val="12"/>
                <w:szCs w:val="12"/>
              </w:rPr>
              <w:t>年初绩效目标</w:t>
            </w:r>
          </w:p>
        </w:tc>
        <w:tc>
          <w:tcPr>
            <w:tcW w:w="1927"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both"/>
              <w:textAlignment w:val="center"/>
              <w:rPr>
                <w:rFonts w:hint="default" w:ascii="方正仿宋_GBK" w:hAnsi="方正仿宋_GBK" w:eastAsia="方正仿宋_GBK" w:cs="方正仿宋_GBK"/>
                <w:b/>
                <w:color w:val="000000"/>
                <w:sz w:val="12"/>
                <w:szCs w:val="12"/>
              </w:rPr>
            </w:pPr>
            <w:r>
              <w:rPr>
                <w:rFonts w:ascii="方正仿宋_GBK" w:hAnsi="方正仿宋_GBK" w:eastAsia="方正仿宋_GBK" w:cs="方正仿宋_GBK"/>
                <w:b/>
                <w:color w:val="000000"/>
                <w:sz w:val="12"/>
                <w:szCs w:val="12"/>
              </w:rPr>
              <w:t>全年（调整）绩效目标</w:t>
            </w:r>
          </w:p>
        </w:tc>
        <w:tc>
          <w:tcPr>
            <w:tcW w:w="285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both"/>
              <w:textAlignment w:val="center"/>
              <w:rPr>
                <w:rFonts w:hint="default" w:ascii="方正仿宋_GBK" w:hAnsi="方正仿宋_GBK" w:eastAsia="方正仿宋_GBK" w:cs="方正仿宋_GBK"/>
                <w:b/>
                <w:color w:val="000000"/>
                <w:sz w:val="12"/>
                <w:szCs w:val="12"/>
              </w:rPr>
            </w:pPr>
            <w:r>
              <w:rPr>
                <w:rFonts w:ascii="方正仿宋_GBK" w:hAnsi="方正仿宋_GBK" w:eastAsia="方正仿宋_GBK" w:cs="方正仿宋_GBK"/>
                <w:b/>
                <w:color w:val="000000"/>
                <w:sz w:val="12"/>
                <w:szCs w:val="12"/>
              </w:rPr>
              <w:t>全年目标实际完成情况</w:t>
            </w:r>
          </w:p>
        </w:tc>
      </w:tr>
      <w:tr>
        <w:tblPrEx>
          <w:tblLayout w:type="fixed"/>
        </w:tblPrEx>
        <w:trPr>
          <w:trHeight w:val="1503" w:hRule="atLeast"/>
        </w:trPr>
        <w:tc>
          <w:tcPr>
            <w:tcW w:w="1125" w:type="dxa"/>
            <w:vMerge w:val="continue"/>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both"/>
              <w:rPr>
                <w:rFonts w:hint="default" w:cs="宋体"/>
                <w:b/>
                <w:color w:val="000000"/>
                <w:sz w:val="12"/>
                <w:szCs w:val="12"/>
              </w:rPr>
            </w:pPr>
          </w:p>
        </w:tc>
        <w:tc>
          <w:tcPr>
            <w:tcW w:w="204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both"/>
              <w:rPr>
                <w:rFonts w:hint="default" w:cs="宋体"/>
                <w:color w:val="000000"/>
                <w:sz w:val="12"/>
                <w:szCs w:val="12"/>
              </w:rPr>
            </w:pPr>
            <w:r>
              <w:rPr>
                <w:rFonts w:hint="default" w:cs="宋体"/>
                <w:color w:val="000000"/>
                <w:sz w:val="12"/>
                <w:szCs w:val="12"/>
                <w:lang w:val="en-US" w:eastAsia="zh-CN"/>
              </w:rPr>
              <w:t xml:space="preserve"> 完成国省县乡道改造；开展渝万高铁石沱公铁两用长江大桥、渝万高铁支线涪陵至武隆段和涪陵军民合用机场等重大交通项目工作；对全区国省县道桥梁和隧道进行检测、维护等工作，完成黄旗大桥危桥改造，天池隧道抢险工程全面完工，提高公路桥梁、隧道通行条件保障；保障公交、出租车辆安全运行、规范交通综合执法；达到改善和提升我区公路交通基础设施条件，让车辆和行人安全、舒适、便捷通行。</w:t>
            </w:r>
          </w:p>
        </w:tc>
        <w:tc>
          <w:tcPr>
            <w:tcW w:w="1927"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both"/>
              <w:rPr>
                <w:rFonts w:hint="default" w:cs="宋体"/>
                <w:color w:val="000000"/>
                <w:sz w:val="12"/>
                <w:szCs w:val="12"/>
              </w:rPr>
            </w:pPr>
          </w:p>
        </w:tc>
        <w:tc>
          <w:tcPr>
            <w:tcW w:w="285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both"/>
              <w:rPr>
                <w:rFonts w:hint="eastAsia" w:eastAsia="宋体" w:cs="宋体"/>
                <w:color w:val="000000"/>
                <w:sz w:val="12"/>
                <w:szCs w:val="12"/>
                <w:lang w:eastAsia="zh-CN"/>
              </w:rPr>
            </w:pPr>
            <w:r>
              <w:rPr>
                <w:rFonts w:hint="default" w:cs="宋体"/>
                <w:color w:val="000000"/>
                <w:sz w:val="12"/>
                <w:szCs w:val="12"/>
                <w:lang w:val="en-US" w:eastAsia="zh-CN"/>
              </w:rPr>
              <w:t>全年完成交通固定资产投资21.3亿元；完成国省县乡道改造；开展渝万高铁石沱公铁两用长江大桥、渝万高铁支线涪陵至武隆段和涪陵军民合用机场等重大交通项目工作；对全区国省县道桥梁和隧道进行检测、维护等工作，完成黄旗大桥危桥改造，天池隧道抢险工程全面完工，提高公路桥梁、隧道通行条件保障；保障公交、出租车辆安全运行、规范交通综合执法；达到改善和提升我区公路交通基础设施条件，让车辆和行人安全、舒适、便捷通行。</w:t>
            </w:r>
          </w:p>
        </w:tc>
      </w:tr>
      <w:tr>
        <w:tblPrEx>
          <w:tblLayout w:type="fixed"/>
        </w:tblPrEx>
        <w:trPr>
          <w:trHeight w:val="337" w:hRule="atLeast"/>
        </w:trPr>
        <w:tc>
          <w:tcPr>
            <w:tcW w:w="112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textDirection w:val="tbRlV"/>
            <w:vAlign w:val="center"/>
          </w:tcPr>
          <w:p>
            <w:pPr>
              <w:jc w:val="both"/>
              <w:textAlignment w:val="center"/>
              <w:rPr>
                <w:rFonts w:hint="default" w:cs="宋体"/>
                <w:b/>
                <w:color w:val="000000"/>
                <w:sz w:val="12"/>
                <w:szCs w:val="12"/>
              </w:rPr>
            </w:pPr>
            <w:r>
              <w:rPr>
                <w:rFonts w:ascii="方正仿宋_GBK" w:hAnsi="方正仿宋_GBK" w:eastAsia="方正仿宋_GBK" w:cs="方正仿宋_GBK"/>
                <w:b/>
                <w:color w:val="000000"/>
                <w:sz w:val="12"/>
                <w:szCs w:val="12"/>
              </w:rPr>
              <w:t>绩效指标</w:t>
            </w:r>
          </w:p>
        </w:tc>
        <w:tc>
          <w:tcPr>
            <w:tcW w:w="597"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方正仿宋_GBK" w:hAnsi="方正仿宋_GBK" w:eastAsia="方正仿宋_GBK" w:cs="方正仿宋_GBK"/>
                <w:b/>
                <w:color w:val="000000"/>
                <w:sz w:val="12"/>
                <w:szCs w:val="12"/>
              </w:rPr>
            </w:pPr>
            <w:r>
              <w:rPr>
                <w:rFonts w:ascii="方正仿宋_GBK" w:hAnsi="方正仿宋_GBK" w:eastAsia="方正仿宋_GBK" w:cs="方正仿宋_GBK"/>
                <w:b/>
                <w:color w:val="000000"/>
                <w:sz w:val="12"/>
                <w:szCs w:val="12"/>
              </w:rPr>
              <w:t>指标名称</w:t>
            </w:r>
          </w:p>
        </w:tc>
        <w:tc>
          <w:tcPr>
            <w:tcW w:w="60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方正仿宋_GBK" w:hAnsi="方正仿宋_GBK" w:eastAsia="方正仿宋_GBK" w:cs="方正仿宋_GBK"/>
                <w:b/>
                <w:color w:val="000000"/>
                <w:sz w:val="12"/>
                <w:szCs w:val="12"/>
              </w:rPr>
            </w:pPr>
            <w:r>
              <w:rPr>
                <w:rFonts w:ascii="方正仿宋_GBK" w:hAnsi="方正仿宋_GBK" w:eastAsia="方正仿宋_GBK" w:cs="方正仿宋_GBK"/>
                <w:b/>
                <w:color w:val="000000"/>
                <w:sz w:val="12"/>
                <w:szCs w:val="12"/>
              </w:rPr>
              <w:t>计量单位</w:t>
            </w:r>
          </w:p>
        </w:tc>
        <w:tc>
          <w:tcPr>
            <w:tcW w:w="84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方正仿宋_GBK" w:hAnsi="方正仿宋_GBK" w:eastAsia="方正仿宋_GBK" w:cs="方正仿宋_GBK"/>
                <w:b/>
                <w:color w:val="000000"/>
                <w:sz w:val="12"/>
                <w:szCs w:val="12"/>
              </w:rPr>
            </w:pPr>
            <w:r>
              <w:rPr>
                <w:rFonts w:ascii="方正仿宋_GBK" w:hAnsi="方正仿宋_GBK" w:eastAsia="方正仿宋_GBK" w:cs="方正仿宋_GBK"/>
                <w:b/>
                <w:color w:val="000000"/>
                <w:sz w:val="12"/>
                <w:szCs w:val="12"/>
              </w:rPr>
              <w:t>指标性质</w:t>
            </w:r>
          </w:p>
        </w:tc>
        <w:tc>
          <w:tcPr>
            <w:tcW w:w="547"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方正仿宋_GBK" w:hAnsi="方正仿宋_GBK" w:eastAsia="方正仿宋_GBK" w:cs="方正仿宋_GBK"/>
                <w:b/>
                <w:color w:val="000000"/>
                <w:sz w:val="12"/>
                <w:szCs w:val="12"/>
              </w:rPr>
            </w:pPr>
            <w:r>
              <w:rPr>
                <w:rFonts w:ascii="方正仿宋_GBK" w:hAnsi="方正仿宋_GBK" w:eastAsia="方正仿宋_GBK" w:cs="方正仿宋_GBK"/>
                <w:b/>
                <w:color w:val="000000"/>
                <w:sz w:val="12"/>
                <w:szCs w:val="12"/>
              </w:rPr>
              <w:t>指标值</w:t>
            </w:r>
          </w:p>
        </w:tc>
        <w:tc>
          <w:tcPr>
            <w:tcW w:w="670"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方正仿宋_GBK" w:hAnsi="方正仿宋_GBK" w:eastAsia="方正仿宋_GBK" w:cs="方正仿宋_GBK"/>
                <w:b/>
                <w:color w:val="000000"/>
                <w:sz w:val="12"/>
                <w:szCs w:val="12"/>
              </w:rPr>
            </w:pPr>
            <w:r>
              <w:rPr>
                <w:rFonts w:ascii="方正仿宋_GBK" w:hAnsi="方正仿宋_GBK" w:eastAsia="方正仿宋_GBK" w:cs="方正仿宋_GBK"/>
                <w:b/>
                <w:color w:val="000000"/>
                <w:sz w:val="12"/>
                <w:szCs w:val="12"/>
              </w:rPr>
              <w:t>全年完成值</w:t>
            </w:r>
          </w:p>
        </w:tc>
        <w:tc>
          <w:tcPr>
            <w:tcW w:w="710"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方正仿宋_GBK" w:hAnsi="方正仿宋_GBK" w:eastAsia="方正仿宋_GBK" w:cs="方正仿宋_GBK"/>
                <w:b/>
                <w:color w:val="000000"/>
                <w:sz w:val="12"/>
                <w:szCs w:val="12"/>
              </w:rPr>
            </w:pPr>
            <w:r>
              <w:rPr>
                <w:rFonts w:ascii="方正仿宋_GBK" w:hAnsi="方正仿宋_GBK" w:eastAsia="方正仿宋_GBK" w:cs="方正仿宋_GBK"/>
                <w:b/>
                <w:color w:val="000000"/>
                <w:sz w:val="12"/>
                <w:szCs w:val="12"/>
              </w:rPr>
              <w:t>偏离度（%）</w:t>
            </w:r>
          </w:p>
        </w:tc>
        <w:tc>
          <w:tcPr>
            <w:tcW w:w="95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方正仿宋_GBK" w:hAnsi="方正仿宋_GBK" w:eastAsia="方正仿宋_GBK" w:cs="方正仿宋_GBK"/>
                <w:b/>
                <w:color w:val="000000"/>
                <w:sz w:val="12"/>
                <w:szCs w:val="12"/>
              </w:rPr>
            </w:pPr>
            <w:r>
              <w:rPr>
                <w:rFonts w:ascii="方正仿宋_GBK" w:hAnsi="方正仿宋_GBK" w:eastAsia="方正仿宋_GBK" w:cs="方正仿宋_GBK"/>
                <w:b/>
                <w:color w:val="000000"/>
                <w:sz w:val="12"/>
                <w:szCs w:val="12"/>
              </w:rPr>
              <w:t>得分系数（%）</w:t>
            </w:r>
          </w:p>
        </w:tc>
        <w:tc>
          <w:tcPr>
            <w:tcW w:w="60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方正仿宋_GBK" w:hAnsi="方正仿宋_GBK" w:eastAsia="方正仿宋_GBK" w:cs="方正仿宋_GBK"/>
                <w:b/>
                <w:color w:val="000000"/>
                <w:sz w:val="12"/>
                <w:szCs w:val="12"/>
              </w:rPr>
            </w:pPr>
            <w:r>
              <w:rPr>
                <w:rFonts w:ascii="方正仿宋_GBK" w:hAnsi="方正仿宋_GBK" w:eastAsia="方正仿宋_GBK" w:cs="方正仿宋_GBK"/>
                <w:b/>
                <w:color w:val="000000"/>
                <w:sz w:val="12"/>
                <w:szCs w:val="12"/>
              </w:rPr>
              <w:t>指标权重</w:t>
            </w:r>
          </w:p>
        </w:tc>
        <w:tc>
          <w:tcPr>
            <w:tcW w:w="64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方正仿宋_GBK" w:hAnsi="方正仿宋_GBK" w:eastAsia="方正仿宋_GBK" w:cs="方正仿宋_GBK"/>
                <w:b/>
                <w:color w:val="000000"/>
                <w:sz w:val="12"/>
                <w:szCs w:val="12"/>
              </w:rPr>
            </w:pPr>
            <w:r>
              <w:rPr>
                <w:rFonts w:ascii="方正仿宋_GBK" w:hAnsi="方正仿宋_GBK" w:eastAsia="方正仿宋_GBK" w:cs="方正仿宋_GBK"/>
                <w:b/>
                <w:color w:val="000000"/>
                <w:sz w:val="12"/>
                <w:szCs w:val="12"/>
              </w:rPr>
              <w:t>指标得分</w:t>
            </w:r>
          </w:p>
        </w:tc>
        <w:tc>
          <w:tcPr>
            <w:tcW w:w="654"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方正仿宋_GBK" w:hAnsi="方正仿宋_GBK" w:eastAsia="方正仿宋_GBK" w:cs="方正仿宋_GBK"/>
                <w:b/>
                <w:color w:val="000000"/>
                <w:sz w:val="12"/>
                <w:szCs w:val="12"/>
              </w:rPr>
            </w:pPr>
            <w:r>
              <w:rPr>
                <w:rFonts w:ascii="方正仿宋_GBK" w:hAnsi="方正仿宋_GBK" w:eastAsia="方正仿宋_GBK" w:cs="方正仿宋_GBK"/>
                <w:b/>
                <w:color w:val="000000"/>
                <w:sz w:val="12"/>
                <w:szCs w:val="12"/>
              </w:rPr>
              <w:t>说明</w:t>
            </w:r>
          </w:p>
        </w:tc>
      </w:tr>
      <w:tr>
        <w:tblPrEx>
          <w:tblLayout w:type="fixed"/>
        </w:tblPrEx>
        <w:trPr>
          <w:trHeight w:val="337" w:hRule="atLeast"/>
        </w:trPr>
        <w:tc>
          <w:tcPr>
            <w:tcW w:w="1125" w:type="dxa"/>
            <w:vMerge w:val="continue"/>
            <w:tcBorders>
              <w:left w:val="single" w:color="auto" w:sz="4" w:space="0"/>
              <w:right w:val="single" w:color="auto" w:sz="4" w:space="0"/>
            </w:tcBorders>
            <w:shd w:val="clear" w:color="auto" w:fill="auto"/>
            <w:tcMar>
              <w:top w:w="15" w:type="dxa"/>
              <w:left w:w="15" w:type="dxa"/>
              <w:right w:w="15" w:type="dxa"/>
            </w:tcMar>
            <w:textDirection w:val="tbRlV"/>
            <w:vAlign w:val="center"/>
          </w:tcPr>
          <w:p>
            <w:pPr>
              <w:jc w:val="both"/>
              <w:rPr>
                <w:rFonts w:hint="default" w:cs="宋体"/>
                <w:b/>
                <w:color w:val="000000"/>
                <w:sz w:val="12"/>
                <w:szCs w:val="12"/>
              </w:rPr>
            </w:pPr>
          </w:p>
        </w:tc>
        <w:tc>
          <w:tcPr>
            <w:tcW w:w="59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color w:val="000000"/>
                <w:sz w:val="12"/>
                <w:szCs w:val="12"/>
              </w:rPr>
            </w:pPr>
            <w:r>
              <w:rPr>
                <w:rFonts w:hint="default" w:cs="宋体"/>
                <w:color w:val="000000"/>
                <w:sz w:val="12"/>
                <w:szCs w:val="12"/>
                <w:lang w:val="en-US" w:eastAsia="zh-CN"/>
              </w:rPr>
              <w:t>检测桥梁数量</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eastAsia="宋体" w:cs="宋体"/>
                <w:color w:val="000000"/>
                <w:sz w:val="12"/>
                <w:szCs w:val="12"/>
                <w:lang w:val="en-US" w:eastAsia="zh-CN"/>
              </w:rPr>
            </w:pPr>
            <w:r>
              <w:rPr>
                <w:rFonts w:hint="eastAsia" w:cs="宋体"/>
                <w:color w:val="000000"/>
                <w:sz w:val="12"/>
                <w:szCs w:val="12"/>
                <w:lang w:val="en-US" w:eastAsia="zh-CN"/>
              </w:rPr>
              <w:t>座</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eastAsia="宋体" w:cs="宋体"/>
                <w:color w:val="000000"/>
                <w:sz w:val="12"/>
                <w:szCs w:val="12"/>
                <w:lang w:val="en-US" w:eastAsia="zh-CN"/>
              </w:rPr>
            </w:pPr>
            <w:r>
              <w:rPr>
                <w:rFonts w:hint="eastAsia" w:cs="宋体"/>
                <w:color w:val="000000"/>
                <w:sz w:val="12"/>
                <w:szCs w:val="12"/>
                <w:lang w:val="en-US" w:eastAsia="zh-CN"/>
              </w:rPr>
              <w:t>=</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eastAsia="宋体" w:cs="宋体"/>
                <w:color w:val="000000"/>
                <w:sz w:val="12"/>
                <w:szCs w:val="12"/>
                <w:lang w:val="en-US" w:eastAsia="zh-CN"/>
              </w:rPr>
            </w:pPr>
            <w:r>
              <w:rPr>
                <w:rFonts w:hint="eastAsia" w:cs="宋体"/>
                <w:color w:val="000000"/>
                <w:sz w:val="12"/>
                <w:szCs w:val="12"/>
                <w:lang w:val="en-US" w:eastAsia="zh-CN"/>
              </w:rPr>
              <w:t>161</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eastAsia="宋体" w:cs="宋体"/>
                <w:color w:val="000000"/>
                <w:sz w:val="12"/>
                <w:szCs w:val="12"/>
                <w:lang w:val="en-US" w:eastAsia="zh-CN"/>
              </w:rPr>
            </w:pPr>
            <w:r>
              <w:rPr>
                <w:rFonts w:hint="eastAsia" w:cs="宋体"/>
                <w:color w:val="000000"/>
                <w:sz w:val="12"/>
                <w:szCs w:val="12"/>
                <w:lang w:val="en-US" w:eastAsia="zh-CN"/>
              </w:rPr>
              <w:t>161</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eastAsia="宋体" w:cs="宋体"/>
                <w:color w:val="000000"/>
                <w:sz w:val="12"/>
                <w:szCs w:val="12"/>
                <w:lang w:val="en-US" w:eastAsia="zh-CN"/>
              </w:rPr>
            </w:pPr>
            <w:r>
              <w:rPr>
                <w:rFonts w:hint="eastAsia" w:cs="宋体"/>
                <w:color w:val="000000"/>
                <w:sz w:val="12"/>
                <w:szCs w:val="12"/>
                <w:lang w:val="en-US" w:eastAsia="zh-CN"/>
              </w:rPr>
              <w:t>0</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eastAsia="宋体" w:cs="宋体"/>
                <w:color w:val="000000"/>
                <w:sz w:val="12"/>
                <w:szCs w:val="12"/>
                <w:lang w:val="en-US" w:eastAsia="zh-CN"/>
              </w:rPr>
            </w:pPr>
            <w:r>
              <w:rPr>
                <w:rFonts w:hint="eastAsia" w:cs="宋体"/>
                <w:color w:val="000000"/>
                <w:sz w:val="12"/>
                <w:szCs w:val="12"/>
                <w:lang w:val="en-US" w:eastAsia="zh-CN"/>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eastAsia="宋体" w:cs="宋体"/>
                <w:color w:val="000000"/>
                <w:sz w:val="12"/>
                <w:szCs w:val="12"/>
                <w:lang w:val="en-US" w:eastAsia="zh-CN"/>
              </w:rPr>
            </w:pPr>
            <w:r>
              <w:rPr>
                <w:rFonts w:hint="eastAsia" w:cs="宋体"/>
                <w:color w:val="000000"/>
                <w:sz w:val="12"/>
                <w:szCs w:val="12"/>
                <w:lang w:val="en-US" w:eastAsia="zh-CN"/>
              </w:rPr>
              <w:t>20</w:t>
            </w: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eastAsia="宋体" w:cs="宋体"/>
                <w:color w:val="000000"/>
                <w:sz w:val="12"/>
                <w:szCs w:val="12"/>
                <w:lang w:val="en-US" w:eastAsia="zh-CN"/>
              </w:rPr>
            </w:pPr>
            <w:r>
              <w:rPr>
                <w:rFonts w:hint="eastAsia" w:cs="宋体"/>
                <w:color w:val="000000"/>
                <w:sz w:val="12"/>
                <w:szCs w:val="12"/>
                <w:lang w:val="en-US" w:eastAsia="zh-CN"/>
              </w:rPr>
              <w:t>20</w:t>
            </w:r>
          </w:p>
        </w:tc>
        <w:tc>
          <w:tcPr>
            <w:tcW w:w="6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color w:val="000000"/>
                <w:sz w:val="12"/>
                <w:szCs w:val="12"/>
              </w:rPr>
            </w:pPr>
          </w:p>
        </w:tc>
      </w:tr>
      <w:tr>
        <w:tblPrEx>
          <w:tblLayout w:type="fixed"/>
        </w:tblPrEx>
        <w:trPr>
          <w:trHeight w:val="337" w:hRule="atLeast"/>
        </w:trPr>
        <w:tc>
          <w:tcPr>
            <w:tcW w:w="1125" w:type="dxa"/>
            <w:vMerge w:val="continue"/>
            <w:tcBorders>
              <w:left w:val="single" w:color="auto" w:sz="4" w:space="0"/>
              <w:right w:val="single" w:color="auto" w:sz="4" w:space="0"/>
            </w:tcBorders>
            <w:shd w:val="clear" w:color="auto" w:fill="auto"/>
            <w:tcMar>
              <w:top w:w="15" w:type="dxa"/>
              <w:left w:w="15" w:type="dxa"/>
              <w:right w:w="15" w:type="dxa"/>
            </w:tcMar>
            <w:textDirection w:val="tbRlV"/>
            <w:vAlign w:val="center"/>
          </w:tcPr>
          <w:p>
            <w:pPr>
              <w:jc w:val="both"/>
              <w:rPr>
                <w:rFonts w:hint="default" w:cs="宋体"/>
                <w:b/>
                <w:color w:val="000000"/>
                <w:sz w:val="12"/>
                <w:szCs w:val="12"/>
              </w:rPr>
            </w:pPr>
          </w:p>
        </w:tc>
        <w:tc>
          <w:tcPr>
            <w:tcW w:w="59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eastAsia="宋体" w:cs="宋体"/>
                <w:color w:val="000000"/>
                <w:sz w:val="12"/>
                <w:szCs w:val="12"/>
                <w:lang w:val="en-US" w:eastAsia="zh-CN"/>
              </w:rPr>
            </w:pPr>
            <w:r>
              <w:rPr>
                <w:rFonts w:hint="eastAsia" w:cs="宋体"/>
                <w:color w:val="000000"/>
                <w:sz w:val="12"/>
                <w:szCs w:val="12"/>
                <w:lang w:val="en-US" w:eastAsia="zh-CN"/>
              </w:rPr>
              <w:t>危桥改造数量</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eastAsia="宋体" w:cs="宋体"/>
                <w:color w:val="000000"/>
                <w:sz w:val="12"/>
                <w:szCs w:val="12"/>
                <w:lang w:val="en-US" w:eastAsia="zh-CN"/>
              </w:rPr>
            </w:pPr>
            <w:r>
              <w:rPr>
                <w:rFonts w:hint="eastAsia" w:cs="宋体"/>
                <w:color w:val="000000"/>
                <w:sz w:val="12"/>
                <w:szCs w:val="12"/>
                <w:lang w:val="en-US" w:eastAsia="zh-CN"/>
              </w:rPr>
              <w:t>座</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color w:val="000000"/>
                <w:sz w:val="12"/>
                <w:szCs w:val="12"/>
              </w:rPr>
            </w:pPr>
            <w:r>
              <w:rPr>
                <w:rFonts w:hint="eastAsia" w:cs="宋体"/>
                <w:color w:val="000000"/>
                <w:sz w:val="12"/>
                <w:szCs w:val="12"/>
                <w:lang w:val="en-US" w:eastAsia="zh-CN"/>
              </w:rPr>
              <w:t>≥</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eastAsia="宋体" w:cs="宋体"/>
                <w:color w:val="000000"/>
                <w:sz w:val="12"/>
                <w:szCs w:val="12"/>
                <w:lang w:val="en-US" w:eastAsia="zh-CN"/>
              </w:rPr>
            </w:pPr>
            <w:r>
              <w:rPr>
                <w:rFonts w:hint="eastAsia" w:cs="宋体"/>
                <w:color w:val="000000"/>
                <w:sz w:val="12"/>
                <w:szCs w:val="12"/>
                <w:lang w:val="en-US" w:eastAsia="zh-CN"/>
              </w:rPr>
              <w:t>6</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eastAsia="宋体" w:cs="宋体"/>
                <w:color w:val="000000"/>
                <w:sz w:val="12"/>
                <w:szCs w:val="12"/>
                <w:lang w:val="en-US" w:eastAsia="zh-CN"/>
              </w:rPr>
            </w:pPr>
            <w:r>
              <w:rPr>
                <w:rFonts w:hint="eastAsia" w:cs="宋体"/>
                <w:color w:val="000000"/>
                <w:sz w:val="12"/>
                <w:szCs w:val="12"/>
                <w:lang w:val="en-US" w:eastAsia="zh-CN"/>
              </w:rPr>
              <w:t>6</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eastAsia="宋体" w:cs="宋体"/>
                <w:color w:val="000000"/>
                <w:sz w:val="12"/>
                <w:szCs w:val="12"/>
                <w:lang w:val="en-US" w:eastAsia="zh-CN"/>
              </w:rPr>
            </w:pPr>
            <w:r>
              <w:rPr>
                <w:rFonts w:hint="eastAsia" w:cs="宋体"/>
                <w:color w:val="000000"/>
                <w:sz w:val="12"/>
                <w:szCs w:val="12"/>
                <w:lang w:val="en-US" w:eastAsia="zh-CN"/>
              </w:rPr>
              <w:t>0</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eastAsia="宋体" w:cs="宋体"/>
                <w:color w:val="000000"/>
                <w:sz w:val="12"/>
                <w:szCs w:val="12"/>
                <w:lang w:val="en-US" w:eastAsia="zh-CN"/>
              </w:rPr>
            </w:pPr>
            <w:r>
              <w:rPr>
                <w:rFonts w:hint="eastAsia" w:cs="宋体"/>
                <w:color w:val="000000"/>
                <w:sz w:val="12"/>
                <w:szCs w:val="12"/>
                <w:lang w:val="en-US" w:eastAsia="zh-CN"/>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eastAsia="宋体" w:cs="宋体"/>
                <w:color w:val="000000"/>
                <w:sz w:val="12"/>
                <w:szCs w:val="12"/>
                <w:lang w:val="en-US" w:eastAsia="zh-CN"/>
              </w:rPr>
            </w:pPr>
            <w:r>
              <w:rPr>
                <w:rFonts w:hint="eastAsia" w:cs="宋体"/>
                <w:color w:val="000000"/>
                <w:sz w:val="12"/>
                <w:szCs w:val="12"/>
                <w:lang w:val="en-US" w:eastAsia="zh-CN"/>
              </w:rPr>
              <w:t>20</w:t>
            </w: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eastAsia="宋体" w:cs="宋体"/>
                <w:color w:val="000000"/>
                <w:sz w:val="12"/>
                <w:szCs w:val="12"/>
                <w:lang w:val="en-US" w:eastAsia="zh-CN"/>
              </w:rPr>
            </w:pPr>
            <w:r>
              <w:rPr>
                <w:rFonts w:hint="eastAsia" w:cs="宋体"/>
                <w:color w:val="000000"/>
                <w:sz w:val="12"/>
                <w:szCs w:val="12"/>
                <w:lang w:val="en-US" w:eastAsia="zh-CN"/>
              </w:rPr>
              <w:t>20</w:t>
            </w:r>
          </w:p>
        </w:tc>
        <w:tc>
          <w:tcPr>
            <w:tcW w:w="6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color w:val="000000"/>
                <w:sz w:val="12"/>
                <w:szCs w:val="12"/>
              </w:rPr>
            </w:pPr>
          </w:p>
        </w:tc>
      </w:tr>
      <w:tr>
        <w:tblPrEx>
          <w:tblLayout w:type="fixed"/>
        </w:tblPrEx>
        <w:trPr>
          <w:trHeight w:val="337" w:hRule="atLeast"/>
        </w:trPr>
        <w:tc>
          <w:tcPr>
            <w:tcW w:w="1125" w:type="dxa"/>
            <w:vMerge w:val="continue"/>
            <w:tcBorders>
              <w:left w:val="single" w:color="auto" w:sz="4" w:space="0"/>
              <w:right w:val="single" w:color="auto" w:sz="4" w:space="0"/>
            </w:tcBorders>
            <w:shd w:val="clear" w:color="auto" w:fill="auto"/>
            <w:tcMar>
              <w:top w:w="15" w:type="dxa"/>
              <w:left w:w="15" w:type="dxa"/>
              <w:right w:w="15" w:type="dxa"/>
            </w:tcMar>
            <w:textDirection w:val="tbRlV"/>
            <w:vAlign w:val="center"/>
          </w:tcPr>
          <w:p>
            <w:pPr>
              <w:jc w:val="both"/>
              <w:rPr>
                <w:rFonts w:hint="default" w:cs="宋体"/>
                <w:b/>
                <w:color w:val="000000"/>
                <w:sz w:val="12"/>
                <w:szCs w:val="12"/>
              </w:rPr>
            </w:pPr>
          </w:p>
        </w:tc>
        <w:tc>
          <w:tcPr>
            <w:tcW w:w="59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eastAsia="宋体" w:cs="宋体"/>
                <w:color w:val="000000"/>
                <w:sz w:val="12"/>
                <w:szCs w:val="12"/>
                <w:lang w:val="en-US" w:eastAsia="zh-CN"/>
              </w:rPr>
            </w:pPr>
            <w:r>
              <w:rPr>
                <w:rFonts w:hint="eastAsia" w:cs="宋体"/>
                <w:color w:val="000000"/>
                <w:sz w:val="12"/>
                <w:szCs w:val="12"/>
                <w:lang w:val="en-US" w:eastAsia="zh-CN"/>
              </w:rPr>
              <w:t>养护里程</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eastAsia="宋体" w:cs="宋体"/>
                <w:color w:val="000000"/>
                <w:sz w:val="12"/>
                <w:szCs w:val="12"/>
                <w:lang w:val="en-US" w:eastAsia="zh-CN"/>
              </w:rPr>
            </w:pPr>
            <w:r>
              <w:rPr>
                <w:rFonts w:hint="eastAsia" w:cs="宋体"/>
                <w:color w:val="000000"/>
                <w:sz w:val="12"/>
                <w:szCs w:val="12"/>
                <w:lang w:val="en-US" w:eastAsia="zh-CN"/>
              </w:rPr>
              <w:t>公里</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color w:val="000000"/>
                <w:sz w:val="12"/>
                <w:szCs w:val="12"/>
              </w:rPr>
            </w:pPr>
            <w:r>
              <w:rPr>
                <w:rFonts w:hint="eastAsia" w:cs="宋体"/>
                <w:color w:val="000000"/>
                <w:sz w:val="12"/>
                <w:szCs w:val="12"/>
                <w:lang w:val="en-US" w:eastAsia="zh-CN"/>
              </w:rPr>
              <w:t>≥</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eastAsia="宋体" w:cs="宋体"/>
                <w:color w:val="000000"/>
                <w:sz w:val="12"/>
                <w:szCs w:val="12"/>
                <w:lang w:val="en-US" w:eastAsia="zh-CN"/>
              </w:rPr>
            </w:pPr>
            <w:r>
              <w:rPr>
                <w:rFonts w:hint="eastAsia" w:cs="宋体"/>
                <w:color w:val="000000"/>
                <w:sz w:val="12"/>
                <w:szCs w:val="12"/>
                <w:lang w:val="en-US" w:eastAsia="zh-CN"/>
              </w:rPr>
              <w:t>5746</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eastAsia="宋体" w:cs="宋体"/>
                <w:color w:val="000000"/>
                <w:sz w:val="12"/>
                <w:szCs w:val="12"/>
                <w:lang w:val="en-US" w:eastAsia="zh-CN"/>
              </w:rPr>
            </w:pPr>
            <w:r>
              <w:rPr>
                <w:rFonts w:hint="eastAsia" w:cs="宋体"/>
                <w:color w:val="000000"/>
                <w:sz w:val="12"/>
                <w:szCs w:val="12"/>
                <w:lang w:val="en-US" w:eastAsia="zh-CN"/>
              </w:rPr>
              <w:t>5746</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eastAsia="宋体" w:cs="宋体"/>
                <w:color w:val="000000"/>
                <w:sz w:val="12"/>
                <w:szCs w:val="12"/>
                <w:lang w:val="en-US" w:eastAsia="zh-CN"/>
              </w:rPr>
            </w:pPr>
            <w:r>
              <w:rPr>
                <w:rFonts w:hint="eastAsia" w:cs="宋体"/>
                <w:color w:val="000000"/>
                <w:sz w:val="12"/>
                <w:szCs w:val="12"/>
                <w:lang w:val="en-US" w:eastAsia="zh-CN"/>
              </w:rPr>
              <w:t>0</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eastAsia="宋体" w:cs="宋体"/>
                <w:color w:val="000000"/>
                <w:sz w:val="12"/>
                <w:szCs w:val="12"/>
                <w:lang w:val="en-US" w:eastAsia="zh-CN"/>
              </w:rPr>
            </w:pPr>
            <w:r>
              <w:rPr>
                <w:rFonts w:hint="eastAsia" w:cs="宋体"/>
                <w:color w:val="000000"/>
                <w:sz w:val="12"/>
                <w:szCs w:val="12"/>
                <w:lang w:val="en-US" w:eastAsia="zh-CN"/>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eastAsia="宋体" w:cs="宋体"/>
                <w:color w:val="000000"/>
                <w:sz w:val="12"/>
                <w:szCs w:val="12"/>
                <w:lang w:val="en-US" w:eastAsia="zh-CN"/>
              </w:rPr>
            </w:pPr>
            <w:r>
              <w:rPr>
                <w:rFonts w:hint="eastAsia" w:cs="宋体"/>
                <w:color w:val="000000"/>
                <w:sz w:val="12"/>
                <w:szCs w:val="12"/>
                <w:lang w:val="en-US" w:eastAsia="zh-CN"/>
              </w:rPr>
              <w:t>20</w:t>
            </w: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eastAsia="宋体" w:cs="宋体"/>
                <w:color w:val="000000"/>
                <w:sz w:val="12"/>
                <w:szCs w:val="12"/>
                <w:lang w:val="en-US" w:eastAsia="zh-CN"/>
              </w:rPr>
            </w:pPr>
            <w:r>
              <w:rPr>
                <w:rFonts w:hint="eastAsia" w:cs="宋体"/>
                <w:color w:val="000000"/>
                <w:sz w:val="12"/>
                <w:szCs w:val="12"/>
                <w:lang w:val="en-US" w:eastAsia="zh-CN"/>
              </w:rPr>
              <w:t>20</w:t>
            </w:r>
          </w:p>
        </w:tc>
        <w:tc>
          <w:tcPr>
            <w:tcW w:w="6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color w:val="000000"/>
                <w:sz w:val="12"/>
                <w:szCs w:val="12"/>
              </w:rPr>
            </w:pPr>
          </w:p>
        </w:tc>
      </w:tr>
      <w:tr>
        <w:tblPrEx>
          <w:tblLayout w:type="fixed"/>
        </w:tblPrEx>
        <w:trPr>
          <w:trHeight w:val="337" w:hRule="atLeast"/>
        </w:trPr>
        <w:tc>
          <w:tcPr>
            <w:tcW w:w="1125" w:type="dxa"/>
            <w:vMerge w:val="continue"/>
            <w:tcBorders>
              <w:left w:val="single" w:color="auto" w:sz="4" w:space="0"/>
              <w:right w:val="single" w:color="auto" w:sz="4" w:space="0"/>
            </w:tcBorders>
            <w:shd w:val="clear" w:color="auto" w:fill="auto"/>
            <w:tcMar>
              <w:top w:w="15" w:type="dxa"/>
              <w:left w:w="15" w:type="dxa"/>
              <w:right w:w="15" w:type="dxa"/>
            </w:tcMar>
            <w:textDirection w:val="tbRlV"/>
            <w:vAlign w:val="center"/>
          </w:tcPr>
          <w:p>
            <w:pPr>
              <w:jc w:val="both"/>
              <w:rPr>
                <w:rFonts w:hint="default" w:cs="宋体"/>
                <w:b/>
                <w:color w:val="000000"/>
                <w:sz w:val="12"/>
                <w:szCs w:val="12"/>
              </w:rPr>
            </w:pPr>
          </w:p>
        </w:tc>
        <w:tc>
          <w:tcPr>
            <w:tcW w:w="59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color w:val="000000"/>
                <w:sz w:val="12"/>
                <w:szCs w:val="12"/>
              </w:rPr>
            </w:pPr>
            <w:r>
              <w:rPr>
                <w:rFonts w:hint="default" w:cs="宋体"/>
                <w:color w:val="000000"/>
                <w:sz w:val="12"/>
                <w:szCs w:val="12"/>
              </w:rPr>
              <w:t>通组公路验收合格率</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eastAsia="宋体" w:cs="宋体"/>
                <w:color w:val="000000"/>
                <w:sz w:val="12"/>
                <w:szCs w:val="12"/>
                <w:lang w:val="en-US" w:eastAsia="zh-CN"/>
              </w:rPr>
            </w:pPr>
            <w:r>
              <w:rPr>
                <w:rFonts w:hint="eastAsia" w:cs="宋体"/>
                <w:color w:val="000000"/>
                <w:sz w:val="12"/>
                <w:szCs w:val="12"/>
                <w:lang w:val="en-US" w:eastAsia="zh-CN"/>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color w:val="000000"/>
                <w:sz w:val="12"/>
                <w:szCs w:val="12"/>
              </w:rPr>
            </w:pPr>
            <w:r>
              <w:rPr>
                <w:rFonts w:hint="eastAsia" w:cs="宋体"/>
                <w:color w:val="000000"/>
                <w:sz w:val="12"/>
                <w:szCs w:val="12"/>
                <w:lang w:val="en-US" w:eastAsia="zh-CN"/>
              </w:rPr>
              <w:t>=</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eastAsia="宋体" w:cs="宋体"/>
                <w:color w:val="000000"/>
                <w:sz w:val="12"/>
                <w:szCs w:val="12"/>
                <w:lang w:val="en-US" w:eastAsia="zh-CN"/>
              </w:rPr>
            </w:pPr>
            <w:r>
              <w:rPr>
                <w:rFonts w:hint="eastAsia" w:cs="宋体"/>
                <w:color w:val="000000"/>
                <w:sz w:val="12"/>
                <w:szCs w:val="12"/>
                <w:lang w:val="en-US" w:eastAsia="zh-CN"/>
              </w:rPr>
              <w:t>100</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eastAsia="宋体" w:cs="宋体"/>
                <w:color w:val="000000"/>
                <w:sz w:val="12"/>
                <w:szCs w:val="12"/>
                <w:lang w:val="en-US" w:eastAsia="zh-CN"/>
              </w:rPr>
            </w:pPr>
            <w:r>
              <w:rPr>
                <w:rFonts w:hint="eastAsia" w:cs="宋体"/>
                <w:color w:val="000000"/>
                <w:sz w:val="12"/>
                <w:szCs w:val="12"/>
                <w:lang w:val="en-US" w:eastAsia="zh-CN"/>
              </w:rPr>
              <w:t>100</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eastAsia="宋体" w:cs="宋体"/>
                <w:color w:val="000000"/>
                <w:sz w:val="12"/>
                <w:szCs w:val="12"/>
                <w:lang w:val="en-US" w:eastAsia="zh-CN"/>
              </w:rPr>
            </w:pPr>
            <w:r>
              <w:rPr>
                <w:rFonts w:hint="eastAsia" w:cs="宋体"/>
                <w:color w:val="000000"/>
                <w:sz w:val="12"/>
                <w:szCs w:val="12"/>
                <w:lang w:val="en-US" w:eastAsia="zh-CN"/>
              </w:rPr>
              <w:t>0</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eastAsia="宋体" w:cs="宋体"/>
                <w:color w:val="000000"/>
                <w:sz w:val="12"/>
                <w:szCs w:val="12"/>
                <w:lang w:val="en-US" w:eastAsia="zh-CN"/>
              </w:rPr>
            </w:pPr>
            <w:r>
              <w:rPr>
                <w:rFonts w:hint="eastAsia" w:cs="宋体"/>
                <w:color w:val="000000"/>
                <w:sz w:val="12"/>
                <w:szCs w:val="12"/>
                <w:lang w:val="en-US" w:eastAsia="zh-CN"/>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eastAsia="宋体" w:cs="宋体"/>
                <w:color w:val="000000"/>
                <w:sz w:val="12"/>
                <w:szCs w:val="12"/>
                <w:lang w:val="en-US" w:eastAsia="zh-CN"/>
              </w:rPr>
            </w:pPr>
            <w:r>
              <w:rPr>
                <w:rFonts w:hint="eastAsia" w:cs="宋体"/>
                <w:color w:val="000000"/>
                <w:sz w:val="12"/>
                <w:szCs w:val="12"/>
                <w:lang w:val="en-US" w:eastAsia="zh-CN"/>
              </w:rPr>
              <w:t>15</w:t>
            </w: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eastAsia="宋体" w:cs="宋体"/>
                <w:color w:val="000000"/>
                <w:sz w:val="12"/>
                <w:szCs w:val="12"/>
                <w:lang w:val="en-US" w:eastAsia="zh-CN"/>
              </w:rPr>
            </w:pPr>
            <w:r>
              <w:rPr>
                <w:rFonts w:hint="eastAsia" w:cs="宋体"/>
                <w:color w:val="000000"/>
                <w:sz w:val="12"/>
                <w:szCs w:val="12"/>
                <w:lang w:val="en-US" w:eastAsia="zh-CN"/>
              </w:rPr>
              <w:t>15</w:t>
            </w:r>
          </w:p>
        </w:tc>
        <w:tc>
          <w:tcPr>
            <w:tcW w:w="6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color w:val="000000"/>
                <w:sz w:val="12"/>
                <w:szCs w:val="12"/>
              </w:rPr>
            </w:pPr>
          </w:p>
        </w:tc>
      </w:tr>
      <w:tr>
        <w:tblPrEx>
          <w:tblLayout w:type="fixed"/>
        </w:tblPrEx>
        <w:trPr>
          <w:trHeight w:val="337" w:hRule="atLeast"/>
        </w:trPr>
        <w:tc>
          <w:tcPr>
            <w:tcW w:w="1125" w:type="dxa"/>
            <w:vMerge w:val="continue"/>
            <w:tcBorders>
              <w:left w:val="single" w:color="auto" w:sz="4" w:space="0"/>
              <w:right w:val="single" w:color="auto" w:sz="4" w:space="0"/>
            </w:tcBorders>
            <w:shd w:val="clear" w:color="auto" w:fill="auto"/>
            <w:tcMar>
              <w:top w:w="15" w:type="dxa"/>
              <w:left w:w="15" w:type="dxa"/>
              <w:right w:w="15" w:type="dxa"/>
            </w:tcMar>
            <w:textDirection w:val="tbRlV"/>
            <w:vAlign w:val="center"/>
          </w:tcPr>
          <w:p>
            <w:pPr>
              <w:jc w:val="both"/>
              <w:rPr>
                <w:rFonts w:hint="default" w:cs="宋体"/>
                <w:b/>
                <w:color w:val="000000"/>
                <w:sz w:val="12"/>
                <w:szCs w:val="12"/>
              </w:rPr>
            </w:pPr>
          </w:p>
        </w:tc>
        <w:tc>
          <w:tcPr>
            <w:tcW w:w="59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eastAsia="宋体" w:cs="宋体"/>
                <w:color w:val="000000"/>
                <w:sz w:val="12"/>
                <w:szCs w:val="12"/>
                <w:lang w:val="en-US" w:eastAsia="zh-CN"/>
              </w:rPr>
            </w:pPr>
            <w:r>
              <w:rPr>
                <w:rFonts w:hint="eastAsia" w:cs="宋体"/>
                <w:color w:val="000000"/>
                <w:sz w:val="12"/>
                <w:szCs w:val="12"/>
                <w:lang w:val="en-US" w:eastAsia="zh-CN"/>
              </w:rPr>
              <w:t>交通建设项目投资总额</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eastAsia="宋体" w:cs="宋体"/>
                <w:color w:val="000000"/>
                <w:sz w:val="12"/>
                <w:szCs w:val="12"/>
                <w:lang w:val="en-US" w:eastAsia="zh-CN"/>
              </w:rPr>
            </w:pPr>
            <w:r>
              <w:rPr>
                <w:rFonts w:hint="eastAsia" w:cs="宋体"/>
                <w:color w:val="000000"/>
                <w:sz w:val="12"/>
                <w:szCs w:val="12"/>
                <w:lang w:val="en-US" w:eastAsia="zh-CN"/>
              </w:rPr>
              <w:t>亿元</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eastAsia="宋体" w:cs="宋体"/>
                <w:color w:val="000000"/>
                <w:sz w:val="12"/>
                <w:szCs w:val="12"/>
                <w:lang w:val="en-US" w:eastAsia="zh-CN"/>
              </w:rPr>
            </w:pPr>
            <w:r>
              <w:rPr>
                <w:rFonts w:hint="eastAsia" w:cs="宋体"/>
                <w:color w:val="000000"/>
                <w:sz w:val="12"/>
                <w:szCs w:val="12"/>
                <w:lang w:val="en-US" w:eastAsia="zh-CN"/>
              </w:rPr>
              <w:t>≥</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eastAsia="宋体" w:cs="宋体"/>
                <w:color w:val="000000"/>
                <w:sz w:val="12"/>
                <w:szCs w:val="12"/>
                <w:lang w:val="en-US" w:eastAsia="zh-CN"/>
              </w:rPr>
            </w:pPr>
            <w:r>
              <w:rPr>
                <w:rFonts w:hint="eastAsia" w:cs="宋体"/>
                <w:color w:val="000000"/>
                <w:sz w:val="12"/>
                <w:szCs w:val="12"/>
                <w:lang w:val="en-US" w:eastAsia="zh-CN"/>
              </w:rPr>
              <w:t>22</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eastAsia="宋体" w:cs="宋体"/>
                <w:color w:val="000000"/>
                <w:sz w:val="12"/>
                <w:szCs w:val="12"/>
                <w:lang w:val="en-US" w:eastAsia="zh-CN"/>
              </w:rPr>
            </w:pPr>
            <w:r>
              <w:rPr>
                <w:rFonts w:hint="eastAsia" w:cs="宋体"/>
                <w:color w:val="000000"/>
                <w:sz w:val="12"/>
                <w:szCs w:val="12"/>
                <w:lang w:val="en-US" w:eastAsia="zh-CN"/>
              </w:rPr>
              <w:t>21.3</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eastAsia="宋体" w:cs="宋体"/>
                <w:color w:val="000000"/>
                <w:sz w:val="12"/>
                <w:szCs w:val="12"/>
                <w:lang w:val="en-US" w:eastAsia="zh-CN"/>
              </w:rPr>
            </w:pPr>
            <w:r>
              <w:rPr>
                <w:rFonts w:hint="eastAsia" w:cs="宋体"/>
                <w:color w:val="000000"/>
                <w:sz w:val="12"/>
                <w:szCs w:val="12"/>
                <w:lang w:val="en-US" w:eastAsia="zh-CN"/>
              </w:rPr>
              <w:t>3.18</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eastAsia="宋体" w:cs="宋体"/>
                <w:color w:val="000000"/>
                <w:sz w:val="12"/>
                <w:szCs w:val="12"/>
                <w:lang w:val="en-US" w:eastAsia="zh-CN"/>
              </w:rPr>
            </w:pPr>
            <w:r>
              <w:rPr>
                <w:rFonts w:hint="eastAsia" w:cs="宋体"/>
                <w:color w:val="000000"/>
                <w:sz w:val="12"/>
                <w:szCs w:val="12"/>
                <w:lang w:val="en-US" w:eastAsia="zh-CN"/>
              </w:rPr>
              <w:t>3.18</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eastAsia="宋体" w:cs="宋体"/>
                <w:color w:val="000000"/>
                <w:sz w:val="12"/>
                <w:szCs w:val="12"/>
                <w:lang w:val="en-US" w:eastAsia="zh-CN"/>
              </w:rPr>
            </w:pPr>
            <w:r>
              <w:rPr>
                <w:rFonts w:hint="eastAsia" w:cs="宋体"/>
                <w:color w:val="000000"/>
                <w:sz w:val="12"/>
                <w:szCs w:val="12"/>
                <w:lang w:val="en-US" w:eastAsia="zh-CN"/>
              </w:rPr>
              <w:t>15</w:t>
            </w: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eastAsia="宋体" w:cs="宋体"/>
                <w:color w:val="000000"/>
                <w:sz w:val="12"/>
                <w:szCs w:val="12"/>
                <w:lang w:val="en-US" w:eastAsia="zh-CN"/>
              </w:rPr>
            </w:pPr>
            <w:r>
              <w:rPr>
                <w:rFonts w:hint="eastAsia" w:cs="宋体"/>
                <w:color w:val="000000"/>
                <w:sz w:val="12"/>
                <w:szCs w:val="12"/>
                <w:lang w:val="en-US" w:eastAsia="zh-CN"/>
              </w:rPr>
              <w:t>10.23</w:t>
            </w:r>
          </w:p>
        </w:tc>
        <w:tc>
          <w:tcPr>
            <w:tcW w:w="6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color w:val="000000"/>
                <w:sz w:val="12"/>
                <w:szCs w:val="12"/>
              </w:rPr>
            </w:pPr>
            <w:r>
              <w:rPr>
                <w:rFonts w:hint="default" w:cs="宋体"/>
                <w:color w:val="000000"/>
                <w:sz w:val="12"/>
                <w:szCs w:val="12"/>
              </w:rPr>
              <w:t>全年完成交通固定资产投资21.3亿元</w:t>
            </w:r>
          </w:p>
        </w:tc>
      </w:tr>
      <w:tr>
        <w:tblPrEx>
          <w:tblLayout w:type="fixed"/>
        </w:tblPrEx>
        <w:trPr>
          <w:trHeight w:val="415" w:hRule="atLeast"/>
        </w:trPr>
        <w:tc>
          <w:tcPr>
            <w:tcW w:w="1125"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both"/>
              <w:textAlignment w:val="center"/>
              <w:rPr>
                <w:rFonts w:hint="default" w:cs="宋体"/>
                <w:b/>
                <w:color w:val="000000"/>
                <w:sz w:val="12"/>
                <w:szCs w:val="12"/>
              </w:rPr>
            </w:pPr>
          </w:p>
        </w:tc>
        <w:tc>
          <w:tcPr>
            <w:tcW w:w="59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both"/>
              <w:rPr>
                <w:rFonts w:hint="default" w:cs="宋体"/>
                <w:color w:val="000000"/>
                <w:sz w:val="12"/>
                <w:szCs w:val="12"/>
              </w:rPr>
            </w:pPr>
            <w:r>
              <w:rPr>
                <w:rFonts w:hint="default" w:cs="宋体"/>
                <w:color w:val="000000"/>
                <w:sz w:val="12"/>
                <w:szCs w:val="12"/>
              </w:rPr>
              <w:t>公路“畅安舒美”平整度</w:t>
            </w:r>
          </w:p>
        </w:tc>
        <w:tc>
          <w:tcPr>
            <w:tcW w:w="60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both"/>
              <w:rPr>
                <w:rFonts w:hint="default" w:eastAsia="宋体" w:cs="宋体"/>
                <w:color w:val="000000"/>
                <w:sz w:val="12"/>
                <w:szCs w:val="12"/>
                <w:lang w:val="en-US" w:eastAsia="zh-CN"/>
              </w:rPr>
            </w:pPr>
            <w:r>
              <w:rPr>
                <w:rFonts w:hint="eastAsia" w:cs="宋体"/>
                <w:color w:val="000000"/>
                <w:sz w:val="12"/>
                <w:szCs w:val="12"/>
                <w:lang w:val="en-US" w:eastAsia="zh-CN"/>
              </w:rPr>
              <w:t>%</w:t>
            </w:r>
          </w:p>
        </w:tc>
        <w:tc>
          <w:tcPr>
            <w:tcW w:w="84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both"/>
              <w:rPr>
                <w:rFonts w:hint="default" w:cs="宋体"/>
                <w:color w:val="000000"/>
                <w:sz w:val="12"/>
                <w:szCs w:val="12"/>
              </w:rPr>
            </w:pPr>
            <w:r>
              <w:rPr>
                <w:rFonts w:hint="eastAsia" w:cs="宋体"/>
                <w:color w:val="000000"/>
                <w:sz w:val="12"/>
                <w:szCs w:val="12"/>
                <w:lang w:val="en-US" w:eastAsia="zh-CN"/>
              </w:rPr>
              <w:t>≥</w:t>
            </w:r>
          </w:p>
        </w:tc>
        <w:tc>
          <w:tcPr>
            <w:tcW w:w="54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both"/>
              <w:rPr>
                <w:rFonts w:hint="default" w:eastAsia="宋体" w:cs="宋体"/>
                <w:color w:val="000000"/>
                <w:sz w:val="12"/>
                <w:szCs w:val="12"/>
                <w:lang w:val="en-US" w:eastAsia="zh-CN"/>
              </w:rPr>
            </w:pPr>
            <w:r>
              <w:rPr>
                <w:rFonts w:hint="eastAsia" w:cs="宋体"/>
                <w:color w:val="000000"/>
                <w:sz w:val="12"/>
                <w:szCs w:val="12"/>
                <w:lang w:val="en-US" w:eastAsia="zh-CN"/>
              </w:rPr>
              <w:t>92</w:t>
            </w:r>
          </w:p>
        </w:tc>
        <w:tc>
          <w:tcPr>
            <w:tcW w:w="671" w:type="dxa"/>
            <w:gridSpan w:val="3"/>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both"/>
              <w:rPr>
                <w:rFonts w:hint="default" w:eastAsia="宋体" w:cs="宋体"/>
                <w:color w:val="000000"/>
                <w:sz w:val="12"/>
                <w:szCs w:val="12"/>
                <w:lang w:val="en-US" w:eastAsia="zh-CN"/>
              </w:rPr>
            </w:pPr>
            <w:r>
              <w:rPr>
                <w:rFonts w:hint="eastAsia" w:cs="宋体"/>
                <w:color w:val="000000"/>
                <w:sz w:val="12"/>
                <w:szCs w:val="12"/>
                <w:lang w:val="en-US" w:eastAsia="zh-CN"/>
              </w:rPr>
              <w:t>92</w:t>
            </w:r>
          </w:p>
        </w:tc>
        <w:tc>
          <w:tcPr>
            <w:tcW w:w="710" w:type="dxa"/>
            <w:gridSpan w:val="2"/>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both"/>
              <w:rPr>
                <w:rFonts w:hint="eastAsia" w:eastAsia="宋体" w:cs="宋体"/>
                <w:color w:val="000000"/>
                <w:sz w:val="12"/>
                <w:szCs w:val="12"/>
                <w:lang w:val="en-US" w:eastAsia="zh-CN"/>
              </w:rPr>
            </w:pPr>
            <w:r>
              <w:rPr>
                <w:rFonts w:hint="eastAsia" w:cs="宋体"/>
                <w:color w:val="000000"/>
                <w:sz w:val="12"/>
                <w:szCs w:val="12"/>
                <w:lang w:val="en-US" w:eastAsia="zh-CN"/>
              </w:rPr>
              <w:t>0</w:t>
            </w:r>
          </w:p>
        </w:tc>
        <w:tc>
          <w:tcPr>
            <w:tcW w:w="95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both"/>
              <w:rPr>
                <w:rFonts w:hint="default" w:eastAsia="宋体" w:cs="宋体"/>
                <w:color w:val="000000"/>
                <w:sz w:val="12"/>
                <w:szCs w:val="12"/>
                <w:lang w:val="en-US" w:eastAsia="zh-CN"/>
              </w:rPr>
            </w:pPr>
            <w:r>
              <w:rPr>
                <w:rFonts w:hint="eastAsia" w:cs="宋体"/>
                <w:color w:val="000000"/>
                <w:sz w:val="12"/>
                <w:szCs w:val="12"/>
                <w:lang w:val="en-US" w:eastAsia="zh-CN"/>
              </w:rPr>
              <w:t>100</w:t>
            </w:r>
          </w:p>
        </w:tc>
        <w:tc>
          <w:tcPr>
            <w:tcW w:w="60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both"/>
              <w:rPr>
                <w:rFonts w:hint="default" w:eastAsia="宋体" w:cs="宋体"/>
                <w:color w:val="000000"/>
                <w:sz w:val="12"/>
                <w:szCs w:val="12"/>
                <w:lang w:val="en-US" w:eastAsia="zh-CN"/>
              </w:rPr>
            </w:pPr>
            <w:r>
              <w:rPr>
                <w:rFonts w:hint="eastAsia" w:cs="宋体"/>
                <w:color w:val="000000"/>
                <w:sz w:val="12"/>
                <w:szCs w:val="12"/>
                <w:lang w:val="en-US" w:eastAsia="zh-CN"/>
              </w:rPr>
              <w:t>10</w:t>
            </w:r>
          </w:p>
        </w:tc>
        <w:tc>
          <w:tcPr>
            <w:tcW w:w="655" w:type="dxa"/>
            <w:gridSpan w:val="2"/>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both"/>
              <w:rPr>
                <w:rFonts w:hint="default" w:eastAsia="宋体" w:cs="宋体"/>
                <w:color w:val="000000"/>
                <w:sz w:val="12"/>
                <w:szCs w:val="12"/>
                <w:lang w:val="en-US" w:eastAsia="zh-CN"/>
              </w:rPr>
            </w:pPr>
            <w:r>
              <w:rPr>
                <w:rFonts w:hint="eastAsia" w:cs="宋体"/>
                <w:color w:val="000000"/>
                <w:sz w:val="12"/>
                <w:szCs w:val="12"/>
                <w:lang w:val="en-US" w:eastAsia="zh-CN"/>
              </w:rPr>
              <w:t>10</w:t>
            </w:r>
          </w:p>
        </w:tc>
        <w:tc>
          <w:tcPr>
            <w:tcW w:w="6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color w:val="000000"/>
                <w:sz w:val="12"/>
                <w:szCs w:val="12"/>
              </w:rPr>
            </w:pPr>
          </w:p>
        </w:tc>
      </w:tr>
      <w:tr>
        <w:tblPrEx>
          <w:tblLayout w:type="fixed"/>
        </w:tblPrEx>
        <w:trPr>
          <w:trHeight w:val="415" w:hRule="atLeast"/>
        </w:trPr>
        <w:tc>
          <w:tcPr>
            <w:tcW w:w="112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ascii="方正仿宋_GBK" w:hAnsi="方正仿宋_GBK" w:eastAsia="方正仿宋_GBK" w:cs="方正仿宋_GBK"/>
                <w:b/>
                <w:color w:val="000000"/>
                <w:sz w:val="12"/>
                <w:szCs w:val="12"/>
              </w:rPr>
            </w:pPr>
            <w:r>
              <w:rPr>
                <w:rFonts w:ascii="方正仿宋_GBK" w:hAnsi="方正仿宋_GBK" w:eastAsia="方正仿宋_GBK" w:cs="方正仿宋_GBK"/>
                <w:b/>
                <w:color w:val="000000"/>
                <w:sz w:val="12"/>
                <w:szCs w:val="12"/>
              </w:rPr>
              <w:t>总体说明</w:t>
            </w:r>
          </w:p>
        </w:tc>
        <w:tc>
          <w:tcPr>
            <w:tcW w:w="6827"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color w:val="000000"/>
                <w:sz w:val="12"/>
                <w:szCs w:val="12"/>
              </w:rPr>
            </w:pPr>
          </w:p>
        </w:tc>
      </w:tr>
    </w:tbl>
    <w:p>
      <w:pPr>
        <w:pStyle w:val="12"/>
        <w:spacing w:before="0" w:beforeAutospacing="0" w:after="0" w:afterAutospacing="0"/>
        <w:ind w:firstLine="560"/>
        <w:jc w:val="both"/>
        <w:rPr>
          <w:rFonts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28"/>
          <w:szCs w:val="28"/>
          <w:shd w:val="clear" w:color="auto" w:fill="FFFFFF"/>
        </w:rPr>
        <w:t>2.项目支出绩效自评汇总表</w:t>
      </w:r>
    </w:p>
    <w:tbl>
      <w:tblPr>
        <w:tblStyle w:val="9"/>
        <w:tblW w:w="7953" w:type="dxa"/>
        <w:tblInd w:w="93" w:type="dxa"/>
        <w:tblLayout w:type="fixed"/>
        <w:tblCellMar>
          <w:top w:w="0" w:type="dxa"/>
          <w:left w:w="108" w:type="dxa"/>
          <w:bottom w:w="0" w:type="dxa"/>
          <w:right w:w="108" w:type="dxa"/>
        </w:tblCellMar>
      </w:tblPr>
      <w:tblGrid>
        <w:gridCol w:w="580"/>
        <w:gridCol w:w="2770"/>
        <w:gridCol w:w="3735"/>
        <w:gridCol w:w="868"/>
      </w:tblGrid>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序号</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单位信息</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项目名称</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自评得分</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default"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default" w:ascii="方正仿宋_GBK" w:hAnsi="Times New Roman" w:eastAsia="方正仿宋_GBK"/>
                <w:b/>
                <w:color w:val="000000"/>
                <w:sz w:val="15"/>
                <w:szCs w:val="15"/>
                <w:lang w:val="en-US" w:eastAsia="zh-CN"/>
              </w:rPr>
            </w:pPr>
            <w:r>
              <w:rPr>
                <w:rFonts w:hint="default" w:ascii="方正仿宋_GBK" w:hAnsi="Times New Roman" w:eastAsia="方正仿宋_GBK"/>
                <w:b/>
                <w:color w:val="000000"/>
                <w:sz w:val="15"/>
                <w:szCs w:val="15"/>
                <w:lang w:val="en-US" w:eastAsia="zh-CN"/>
              </w:rPr>
              <w:t>重庆市涪陵区交通运输委员会（本级）</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区交通局企业三类人员生活补助</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default"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2</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default" w:ascii="方正仿宋_GBK" w:hAnsi="Times New Roman" w:eastAsia="方正仿宋_GBK"/>
                <w:b/>
                <w:color w:val="000000"/>
                <w:sz w:val="15"/>
                <w:szCs w:val="15"/>
                <w:lang w:val="en-US" w:eastAsia="zh-CN"/>
              </w:rPr>
            </w:pPr>
            <w:r>
              <w:rPr>
                <w:rFonts w:hint="default" w:ascii="方正仿宋_GBK" w:hAnsi="Times New Roman" w:eastAsia="方正仿宋_GBK"/>
                <w:b/>
                <w:color w:val="000000"/>
                <w:sz w:val="15"/>
                <w:szCs w:val="15"/>
                <w:lang w:val="en-US" w:eastAsia="zh-CN"/>
              </w:rPr>
              <w:t>重庆市涪陵区交通运输委员会（本级）</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涪陵区支持服务业高质量发展物流板块奖补资金项目</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default"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3</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default" w:ascii="方正仿宋_GBK" w:hAnsi="Times New Roman" w:eastAsia="方正仿宋_GBK"/>
                <w:b/>
                <w:color w:val="000000"/>
                <w:sz w:val="15"/>
                <w:szCs w:val="15"/>
                <w:lang w:val="en-US" w:eastAsia="zh-CN"/>
              </w:rPr>
            </w:pPr>
            <w:r>
              <w:rPr>
                <w:rFonts w:hint="default" w:ascii="方正仿宋_GBK" w:hAnsi="Times New Roman" w:eastAsia="方正仿宋_GBK"/>
                <w:b/>
                <w:color w:val="000000"/>
                <w:sz w:val="15"/>
                <w:szCs w:val="15"/>
                <w:lang w:val="en-US" w:eastAsia="zh-CN"/>
              </w:rPr>
              <w:t>重庆市涪陵区交通运输委员会（本级）</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涪陵区2023年第一批巩固脱贫攻坚成果和乡村振兴（交通）部分项目</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default"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4</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default" w:ascii="方正仿宋_GBK" w:hAnsi="Times New Roman" w:eastAsia="方正仿宋_GBK"/>
                <w:b/>
                <w:color w:val="000000"/>
                <w:sz w:val="15"/>
                <w:szCs w:val="15"/>
                <w:lang w:val="en-US" w:eastAsia="zh-CN"/>
              </w:rPr>
            </w:pPr>
            <w:r>
              <w:rPr>
                <w:rFonts w:hint="default" w:ascii="方正仿宋_GBK" w:hAnsi="Times New Roman" w:eastAsia="方正仿宋_GBK"/>
                <w:b/>
                <w:color w:val="000000"/>
                <w:sz w:val="15"/>
                <w:szCs w:val="15"/>
                <w:lang w:val="en-US" w:eastAsia="zh-CN"/>
              </w:rPr>
              <w:t>重庆市涪陵区交通运输委员会（本级）</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佳玉矿业拆迁补偿款项目</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5</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default" w:ascii="方正仿宋_GBK" w:hAnsi="Times New Roman" w:eastAsia="方正仿宋_GBK"/>
                <w:b/>
                <w:color w:val="000000"/>
                <w:sz w:val="15"/>
                <w:szCs w:val="15"/>
                <w:lang w:val="en-US" w:eastAsia="zh-CN"/>
              </w:rPr>
              <w:t>重庆市涪陵区交通运输委员会（本级）</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2023年三峡库区渡运补贴</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6</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default" w:ascii="方正仿宋_GBK" w:hAnsi="Times New Roman" w:eastAsia="方正仿宋_GBK"/>
                <w:b/>
                <w:color w:val="000000"/>
                <w:sz w:val="15"/>
                <w:szCs w:val="15"/>
                <w:lang w:val="en-US" w:eastAsia="zh-CN"/>
              </w:rPr>
              <w:t>重庆市涪陵区交通运输委员会（本级）</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铁路沿线安全环境治理</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7</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default" w:ascii="方正仿宋_GBK" w:hAnsi="Times New Roman" w:eastAsia="方正仿宋_GBK"/>
                <w:b/>
                <w:color w:val="000000"/>
                <w:sz w:val="15"/>
                <w:szCs w:val="15"/>
                <w:lang w:val="en-US" w:eastAsia="zh-CN"/>
              </w:rPr>
              <w:t>重庆市涪陵区交通运输委员会（本级）</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渡运补贴</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8</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重庆市涪陵区交通运输委员会（本级）</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农村公路养护工程补差</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9</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重庆市涪陵区交通运输委员会（本级）</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2022年部分民航项目前期工作</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重庆市涪陵区交通运输委员会（本级）</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普通省道和农村公路“以奖代补”项目</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11</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重庆市涪陵区交通运输委员会（本级）</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客运中心公交首末站场地租用</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12</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重庆市涪陵区交通运输委员会（本级）</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交通工作运行经费缺口项目</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13</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重庆市涪陵区交通运输委员会（本级）</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车辆购置税收入补助地方资金预算</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14</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重庆市涪陵区交通运输委员会（本级）</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村邮站运行及监管</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70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15</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重庆市涪陵区交通运输委员会（本级）</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邮政履职和邮政快递业监管能力建设</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16</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重庆市涪陵区交通运输委员会（本级）</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2024年第一批新增政府一般债券项目（公路建设及养护类项目）</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17</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重庆市涪陵区交通运输委员会（本级）</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公共交通运营补助</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18</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重庆市涪陵区交通运输委员会（本级）</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区交通局遗属补助</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19</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重庆市涪陵区交通运输委员会（本级）</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2023年普通干线公路项目</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20</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重庆市涪陵区交通运输委员会（本级）</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38223主体工程及配套项目建设</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21</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重庆市涪陵区交通运输委员会（本级）</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2023年双江水库配套道路建设以工代赈项目</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22</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重庆市涪陵区交通运输委员会（本级）</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原公社邮递员乡办邮政人员养老和医疗补助</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23</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重庆市涪陵区交通运输委员会（本级）</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2023年农村公路安防工程</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24</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重庆市涪陵区交通运输委员会（本级）</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农村公路安防工程</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25</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重庆市涪陵区交通运输委员会（本级）</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涪陵区2023年焦石镇板栗村3组、4组产业路建设项目</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26</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重庆市涪陵区交通运输委员会（本级）</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高山湾枢纽站场租用</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27</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重庆市涪陵区交通运输委员会（本级）</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农村公路管理</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28</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重庆市涪陵区交通运输委员会（本级）</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2024年第二批超长期特别国债资金支持老旧营运船舶报废更新项目</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29</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重庆市涪陵区交通运输委员会（本级）</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农村渡口改造补贴</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30</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重庆市涪陵区交通运输委员会（本级）</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农村公路养护</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31</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重庆市涪陵区交通运输委员会（本级）</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涪陵区大顺镇2024年大顺村产业路建设市级财政以工代赈项目</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32</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重庆市涪陵区交通运输委员会（本级）</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渝涪高速慧谷湖收费站委托运营管理补偿经费</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33</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重庆市涪陵区交通运输委员会（本级）</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公路桥梁小修保养专项</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34</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重庆市涪陵区交通运输委员会（本级）</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政府还贷二级公路取消收费后补助资金</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35</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重庆市涪陵区交通运输委员会（本级）</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农村公路日常养护补助</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36</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重庆市涪陵区交通运输委员会（本级）</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涪陵区所属涪陵长江大桥等三座大桥桥区航道维护项目</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37</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重庆市涪陵区交通运输委员会（本级）</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购买新能源公交车辆</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38</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重庆市涪陵区交通运输委员会（本级）</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原老车站、香江豪庭公交首末站租用</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39</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重庆市涪陵区交通规划与技术发展中心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开展工程质量安全监督检查指导专项工作</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40</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重庆市涪陵区渡口事务中心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渡口渡船管理</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41</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重庆市涪陵区道路运输事务中心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证牌卡制作工作经费</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42</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重庆市涪陵区道路运输事务中心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农村客运车辆运营补贴</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43</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重庆市涪陵区道路运输事务中心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道路运输事务中心遗属生活补助</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44</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重庆市涪陵区道路运输事务中心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出租车行业管理</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45</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重庆市涪陵区道路运输事务中心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道路运输行业管理</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46</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重庆市涪陵区道路运输事务中心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道路运输事务机构专项转移支付</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47</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重庆市涪陵区道路运输事务中心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从业人员考试工作经费</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48</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重庆市涪陵区道路运输事务中心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农村客运车辆保险</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49</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重庆市涪陵区道路运输事务中心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办公设备购置</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50</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重庆市涪陵区道路运输事务中心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道路运输安全服务中心运行</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51</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重庆市涪陵区公路事务中心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普通国省道养护补差</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52</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重庆市涪陵区公路事务中心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G348天池隧道危隧改造</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80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53</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重庆市涪陵区公路事务中心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土地工人员保障</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54</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重庆市涪陵区公路事务中心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2024年涪陵区农村公路自动化检测</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55</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重庆市涪陵区公路事务中心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G351丰都界至黄旗段公路灾害防治工程</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56</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重庆市涪陵区公路事务中心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遗属生活困难定期补助</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57</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重庆市涪陵区公路事务中心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G319涪陵长江大桥危旧桥改造</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58</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重庆市涪陵区公路事务中心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国省县道公路管理</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59</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重庆市涪陵区公路事务中心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公路隧道照明及维护</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60</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重庆市涪陵区公路事务中心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县道公路日常养护</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61</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重庆市涪陵区公路事务中心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2024年运行经费缺口项目</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62</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重庆市涪陵区公路事务中心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S102涪陵乌江大桥健康监测系统工程</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63</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重庆市涪陵区公路事务中心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涪陵区2023年公路危桥灾后整治工程</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86.55</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64</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重庆市涪陵区公路事务中心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李渡长江大桥结构健康监测系统工程</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65</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重庆市涪陵区公路事务中心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国省道桥梁防撞安全整治</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85</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66</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重庆市涪陵区公路事务中心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高速路口值守委托业务</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67</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重庆市涪陵区公路事务中心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涪陵区2023年省道及重要连接道灾后整治工程</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80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68</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重庆市涪陵区公路事务中心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S528线石板沟长江大桥健康监测系统工程</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69</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重庆市涪陵区公路事务中心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交通路网监控建设运行费</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70</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重庆市涪陵区公路事务中心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涪陵区2023年县乡道公路灾后整治工程</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90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71</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重庆市涪陵区公路事务中心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公路车流量观测</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72</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重庆市涪陵区公路事务中心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战备船舶维护</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73</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重庆市涪陵区公路事务中心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S102涪陵乌江大桥复线桥健康监测系统工程</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74</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重庆市涪陵区公路事务中心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旅游公路养护</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75</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重庆市涪陵区公路事务中心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国省干线公路交通情况调查系统工程</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76</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重庆市涪陵区公路事务中心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区公路事务中心伤残补助</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77</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重庆市涪陵区公路事务中心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公路桥梁小修保养专项</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78</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重庆市涪陵区公路事务中心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G348涪陵乌江二桥危旧桥改造</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80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79</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重庆市涪陵区公路事务中心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国省道桥隧检测维护</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80</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重庆市涪陵区公路事务中心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路政行政许可工作经费</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81</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重庆市涪陵区港航海事事务中心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港航海事业务费</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82</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重庆市涪陵区港航海事事务中心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抢险保通专项资金</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83</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重庆市涪陵区港航海事事务中心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港航海事应急救援体系建设</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84</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重庆市涪陵区港航海事事务中心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应急救援艇运行维护费</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85</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重庆市涪陵区港航海事事务中心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港口岸电标准化建设</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86</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重庆市涪陵区港航海事事务中心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港航安全环保专项</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87</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重庆市涪陵区港航海事事务中心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航道日常养护</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88</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重庆市涪陵区港航海事事务中心</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区港航海事事务中心遗属生活补助</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89</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重庆市涪陵区交通运输综合行政执法支队</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普通公路非现场治超点建设项目</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86.66</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90</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重庆市涪陵区交通运输综合行政执法支队</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交通工作运行经费缺口</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100</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91</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重庆市涪陵区交通运输综合行政执法支队</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交通综合执法工作保障</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86.66</w:t>
            </w:r>
          </w:p>
        </w:tc>
      </w:tr>
      <w:tr>
        <w:tblPrEx>
          <w:tblLayout w:type="fixed"/>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92</w:t>
            </w:r>
          </w:p>
        </w:tc>
        <w:tc>
          <w:tcPr>
            <w:tcW w:w="2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重庆市涪陵区交通运输综合行政执法支队</w:t>
            </w:r>
          </w:p>
        </w:tc>
        <w:tc>
          <w:tcPr>
            <w:tcW w:w="3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交通综合执法质量提升专项</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b/>
                <w:color w:val="000000"/>
                <w:sz w:val="15"/>
                <w:szCs w:val="15"/>
                <w:lang w:val="en-US" w:eastAsia="zh-CN"/>
              </w:rPr>
            </w:pPr>
            <w:r>
              <w:rPr>
                <w:rFonts w:hint="eastAsia" w:ascii="方正仿宋_GBK" w:hAnsi="Times New Roman" w:eastAsia="方正仿宋_GBK"/>
                <w:b/>
                <w:color w:val="000000"/>
                <w:sz w:val="15"/>
                <w:szCs w:val="15"/>
                <w:lang w:val="en-US" w:eastAsia="zh-CN"/>
              </w:rPr>
              <w:t>86.66</w:t>
            </w:r>
          </w:p>
        </w:tc>
      </w:tr>
    </w:tbl>
    <w:p>
      <w:pPr>
        <w:pStyle w:val="12"/>
        <w:spacing w:before="0" w:beforeAutospacing="0" w:after="0" w:afterAutospacing="0"/>
        <w:ind w:firstLine="560"/>
        <w:jc w:val="both"/>
        <w:rPr>
          <w:rStyle w:val="13"/>
          <w:rFonts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28"/>
          <w:szCs w:val="28"/>
          <w:shd w:val="clear" w:color="auto" w:fill="FFFFFF"/>
        </w:rPr>
        <w:t>3.项目支出绩效自评表</w:t>
      </w:r>
    </w:p>
    <w:tbl>
      <w:tblPr>
        <w:tblStyle w:val="9"/>
        <w:tblW w:w="7954"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600"/>
        <w:gridCol w:w="601"/>
        <w:gridCol w:w="585"/>
        <w:gridCol w:w="104"/>
        <w:gridCol w:w="841"/>
        <w:gridCol w:w="884"/>
        <w:gridCol w:w="450"/>
        <w:gridCol w:w="286"/>
        <w:gridCol w:w="105"/>
        <w:gridCol w:w="539"/>
        <w:gridCol w:w="151"/>
        <w:gridCol w:w="660"/>
        <w:gridCol w:w="359"/>
        <w:gridCol w:w="346"/>
        <w:gridCol w:w="658"/>
      </w:tblGrid>
      <w:tr>
        <w:tblPrEx>
          <w:tblLayout w:type="fixed"/>
        </w:tblPrEx>
        <w:trPr>
          <w:trHeight w:val="540" w:hRule="atLeast"/>
        </w:trPr>
        <w:tc>
          <w:tcPr>
            <w:tcW w:w="785" w:type="dxa"/>
            <w:shd w:val="clear" w:color="auto" w:fill="auto"/>
            <w:vAlign w:val="center"/>
          </w:tcPr>
          <w:p>
            <w:pPr>
              <w:jc w:val="both"/>
              <w:rPr>
                <w:rFonts w:cs="宋体"/>
                <w:b/>
                <w:bCs/>
                <w:color w:val="000000"/>
                <w:sz w:val="18"/>
                <w:szCs w:val="18"/>
              </w:rPr>
            </w:pPr>
            <w:r>
              <w:rPr>
                <w:rFonts w:cs="宋体"/>
                <w:b/>
                <w:bCs/>
                <w:color w:val="000000"/>
                <w:sz w:val="18"/>
                <w:szCs w:val="18"/>
              </w:rPr>
              <w:t>项目名称：</w:t>
            </w:r>
          </w:p>
        </w:tc>
        <w:tc>
          <w:tcPr>
            <w:tcW w:w="2731" w:type="dxa"/>
            <w:gridSpan w:val="5"/>
            <w:shd w:val="clear" w:color="auto" w:fill="auto"/>
            <w:vAlign w:val="center"/>
          </w:tcPr>
          <w:p>
            <w:pPr>
              <w:jc w:val="both"/>
              <w:rPr>
                <w:rFonts w:cs="宋体"/>
                <w:color w:val="000000"/>
                <w:sz w:val="18"/>
                <w:szCs w:val="18"/>
              </w:rPr>
            </w:pPr>
            <w:r>
              <w:rPr>
                <w:rFonts w:hint="eastAsia" w:cs="宋体"/>
                <w:color w:val="000000"/>
                <w:sz w:val="18"/>
                <w:szCs w:val="18"/>
              </w:rPr>
              <w:t>涪陵区支持服务业高质量发展物流板块奖补资金项目</w:t>
            </w:r>
          </w:p>
        </w:tc>
        <w:tc>
          <w:tcPr>
            <w:tcW w:w="1334" w:type="dxa"/>
            <w:gridSpan w:val="2"/>
            <w:shd w:val="clear" w:color="auto" w:fill="auto"/>
            <w:vAlign w:val="center"/>
          </w:tcPr>
          <w:p>
            <w:pPr>
              <w:jc w:val="both"/>
              <w:rPr>
                <w:rFonts w:cs="宋体"/>
                <w:b/>
                <w:bCs/>
                <w:color w:val="000000"/>
                <w:sz w:val="18"/>
                <w:szCs w:val="18"/>
              </w:rPr>
            </w:pPr>
            <w:r>
              <w:rPr>
                <w:rFonts w:cs="宋体"/>
                <w:b/>
                <w:bCs/>
                <w:color w:val="000000"/>
                <w:sz w:val="18"/>
                <w:szCs w:val="18"/>
              </w:rPr>
              <w:t>执行率得分：</w:t>
            </w:r>
          </w:p>
        </w:tc>
        <w:tc>
          <w:tcPr>
            <w:tcW w:w="930" w:type="dxa"/>
            <w:gridSpan w:val="3"/>
            <w:shd w:val="clear" w:color="auto" w:fill="auto"/>
            <w:vAlign w:val="center"/>
          </w:tcPr>
          <w:p>
            <w:pPr>
              <w:jc w:val="both"/>
              <w:rPr>
                <w:rFonts w:hint="default" w:eastAsia="宋体" w:cs="宋体"/>
                <w:b/>
                <w:bCs/>
                <w:color w:val="000000"/>
                <w:sz w:val="18"/>
                <w:szCs w:val="18"/>
                <w:lang w:val="en-US" w:eastAsia="zh-CN"/>
              </w:rPr>
            </w:pPr>
            <w:r>
              <w:rPr>
                <w:rFonts w:hint="eastAsia" w:cs="宋体"/>
                <w:b/>
                <w:bCs/>
                <w:color w:val="000000"/>
                <w:sz w:val="18"/>
                <w:szCs w:val="18"/>
                <w:lang w:val="en-US" w:eastAsia="zh-CN"/>
              </w:rPr>
              <w:t>10</w:t>
            </w:r>
          </w:p>
        </w:tc>
        <w:tc>
          <w:tcPr>
            <w:tcW w:w="1170" w:type="dxa"/>
            <w:gridSpan w:val="3"/>
            <w:shd w:val="clear" w:color="auto" w:fill="auto"/>
            <w:vAlign w:val="center"/>
          </w:tcPr>
          <w:p>
            <w:pPr>
              <w:jc w:val="both"/>
              <w:rPr>
                <w:rFonts w:cs="宋体"/>
                <w:b/>
                <w:bCs/>
                <w:color w:val="000000"/>
                <w:sz w:val="18"/>
                <w:szCs w:val="18"/>
              </w:rPr>
            </w:pPr>
            <w:r>
              <w:rPr>
                <w:rFonts w:cs="宋体"/>
                <w:b/>
                <w:bCs/>
                <w:color w:val="000000"/>
                <w:sz w:val="18"/>
                <w:szCs w:val="18"/>
              </w:rPr>
              <w:t>自评总分：</w:t>
            </w:r>
          </w:p>
        </w:tc>
        <w:tc>
          <w:tcPr>
            <w:tcW w:w="1004" w:type="dxa"/>
            <w:gridSpan w:val="2"/>
            <w:shd w:val="clear" w:color="auto" w:fill="auto"/>
            <w:vAlign w:val="center"/>
          </w:tcPr>
          <w:p>
            <w:pPr>
              <w:jc w:val="both"/>
              <w:rPr>
                <w:rFonts w:hint="default" w:eastAsia="宋体" w:cs="宋体"/>
                <w:b/>
                <w:bCs/>
                <w:color w:val="000000"/>
                <w:sz w:val="18"/>
                <w:szCs w:val="18"/>
                <w:lang w:val="en-US" w:eastAsia="zh-CN"/>
              </w:rPr>
            </w:pPr>
            <w:r>
              <w:rPr>
                <w:rFonts w:hint="eastAsia" w:cs="宋体"/>
                <w:b/>
                <w:bCs/>
                <w:color w:val="000000"/>
                <w:sz w:val="18"/>
                <w:szCs w:val="18"/>
                <w:lang w:val="en-US" w:eastAsia="zh-CN"/>
              </w:rPr>
              <w:t>100</w:t>
            </w:r>
          </w:p>
        </w:tc>
      </w:tr>
      <w:tr>
        <w:tblPrEx>
          <w:tblLayout w:type="fixed"/>
        </w:tblPrEx>
        <w:trPr>
          <w:trHeight w:val="435" w:hRule="atLeast"/>
        </w:trPr>
        <w:tc>
          <w:tcPr>
            <w:tcW w:w="7954" w:type="dxa"/>
            <w:gridSpan w:val="16"/>
            <w:shd w:val="clear" w:color="auto" w:fill="auto"/>
            <w:vAlign w:val="center"/>
          </w:tcPr>
          <w:p>
            <w:pPr>
              <w:jc w:val="both"/>
              <w:rPr>
                <w:rFonts w:ascii="微软雅黑" w:hAnsi="微软雅黑" w:eastAsia="微软雅黑" w:cs="宋体"/>
                <w:b/>
                <w:bCs/>
                <w:sz w:val="18"/>
                <w:szCs w:val="18"/>
              </w:rPr>
            </w:pPr>
            <w:r>
              <w:rPr>
                <w:rFonts w:ascii="微软雅黑" w:hAnsi="微软雅黑" w:eastAsia="微软雅黑" w:cs="宋体"/>
                <w:b/>
                <w:bCs/>
                <w:sz w:val="18"/>
                <w:szCs w:val="18"/>
              </w:rPr>
              <w:t>绩效目标</w:t>
            </w:r>
          </w:p>
        </w:tc>
      </w:tr>
      <w:tr>
        <w:tblPrEx>
          <w:tblLayout w:type="fixed"/>
        </w:tblPrEx>
        <w:trPr>
          <w:trHeight w:val="435" w:hRule="atLeast"/>
        </w:trPr>
        <w:tc>
          <w:tcPr>
            <w:tcW w:w="2571" w:type="dxa"/>
            <w:gridSpan w:val="4"/>
            <w:shd w:val="clear" w:color="auto" w:fill="auto"/>
            <w:vAlign w:val="center"/>
          </w:tcPr>
          <w:p>
            <w:pPr>
              <w:jc w:val="both"/>
              <w:rPr>
                <w:rFonts w:cs="宋体"/>
                <w:b/>
                <w:bCs/>
                <w:sz w:val="18"/>
                <w:szCs w:val="18"/>
              </w:rPr>
            </w:pPr>
            <w:r>
              <w:rPr>
                <w:rFonts w:cs="宋体"/>
                <w:b/>
                <w:bCs/>
                <w:sz w:val="18"/>
                <w:szCs w:val="18"/>
              </w:rPr>
              <w:t>年初绩效目标</w:t>
            </w:r>
          </w:p>
        </w:tc>
        <w:tc>
          <w:tcPr>
            <w:tcW w:w="2565" w:type="dxa"/>
            <w:gridSpan w:val="5"/>
            <w:shd w:val="clear" w:color="auto" w:fill="auto"/>
            <w:vAlign w:val="center"/>
          </w:tcPr>
          <w:p>
            <w:pPr>
              <w:jc w:val="both"/>
              <w:rPr>
                <w:rFonts w:cs="宋体"/>
                <w:b/>
                <w:bCs/>
                <w:sz w:val="18"/>
                <w:szCs w:val="18"/>
              </w:rPr>
            </w:pPr>
            <w:r>
              <w:rPr>
                <w:rFonts w:cs="宋体"/>
                <w:b/>
                <w:bCs/>
                <w:sz w:val="18"/>
                <w:szCs w:val="18"/>
              </w:rPr>
              <w:t>全年（调整）绩效目标</w:t>
            </w:r>
          </w:p>
        </w:tc>
        <w:tc>
          <w:tcPr>
            <w:tcW w:w="2818" w:type="dxa"/>
            <w:gridSpan w:val="7"/>
            <w:shd w:val="clear" w:color="auto" w:fill="auto"/>
            <w:vAlign w:val="center"/>
          </w:tcPr>
          <w:p>
            <w:pPr>
              <w:jc w:val="both"/>
              <w:rPr>
                <w:rFonts w:cs="宋体"/>
                <w:b/>
                <w:bCs/>
                <w:sz w:val="18"/>
                <w:szCs w:val="18"/>
              </w:rPr>
            </w:pPr>
            <w:r>
              <w:rPr>
                <w:rFonts w:cs="宋体"/>
                <w:b/>
                <w:bCs/>
                <w:sz w:val="18"/>
                <w:szCs w:val="18"/>
              </w:rPr>
              <w:t>全年目标实际完成情况</w:t>
            </w:r>
          </w:p>
        </w:tc>
      </w:tr>
      <w:tr>
        <w:tblPrEx>
          <w:tblLayout w:type="fixed"/>
        </w:tblPrEx>
        <w:trPr>
          <w:trHeight w:val="975" w:hRule="atLeast"/>
        </w:trPr>
        <w:tc>
          <w:tcPr>
            <w:tcW w:w="2571" w:type="dxa"/>
            <w:gridSpan w:val="4"/>
            <w:shd w:val="clear" w:color="auto" w:fill="auto"/>
          </w:tcPr>
          <w:p>
            <w:pPr>
              <w:jc w:val="both"/>
              <w:rPr>
                <w:rFonts w:cs="宋体"/>
                <w:sz w:val="18"/>
                <w:szCs w:val="18"/>
              </w:rPr>
            </w:pPr>
            <w:r>
              <w:rPr>
                <w:rFonts w:hint="eastAsia" w:cs="宋体"/>
                <w:sz w:val="18"/>
                <w:szCs w:val="18"/>
              </w:rPr>
              <w:t>根据《重庆市涪陵区人民政府办公室关于印发涪陵区支持服务业高质量发展的若干政策（试行）的通知》（涪陵府办发〔2021〕45号），完成对涪陵区物流企业升规、促进物流业集聚发展、物流企业信息化建设、物流企业品牌培育、物流企业新增运力、发展保税物流、推动西部陆海新通道辅枢纽建设等方面的资金补贴，支持涪陵区服务业高质量发展。</w:t>
            </w:r>
          </w:p>
        </w:tc>
        <w:tc>
          <w:tcPr>
            <w:tcW w:w="2565" w:type="dxa"/>
            <w:gridSpan w:val="5"/>
            <w:shd w:val="clear" w:color="auto" w:fill="auto"/>
          </w:tcPr>
          <w:p>
            <w:pPr>
              <w:jc w:val="both"/>
              <w:rPr>
                <w:rFonts w:cs="宋体"/>
                <w:sz w:val="18"/>
                <w:szCs w:val="18"/>
              </w:rPr>
            </w:pPr>
            <w:r>
              <w:rPr>
                <w:rFonts w:hint="eastAsia" w:cs="宋体"/>
                <w:sz w:val="18"/>
                <w:szCs w:val="18"/>
              </w:rPr>
              <w:t>根据《重庆市涪陵区人民政府办公室关于印发涪陵区支持服务业高质量发展的若干政策（试行）的通知》（涪陵府办发〔2021〕45号），完成对涪陵区物流企业升规、促进物流业集聚发展、物流企业信息化建设、物流企业品牌培育、物流企业新增运力、发展保税物流、推动西部陆海新通道辅枢纽建设等方面的资金补贴，支持涪陵区服务业高质量发展。</w:t>
            </w:r>
          </w:p>
        </w:tc>
        <w:tc>
          <w:tcPr>
            <w:tcW w:w="2818" w:type="dxa"/>
            <w:gridSpan w:val="7"/>
            <w:shd w:val="clear" w:color="auto" w:fill="auto"/>
          </w:tcPr>
          <w:p>
            <w:pPr>
              <w:jc w:val="both"/>
              <w:rPr>
                <w:rFonts w:cs="宋体"/>
                <w:sz w:val="18"/>
                <w:szCs w:val="18"/>
              </w:rPr>
            </w:pPr>
            <w:r>
              <w:rPr>
                <w:rFonts w:hint="eastAsia" w:cs="宋体"/>
                <w:sz w:val="18"/>
                <w:szCs w:val="18"/>
              </w:rPr>
              <w:t>根据《重庆市涪陵区人民政府办公室关于印发涪陵区支持服务业高质量发展的若干政策（试行）的通知》（涪陵府办发〔2021〕45号），完成对涪陵区物流企业升规、促进物流业集聚发展、物流企业信息化建设、物流企业品牌培育、物流企业新增运力、发展保税物流、推动西部陆海新通道辅枢纽建设等方面的资金补贴，支持涪陵区服务业高质量发展。</w:t>
            </w:r>
          </w:p>
        </w:tc>
      </w:tr>
      <w:tr>
        <w:tblPrEx>
          <w:tblLayout w:type="fixed"/>
        </w:tblPrEx>
        <w:trPr>
          <w:trHeight w:val="435" w:hRule="atLeast"/>
        </w:trPr>
        <w:tc>
          <w:tcPr>
            <w:tcW w:w="7954" w:type="dxa"/>
            <w:gridSpan w:val="16"/>
            <w:shd w:val="clear" w:color="auto" w:fill="auto"/>
            <w:vAlign w:val="center"/>
          </w:tcPr>
          <w:p>
            <w:pPr>
              <w:jc w:val="both"/>
              <w:rPr>
                <w:rFonts w:ascii="微软雅黑" w:hAnsi="微软雅黑" w:eastAsia="微软雅黑" w:cs="宋体"/>
                <w:b/>
                <w:bCs/>
                <w:sz w:val="18"/>
                <w:szCs w:val="18"/>
              </w:rPr>
            </w:pPr>
            <w:r>
              <w:rPr>
                <w:rFonts w:ascii="微软雅黑" w:hAnsi="微软雅黑" w:eastAsia="微软雅黑" w:cs="宋体"/>
                <w:b/>
                <w:bCs/>
                <w:sz w:val="18"/>
                <w:szCs w:val="18"/>
              </w:rPr>
              <w:t>绩效指标</w:t>
            </w:r>
          </w:p>
        </w:tc>
      </w:tr>
      <w:tr>
        <w:tblPrEx>
          <w:tblLayout w:type="fixed"/>
        </w:tblPrEx>
        <w:trPr>
          <w:trHeight w:val="1080" w:hRule="atLeast"/>
        </w:trPr>
        <w:tc>
          <w:tcPr>
            <w:tcW w:w="785" w:type="dxa"/>
            <w:shd w:val="clear" w:color="auto" w:fill="auto"/>
            <w:vAlign w:val="center"/>
          </w:tcPr>
          <w:p>
            <w:pPr>
              <w:jc w:val="both"/>
              <w:rPr>
                <w:rFonts w:cs="宋体"/>
                <w:b/>
                <w:bCs/>
                <w:color w:val="000000"/>
                <w:sz w:val="18"/>
                <w:szCs w:val="18"/>
              </w:rPr>
            </w:pPr>
            <w:r>
              <w:rPr>
                <w:rFonts w:cs="宋体"/>
                <w:b/>
                <w:bCs/>
                <w:color w:val="000000"/>
                <w:sz w:val="18"/>
                <w:szCs w:val="18"/>
              </w:rPr>
              <w:t>指标名称</w:t>
            </w:r>
          </w:p>
        </w:tc>
        <w:tc>
          <w:tcPr>
            <w:tcW w:w="600" w:type="dxa"/>
            <w:shd w:val="clear" w:color="auto" w:fill="auto"/>
            <w:vAlign w:val="center"/>
          </w:tcPr>
          <w:p>
            <w:pPr>
              <w:jc w:val="both"/>
              <w:rPr>
                <w:rFonts w:cs="宋体"/>
                <w:b/>
                <w:bCs/>
                <w:color w:val="000000"/>
                <w:sz w:val="18"/>
                <w:szCs w:val="18"/>
              </w:rPr>
            </w:pPr>
            <w:r>
              <w:rPr>
                <w:rFonts w:cs="宋体"/>
                <w:b/>
                <w:bCs/>
                <w:color w:val="000000"/>
                <w:sz w:val="18"/>
                <w:szCs w:val="18"/>
              </w:rPr>
              <w:t>计量单位</w:t>
            </w:r>
          </w:p>
        </w:tc>
        <w:tc>
          <w:tcPr>
            <w:tcW w:w="601" w:type="dxa"/>
            <w:shd w:val="clear" w:color="auto" w:fill="auto"/>
            <w:vAlign w:val="center"/>
          </w:tcPr>
          <w:p>
            <w:pPr>
              <w:jc w:val="both"/>
              <w:rPr>
                <w:rFonts w:cs="宋体"/>
                <w:b/>
                <w:bCs/>
                <w:color w:val="000000"/>
                <w:sz w:val="18"/>
                <w:szCs w:val="18"/>
              </w:rPr>
            </w:pPr>
            <w:r>
              <w:rPr>
                <w:rFonts w:cs="宋体"/>
                <w:b/>
                <w:bCs/>
                <w:color w:val="000000"/>
                <w:sz w:val="18"/>
                <w:szCs w:val="18"/>
              </w:rPr>
              <w:t>指标性质</w:t>
            </w:r>
          </w:p>
        </w:tc>
        <w:tc>
          <w:tcPr>
            <w:tcW w:w="689" w:type="dxa"/>
            <w:gridSpan w:val="2"/>
            <w:shd w:val="clear" w:color="auto" w:fill="auto"/>
            <w:vAlign w:val="center"/>
          </w:tcPr>
          <w:p>
            <w:pPr>
              <w:jc w:val="both"/>
              <w:rPr>
                <w:rFonts w:cs="宋体"/>
                <w:b/>
                <w:bCs/>
                <w:color w:val="000000"/>
                <w:sz w:val="18"/>
                <w:szCs w:val="18"/>
              </w:rPr>
            </w:pPr>
            <w:r>
              <w:rPr>
                <w:rFonts w:cs="宋体"/>
                <w:b/>
                <w:bCs/>
                <w:color w:val="000000"/>
                <w:sz w:val="18"/>
                <w:szCs w:val="18"/>
              </w:rPr>
              <w:t>指标值</w:t>
            </w:r>
          </w:p>
        </w:tc>
        <w:tc>
          <w:tcPr>
            <w:tcW w:w="841" w:type="dxa"/>
            <w:shd w:val="clear" w:color="auto" w:fill="auto"/>
            <w:vAlign w:val="center"/>
          </w:tcPr>
          <w:p>
            <w:pPr>
              <w:jc w:val="both"/>
              <w:rPr>
                <w:rFonts w:cs="宋体"/>
                <w:b/>
                <w:bCs/>
                <w:color w:val="000000"/>
                <w:sz w:val="18"/>
                <w:szCs w:val="18"/>
              </w:rPr>
            </w:pPr>
            <w:r>
              <w:rPr>
                <w:rFonts w:cs="宋体"/>
                <w:b/>
                <w:bCs/>
                <w:color w:val="000000"/>
                <w:sz w:val="18"/>
                <w:szCs w:val="18"/>
              </w:rPr>
              <w:t>全年完成值</w:t>
            </w:r>
          </w:p>
        </w:tc>
        <w:tc>
          <w:tcPr>
            <w:tcW w:w="884" w:type="dxa"/>
            <w:shd w:val="clear" w:color="auto" w:fill="auto"/>
            <w:vAlign w:val="center"/>
          </w:tcPr>
          <w:p>
            <w:pPr>
              <w:jc w:val="both"/>
              <w:rPr>
                <w:rFonts w:cs="宋体"/>
                <w:b/>
                <w:bCs/>
                <w:color w:val="000000"/>
                <w:sz w:val="18"/>
                <w:szCs w:val="18"/>
              </w:rPr>
            </w:pPr>
            <w:r>
              <w:rPr>
                <w:rFonts w:cs="宋体"/>
                <w:b/>
                <w:bCs/>
                <w:color w:val="000000"/>
                <w:sz w:val="18"/>
                <w:szCs w:val="18"/>
              </w:rPr>
              <w:t>偏离度（%）</w:t>
            </w:r>
          </w:p>
        </w:tc>
        <w:tc>
          <w:tcPr>
            <w:tcW w:w="841" w:type="dxa"/>
            <w:gridSpan w:val="3"/>
            <w:shd w:val="clear" w:color="auto" w:fill="auto"/>
            <w:vAlign w:val="center"/>
          </w:tcPr>
          <w:p>
            <w:pPr>
              <w:jc w:val="both"/>
              <w:rPr>
                <w:rFonts w:cs="宋体"/>
                <w:b/>
                <w:bCs/>
                <w:color w:val="000000"/>
                <w:sz w:val="18"/>
                <w:szCs w:val="18"/>
              </w:rPr>
            </w:pPr>
            <w:r>
              <w:rPr>
                <w:rFonts w:cs="宋体"/>
                <w:b/>
                <w:bCs/>
                <w:color w:val="000000"/>
                <w:sz w:val="18"/>
                <w:szCs w:val="18"/>
              </w:rPr>
              <w:t>得分系数（%）</w:t>
            </w:r>
          </w:p>
        </w:tc>
        <w:tc>
          <w:tcPr>
            <w:tcW w:w="690" w:type="dxa"/>
            <w:gridSpan w:val="2"/>
            <w:shd w:val="clear" w:color="auto" w:fill="auto"/>
            <w:vAlign w:val="center"/>
          </w:tcPr>
          <w:p>
            <w:pPr>
              <w:jc w:val="both"/>
              <w:rPr>
                <w:rFonts w:cs="宋体"/>
                <w:b/>
                <w:bCs/>
                <w:color w:val="000000"/>
                <w:sz w:val="18"/>
                <w:szCs w:val="18"/>
              </w:rPr>
            </w:pPr>
            <w:r>
              <w:rPr>
                <w:rFonts w:cs="宋体"/>
                <w:b/>
                <w:bCs/>
                <w:color w:val="000000"/>
                <w:sz w:val="18"/>
                <w:szCs w:val="18"/>
              </w:rPr>
              <w:t>指标权重</w:t>
            </w:r>
          </w:p>
        </w:tc>
        <w:tc>
          <w:tcPr>
            <w:tcW w:w="660" w:type="dxa"/>
            <w:shd w:val="clear" w:color="auto" w:fill="auto"/>
            <w:vAlign w:val="center"/>
          </w:tcPr>
          <w:p>
            <w:pPr>
              <w:jc w:val="both"/>
              <w:rPr>
                <w:rFonts w:cs="宋体"/>
                <w:b/>
                <w:bCs/>
                <w:color w:val="000000"/>
                <w:sz w:val="18"/>
                <w:szCs w:val="18"/>
              </w:rPr>
            </w:pPr>
            <w:r>
              <w:rPr>
                <w:rFonts w:cs="宋体"/>
                <w:b/>
                <w:bCs/>
                <w:color w:val="000000"/>
                <w:sz w:val="18"/>
                <w:szCs w:val="18"/>
              </w:rPr>
              <w:t>指标得分</w:t>
            </w:r>
          </w:p>
        </w:tc>
        <w:tc>
          <w:tcPr>
            <w:tcW w:w="705" w:type="dxa"/>
            <w:gridSpan w:val="2"/>
            <w:shd w:val="clear" w:color="auto" w:fill="auto"/>
            <w:vAlign w:val="center"/>
          </w:tcPr>
          <w:p>
            <w:pPr>
              <w:jc w:val="both"/>
              <w:rPr>
                <w:rFonts w:cs="宋体"/>
                <w:b/>
                <w:bCs/>
                <w:color w:val="000000"/>
                <w:sz w:val="18"/>
                <w:szCs w:val="18"/>
              </w:rPr>
            </w:pPr>
            <w:r>
              <w:rPr>
                <w:rFonts w:cs="宋体"/>
                <w:b/>
                <w:bCs/>
                <w:color w:val="000000"/>
                <w:sz w:val="18"/>
                <w:szCs w:val="18"/>
              </w:rPr>
              <w:t>是否核心指标</w:t>
            </w:r>
          </w:p>
        </w:tc>
        <w:tc>
          <w:tcPr>
            <w:tcW w:w="658" w:type="dxa"/>
            <w:shd w:val="clear" w:color="auto" w:fill="auto"/>
            <w:vAlign w:val="center"/>
          </w:tcPr>
          <w:p>
            <w:pPr>
              <w:jc w:val="both"/>
              <w:rPr>
                <w:rFonts w:cs="宋体"/>
                <w:b/>
                <w:bCs/>
                <w:color w:val="000000"/>
                <w:sz w:val="18"/>
                <w:szCs w:val="18"/>
              </w:rPr>
            </w:pPr>
            <w:r>
              <w:rPr>
                <w:rFonts w:cs="宋体"/>
                <w:b/>
                <w:bCs/>
                <w:color w:val="000000"/>
                <w:sz w:val="18"/>
                <w:szCs w:val="18"/>
              </w:rPr>
              <w:t>说明</w:t>
            </w:r>
          </w:p>
        </w:tc>
      </w:tr>
      <w:tr>
        <w:tblPrEx>
          <w:tblLayout w:type="fixed"/>
        </w:tblPrEx>
        <w:trPr>
          <w:trHeight w:val="435" w:hRule="atLeast"/>
        </w:trPr>
        <w:tc>
          <w:tcPr>
            <w:tcW w:w="785" w:type="dxa"/>
            <w:shd w:val="clear" w:color="auto" w:fill="auto"/>
            <w:vAlign w:val="center"/>
          </w:tcPr>
          <w:p>
            <w:pPr>
              <w:jc w:val="both"/>
              <w:rPr>
                <w:rFonts w:hint="eastAsia" w:cs="宋体"/>
                <w:color w:val="000000"/>
                <w:sz w:val="18"/>
                <w:szCs w:val="18"/>
              </w:rPr>
            </w:pPr>
            <w:r>
              <w:rPr>
                <w:rFonts w:hint="eastAsia" w:cs="宋体"/>
                <w:color w:val="000000"/>
                <w:sz w:val="18"/>
                <w:szCs w:val="18"/>
                <w:lang w:val="en-US" w:eastAsia="zh-CN"/>
              </w:rPr>
              <w:t>新增运力（船舶）</w:t>
            </w:r>
          </w:p>
        </w:tc>
        <w:tc>
          <w:tcPr>
            <w:tcW w:w="600" w:type="dxa"/>
            <w:shd w:val="clear" w:color="auto" w:fill="auto"/>
            <w:vAlign w:val="center"/>
          </w:tcPr>
          <w:p>
            <w:pPr>
              <w:jc w:val="both"/>
              <w:rPr>
                <w:rFonts w:hint="eastAsia" w:cs="宋体"/>
                <w:color w:val="000000"/>
                <w:sz w:val="18"/>
                <w:szCs w:val="18"/>
                <w:lang w:eastAsia="zh-CN"/>
              </w:rPr>
            </w:pPr>
            <w:r>
              <w:rPr>
                <w:rFonts w:hint="eastAsia" w:cs="宋体"/>
                <w:color w:val="000000"/>
                <w:sz w:val="18"/>
                <w:szCs w:val="18"/>
                <w:lang w:val="en-US" w:eastAsia="zh-CN"/>
              </w:rPr>
              <w:t>艘</w:t>
            </w:r>
          </w:p>
        </w:tc>
        <w:tc>
          <w:tcPr>
            <w:tcW w:w="601" w:type="dxa"/>
            <w:shd w:val="clear" w:color="auto" w:fill="auto"/>
            <w:vAlign w:val="center"/>
          </w:tcPr>
          <w:p>
            <w:pPr>
              <w:jc w:val="both"/>
              <w:rPr>
                <w:rFonts w:hint="eastAsia" w:cs="宋体"/>
                <w:color w:val="000000"/>
                <w:sz w:val="18"/>
                <w:szCs w:val="18"/>
                <w:lang w:eastAsia="zh-CN"/>
              </w:rPr>
            </w:pPr>
            <w:r>
              <w:rPr>
                <w:rFonts w:hint="eastAsia" w:cs="宋体"/>
                <w:color w:val="000000"/>
                <w:sz w:val="18"/>
                <w:szCs w:val="18"/>
                <w:lang w:val="en-US" w:eastAsia="zh-CN"/>
              </w:rPr>
              <w:t>≥</w:t>
            </w:r>
          </w:p>
        </w:tc>
        <w:tc>
          <w:tcPr>
            <w:tcW w:w="689" w:type="dxa"/>
            <w:gridSpan w:val="2"/>
            <w:shd w:val="clear" w:color="auto" w:fill="auto"/>
            <w:vAlign w:val="center"/>
          </w:tcPr>
          <w:p>
            <w:pPr>
              <w:jc w:val="both"/>
              <w:rPr>
                <w:rFonts w:hint="eastAsia" w:cs="宋体"/>
                <w:color w:val="000000"/>
                <w:sz w:val="18"/>
                <w:szCs w:val="18"/>
                <w:lang w:val="en-US" w:eastAsia="zh-CN"/>
              </w:rPr>
            </w:pPr>
            <w:r>
              <w:rPr>
                <w:rFonts w:hint="eastAsia" w:cs="宋体"/>
                <w:color w:val="000000"/>
                <w:sz w:val="18"/>
                <w:szCs w:val="18"/>
                <w:lang w:val="en-US" w:eastAsia="zh-CN"/>
              </w:rPr>
              <w:t>25</w:t>
            </w:r>
          </w:p>
        </w:tc>
        <w:tc>
          <w:tcPr>
            <w:tcW w:w="841" w:type="dxa"/>
            <w:shd w:val="clear" w:color="auto" w:fill="auto"/>
            <w:vAlign w:val="center"/>
          </w:tcPr>
          <w:p>
            <w:pPr>
              <w:jc w:val="both"/>
              <w:rPr>
                <w:rFonts w:hint="eastAsia" w:cs="宋体"/>
                <w:color w:val="000000"/>
                <w:sz w:val="18"/>
                <w:szCs w:val="18"/>
                <w:lang w:val="en-US" w:eastAsia="zh-CN"/>
              </w:rPr>
            </w:pPr>
            <w:r>
              <w:rPr>
                <w:rFonts w:hint="eastAsia" w:cs="宋体"/>
                <w:color w:val="000000"/>
                <w:sz w:val="18"/>
                <w:szCs w:val="18"/>
                <w:lang w:val="en-US" w:eastAsia="zh-CN"/>
              </w:rPr>
              <w:t>25</w:t>
            </w:r>
          </w:p>
        </w:tc>
        <w:tc>
          <w:tcPr>
            <w:tcW w:w="884" w:type="dxa"/>
            <w:shd w:val="clear" w:color="auto" w:fill="auto"/>
            <w:vAlign w:val="center"/>
          </w:tcPr>
          <w:p>
            <w:pPr>
              <w:jc w:val="both"/>
              <w:rPr>
                <w:rFonts w:hint="eastAsia" w:cs="宋体"/>
                <w:color w:val="000000"/>
                <w:sz w:val="18"/>
                <w:szCs w:val="18"/>
                <w:lang w:val="en-US" w:eastAsia="zh-CN"/>
              </w:rPr>
            </w:pPr>
            <w:r>
              <w:rPr>
                <w:rFonts w:hint="eastAsia" w:cs="宋体"/>
                <w:color w:val="000000"/>
                <w:sz w:val="18"/>
                <w:szCs w:val="18"/>
                <w:lang w:val="en-US" w:eastAsia="zh-CN"/>
              </w:rPr>
              <w:t>0</w:t>
            </w:r>
          </w:p>
        </w:tc>
        <w:tc>
          <w:tcPr>
            <w:tcW w:w="841" w:type="dxa"/>
            <w:gridSpan w:val="3"/>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100</w:t>
            </w:r>
          </w:p>
        </w:tc>
        <w:tc>
          <w:tcPr>
            <w:tcW w:w="690" w:type="dxa"/>
            <w:gridSpan w:val="2"/>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30</w:t>
            </w:r>
          </w:p>
        </w:tc>
        <w:tc>
          <w:tcPr>
            <w:tcW w:w="660" w:type="dxa"/>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30</w:t>
            </w:r>
          </w:p>
        </w:tc>
        <w:tc>
          <w:tcPr>
            <w:tcW w:w="705" w:type="dxa"/>
            <w:gridSpan w:val="2"/>
            <w:shd w:val="clear" w:color="auto" w:fill="auto"/>
            <w:vAlign w:val="center"/>
          </w:tcPr>
          <w:p>
            <w:pPr>
              <w:jc w:val="both"/>
              <w:rPr>
                <w:rFonts w:hint="eastAsia" w:cs="宋体"/>
                <w:color w:val="000000"/>
                <w:sz w:val="18"/>
                <w:szCs w:val="18"/>
                <w:lang w:val="en-US" w:eastAsia="zh-CN"/>
              </w:rPr>
            </w:pPr>
            <w:r>
              <w:rPr>
                <w:rFonts w:hint="eastAsia" w:cs="宋体"/>
                <w:color w:val="000000"/>
                <w:sz w:val="18"/>
                <w:szCs w:val="18"/>
                <w:lang w:val="en-US" w:eastAsia="zh-CN"/>
              </w:rPr>
              <w:t>是</w:t>
            </w:r>
          </w:p>
        </w:tc>
        <w:tc>
          <w:tcPr>
            <w:tcW w:w="658" w:type="dxa"/>
            <w:shd w:val="clear" w:color="auto" w:fill="auto"/>
            <w:vAlign w:val="center"/>
          </w:tcPr>
          <w:p>
            <w:pPr>
              <w:jc w:val="both"/>
              <w:rPr>
                <w:rFonts w:hint="eastAsia" w:cs="宋体"/>
                <w:color w:val="000000"/>
                <w:sz w:val="18"/>
                <w:szCs w:val="18"/>
                <w:lang w:val="en-US" w:eastAsia="zh-CN"/>
              </w:rPr>
            </w:pPr>
          </w:p>
        </w:tc>
      </w:tr>
      <w:tr>
        <w:tblPrEx>
          <w:tblLayout w:type="fixed"/>
        </w:tblPrEx>
        <w:trPr>
          <w:trHeight w:val="435" w:hRule="atLeast"/>
        </w:trPr>
        <w:tc>
          <w:tcPr>
            <w:tcW w:w="785" w:type="dxa"/>
            <w:shd w:val="clear" w:color="auto" w:fill="auto"/>
            <w:vAlign w:val="center"/>
          </w:tcPr>
          <w:p>
            <w:pPr>
              <w:jc w:val="both"/>
              <w:rPr>
                <w:rFonts w:hint="eastAsia" w:cs="宋体"/>
                <w:color w:val="000000"/>
                <w:sz w:val="18"/>
                <w:szCs w:val="18"/>
                <w:lang w:val="en-US" w:eastAsia="zh-CN"/>
              </w:rPr>
            </w:pPr>
            <w:r>
              <w:rPr>
                <w:rFonts w:hint="eastAsia" w:cs="宋体"/>
                <w:color w:val="000000"/>
                <w:sz w:val="18"/>
                <w:szCs w:val="18"/>
                <w:lang w:val="en-US" w:eastAsia="zh-CN"/>
              </w:rPr>
              <w:t>支持物流企业新增运力（车辆）数量</w:t>
            </w:r>
          </w:p>
        </w:tc>
        <w:tc>
          <w:tcPr>
            <w:tcW w:w="600" w:type="dxa"/>
            <w:shd w:val="clear" w:color="auto" w:fill="auto"/>
            <w:vAlign w:val="center"/>
          </w:tcPr>
          <w:p>
            <w:pPr>
              <w:jc w:val="both"/>
              <w:rPr>
                <w:rFonts w:hint="eastAsia" w:cs="宋体"/>
                <w:color w:val="000000"/>
                <w:sz w:val="18"/>
                <w:szCs w:val="18"/>
                <w:lang w:eastAsia="zh-CN"/>
              </w:rPr>
            </w:pPr>
            <w:r>
              <w:rPr>
                <w:rFonts w:hint="eastAsia" w:cs="宋体"/>
                <w:color w:val="000000"/>
                <w:sz w:val="18"/>
                <w:szCs w:val="18"/>
                <w:lang w:val="en-US" w:eastAsia="zh-CN"/>
              </w:rPr>
              <w:t>辆</w:t>
            </w:r>
          </w:p>
        </w:tc>
        <w:tc>
          <w:tcPr>
            <w:tcW w:w="601" w:type="dxa"/>
            <w:shd w:val="clear" w:color="auto" w:fill="auto"/>
            <w:vAlign w:val="center"/>
          </w:tcPr>
          <w:p>
            <w:pPr>
              <w:jc w:val="both"/>
              <w:rPr>
                <w:rFonts w:hint="eastAsia" w:cs="宋体"/>
                <w:color w:val="000000"/>
                <w:sz w:val="18"/>
                <w:szCs w:val="18"/>
              </w:rPr>
            </w:pPr>
            <w:r>
              <w:rPr>
                <w:rFonts w:hint="eastAsia" w:cs="宋体"/>
                <w:color w:val="000000"/>
                <w:sz w:val="18"/>
                <w:szCs w:val="18"/>
                <w:lang w:val="en-US" w:eastAsia="zh-CN"/>
              </w:rPr>
              <w:t>≥</w:t>
            </w:r>
          </w:p>
        </w:tc>
        <w:tc>
          <w:tcPr>
            <w:tcW w:w="689" w:type="dxa"/>
            <w:gridSpan w:val="2"/>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15</w:t>
            </w:r>
          </w:p>
        </w:tc>
        <w:tc>
          <w:tcPr>
            <w:tcW w:w="841" w:type="dxa"/>
            <w:shd w:val="clear" w:color="auto" w:fill="auto"/>
            <w:vAlign w:val="center"/>
          </w:tcPr>
          <w:p>
            <w:pPr>
              <w:jc w:val="both"/>
              <w:rPr>
                <w:rFonts w:hint="default" w:cs="宋体"/>
                <w:color w:val="000000"/>
                <w:sz w:val="18"/>
                <w:szCs w:val="18"/>
                <w:lang w:val="en-US"/>
              </w:rPr>
            </w:pPr>
            <w:r>
              <w:rPr>
                <w:rFonts w:hint="eastAsia" w:cs="宋体"/>
                <w:color w:val="000000"/>
                <w:sz w:val="18"/>
                <w:szCs w:val="18"/>
                <w:lang w:val="en-US" w:eastAsia="zh-CN"/>
              </w:rPr>
              <w:t>15</w:t>
            </w:r>
          </w:p>
        </w:tc>
        <w:tc>
          <w:tcPr>
            <w:tcW w:w="884" w:type="dxa"/>
            <w:shd w:val="clear" w:color="auto" w:fill="auto"/>
            <w:vAlign w:val="center"/>
          </w:tcPr>
          <w:p>
            <w:pPr>
              <w:jc w:val="both"/>
              <w:rPr>
                <w:rFonts w:hint="eastAsia" w:cs="宋体"/>
                <w:color w:val="000000"/>
                <w:sz w:val="18"/>
                <w:szCs w:val="18"/>
                <w:lang w:val="en-US" w:eastAsia="zh-CN"/>
              </w:rPr>
            </w:pPr>
            <w:r>
              <w:rPr>
                <w:rFonts w:hint="eastAsia" w:cs="宋体"/>
                <w:color w:val="000000"/>
                <w:sz w:val="18"/>
                <w:szCs w:val="18"/>
                <w:lang w:val="en-US" w:eastAsia="zh-CN"/>
              </w:rPr>
              <w:t>0</w:t>
            </w:r>
          </w:p>
        </w:tc>
        <w:tc>
          <w:tcPr>
            <w:tcW w:w="841" w:type="dxa"/>
            <w:gridSpan w:val="3"/>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100</w:t>
            </w:r>
          </w:p>
        </w:tc>
        <w:tc>
          <w:tcPr>
            <w:tcW w:w="690" w:type="dxa"/>
            <w:gridSpan w:val="2"/>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20</w:t>
            </w:r>
          </w:p>
        </w:tc>
        <w:tc>
          <w:tcPr>
            <w:tcW w:w="660" w:type="dxa"/>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20</w:t>
            </w:r>
          </w:p>
        </w:tc>
        <w:tc>
          <w:tcPr>
            <w:tcW w:w="705" w:type="dxa"/>
            <w:gridSpan w:val="2"/>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是</w:t>
            </w:r>
          </w:p>
        </w:tc>
        <w:tc>
          <w:tcPr>
            <w:tcW w:w="658" w:type="dxa"/>
            <w:shd w:val="clear" w:color="auto" w:fill="auto"/>
            <w:vAlign w:val="center"/>
          </w:tcPr>
          <w:p>
            <w:pPr>
              <w:jc w:val="both"/>
              <w:rPr>
                <w:rFonts w:hint="eastAsia" w:cs="宋体"/>
                <w:color w:val="000000"/>
                <w:sz w:val="18"/>
                <w:szCs w:val="18"/>
                <w:lang w:val="en-US" w:eastAsia="zh-CN"/>
              </w:rPr>
            </w:pPr>
          </w:p>
        </w:tc>
      </w:tr>
      <w:tr>
        <w:tblPrEx>
          <w:tblLayout w:type="fixed"/>
        </w:tblPrEx>
        <w:trPr>
          <w:trHeight w:val="435" w:hRule="atLeast"/>
        </w:trPr>
        <w:tc>
          <w:tcPr>
            <w:tcW w:w="785" w:type="dxa"/>
            <w:shd w:val="clear" w:color="auto" w:fill="auto"/>
            <w:vAlign w:val="center"/>
          </w:tcPr>
          <w:p>
            <w:pPr>
              <w:jc w:val="both"/>
              <w:rPr>
                <w:rFonts w:hint="eastAsia" w:cs="宋体"/>
                <w:color w:val="000000"/>
                <w:sz w:val="18"/>
                <w:szCs w:val="18"/>
              </w:rPr>
            </w:pPr>
            <w:r>
              <w:rPr>
                <w:rFonts w:hint="eastAsia" w:cs="宋体"/>
                <w:color w:val="000000"/>
                <w:sz w:val="18"/>
                <w:szCs w:val="18"/>
                <w:lang w:val="en-US" w:eastAsia="zh-CN"/>
              </w:rPr>
              <w:t>新增运力（车辆）总吨</w:t>
            </w:r>
          </w:p>
        </w:tc>
        <w:tc>
          <w:tcPr>
            <w:tcW w:w="600" w:type="dxa"/>
            <w:shd w:val="clear" w:color="auto" w:fill="auto"/>
            <w:vAlign w:val="center"/>
          </w:tcPr>
          <w:p>
            <w:pPr>
              <w:jc w:val="both"/>
              <w:rPr>
                <w:rFonts w:hint="eastAsia" w:cs="宋体"/>
                <w:color w:val="000000"/>
                <w:sz w:val="18"/>
                <w:szCs w:val="18"/>
                <w:lang w:eastAsia="zh-CN"/>
              </w:rPr>
            </w:pPr>
            <w:r>
              <w:rPr>
                <w:rFonts w:hint="eastAsia" w:cs="宋体"/>
                <w:color w:val="000000"/>
                <w:sz w:val="18"/>
                <w:szCs w:val="18"/>
                <w:lang w:val="en-US" w:eastAsia="zh-CN"/>
              </w:rPr>
              <w:t>载重吨</w:t>
            </w:r>
          </w:p>
        </w:tc>
        <w:tc>
          <w:tcPr>
            <w:tcW w:w="601" w:type="dxa"/>
            <w:shd w:val="clear" w:color="auto" w:fill="auto"/>
            <w:vAlign w:val="center"/>
          </w:tcPr>
          <w:p>
            <w:pPr>
              <w:jc w:val="both"/>
              <w:rPr>
                <w:rFonts w:hint="eastAsia" w:cs="宋体"/>
                <w:color w:val="000000"/>
                <w:sz w:val="18"/>
                <w:szCs w:val="18"/>
              </w:rPr>
            </w:pPr>
            <w:r>
              <w:rPr>
                <w:rFonts w:hint="eastAsia" w:cs="宋体"/>
                <w:color w:val="000000"/>
                <w:sz w:val="18"/>
                <w:szCs w:val="18"/>
                <w:lang w:val="en-US" w:eastAsia="zh-CN"/>
              </w:rPr>
              <w:t>≥</w:t>
            </w:r>
          </w:p>
        </w:tc>
        <w:tc>
          <w:tcPr>
            <w:tcW w:w="689" w:type="dxa"/>
            <w:gridSpan w:val="2"/>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500</w:t>
            </w:r>
          </w:p>
        </w:tc>
        <w:tc>
          <w:tcPr>
            <w:tcW w:w="841" w:type="dxa"/>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500</w:t>
            </w:r>
          </w:p>
        </w:tc>
        <w:tc>
          <w:tcPr>
            <w:tcW w:w="884" w:type="dxa"/>
            <w:shd w:val="clear" w:color="auto" w:fill="auto"/>
            <w:vAlign w:val="center"/>
          </w:tcPr>
          <w:p>
            <w:pPr>
              <w:jc w:val="both"/>
              <w:rPr>
                <w:rFonts w:hint="eastAsia" w:cs="宋体"/>
                <w:color w:val="000000"/>
                <w:sz w:val="18"/>
                <w:szCs w:val="18"/>
                <w:lang w:val="en-US" w:eastAsia="zh-CN"/>
              </w:rPr>
            </w:pPr>
            <w:r>
              <w:rPr>
                <w:rFonts w:hint="eastAsia" w:cs="宋体"/>
                <w:color w:val="000000"/>
                <w:sz w:val="18"/>
                <w:szCs w:val="18"/>
                <w:lang w:val="en-US" w:eastAsia="zh-CN"/>
              </w:rPr>
              <w:t>0</w:t>
            </w:r>
          </w:p>
        </w:tc>
        <w:tc>
          <w:tcPr>
            <w:tcW w:w="841" w:type="dxa"/>
            <w:gridSpan w:val="3"/>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100</w:t>
            </w:r>
          </w:p>
        </w:tc>
        <w:tc>
          <w:tcPr>
            <w:tcW w:w="690" w:type="dxa"/>
            <w:gridSpan w:val="2"/>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20</w:t>
            </w:r>
          </w:p>
        </w:tc>
        <w:tc>
          <w:tcPr>
            <w:tcW w:w="660" w:type="dxa"/>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20</w:t>
            </w:r>
          </w:p>
        </w:tc>
        <w:tc>
          <w:tcPr>
            <w:tcW w:w="705" w:type="dxa"/>
            <w:gridSpan w:val="2"/>
            <w:shd w:val="clear" w:color="auto" w:fill="auto"/>
            <w:vAlign w:val="center"/>
          </w:tcPr>
          <w:p>
            <w:pPr>
              <w:jc w:val="both"/>
              <w:rPr>
                <w:rFonts w:hint="eastAsia" w:cs="宋体"/>
                <w:color w:val="000000"/>
                <w:sz w:val="18"/>
                <w:szCs w:val="18"/>
                <w:lang w:val="en-US" w:eastAsia="zh-CN"/>
              </w:rPr>
            </w:pPr>
            <w:r>
              <w:rPr>
                <w:rFonts w:hint="eastAsia" w:cs="宋体"/>
                <w:color w:val="000000"/>
                <w:sz w:val="18"/>
                <w:szCs w:val="18"/>
                <w:lang w:val="en-US" w:eastAsia="zh-CN"/>
              </w:rPr>
              <w:t>否</w:t>
            </w:r>
          </w:p>
        </w:tc>
        <w:tc>
          <w:tcPr>
            <w:tcW w:w="658" w:type="dxa"/>
            <w:shd w:val="clear" w:color="auto" w:fill="auto"/>
            <w:vAlign w:val="center"/>
          </w:tcPr>
          <w:p>
            <w:pPr>
              <w:jc w:val="both"/>
              <w:rPr>
                <w:rFonts w:hint="eastAsia" w:cs="宋体"/>
                <w:color w:val="000000"/>
                <w:sz w:val="18"/>
                <w:szCs w:val="18"/>
                <w:lang w:val="en-US" w:eastAsia="zh-CN"/>
              </w:rPr>
            </w:pPr>
          </w:p>
        </w:tc>
      </w:tr>
      <w:tr>
        <w:tblPrEx>
          <w:tblLayout w:type="fixed"/>
        </w:tblPrEx>
        <w:trPr>
          <w:trHeight w:val="435" w:hRule="atLeast"/>
        </w:trPr>
        <w:tc>
          <w:tcPr>
            <w:tcW w:w="785" w:type="dxa"/>
            <w:shd w:val="clear" w:color="auto" w:fill="auto"/>
            <w:vAlign w:val="center"/>
          </w:tcPr>
          <w:p>
            <w:pPr>
              <w:jc w:val="both"/>
              <w:rPr>
                <w:rFonts w:hint="eastAsia" w:cs="宋体"/>
                <w:color w:val="000000"/>
                <w:sz w:val="18"/>
                <w:szCs w:val="18"/>
              </w:rPr>
            </w:pPr>
            <w:r>
              <w:rPr>
                <w:rFonts w:hint="eastAsia" w:cs="宋体"/>
                <w:color w:val="000000"/>
                <w:sz w:val="18"/>
                <w:szCs w:val="18"/>
                <w:lang w:val="en-US" w:eastAsia="zh-CN"/>
              </w:rPr>
              <w:t>新增运力（车辆）每载重吨补贴</w:t>
            </w:r>
          </w:p>
        </w:tc>
        <w:tc>
          <w:tcPr>
            <w:tcW w:w="600" w:type="dxa"/>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元</w:t>
            </w:r>
          </w:p>
        </w:tc>
        <w:tc>
          <w:tcPr>
            <w:tcW w:w="601" w:type="dxa"/>
            <w:shd w:val="clear" w:color="auto" w:fill="auto"/>
            <w:vAlign w:val="center"/>
          </w:tcPr>
          <w:p>
            <w:pPr>
              <w:jc w:val="both"/>
              <w:rPr>
                <w:rFonts w:hint="eastAsia" w:cs="宋体"/>
                <w:color w:val="000000"/>
                <w:sz w:val="18"/>
                <w:szCs w:val="18"/>
                <w:lang w:val="en-US" w:eastAsia="zh-CN"/>
              </w:rPr>
            </w:pPr>
            <w:r>
              <w:rPr>
                <w:rFonts w:hint="eastAsia" w:cs="宋体"/>
                <w:color w:val="000000"/>
                <w:sz w:val="18"/>
                <w:szCs w:val="18"/>
                <w:lang w:val="en-US" w:eastAsia="zh-CN"/>
              </w:rPr>
              <w:t>≤</w:t>
            </w:r>
          </w:p>
        </w:tc>
        <w:tc>
          <w:tcPr>
            <w:tcW w:w="689" w:type="dxa"/>
            <w:gridSpan w:val="2"/>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100</w:t>
            </w:r>
          </w:p>
        </w:tc>
        <w:tc>
          <w:tcPr>
            <w:tcW w:w="841" w:type="dxa"/>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100</w:t>
            </w:r>
          </w:p>
        </w:tc>
        <w:tc>
          <w:tcPr>
            <w:tcW w:w="884" w:type="dxa"/>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0</w:t>
            </w:r>
          </w:p>
        </w:tc>
        <w:tc>
          <w:tcPr>
            <w:tcW w:w="841" w:type="dxa"/>
            <w:gridSpan w:val="3"/>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100</w:t>
            </w:r>
          </w:p>
        </w:tc>
        <w:tc>
          <w:tcPr>
            <w:tcW w:w="690" w:type="dxa"/>
            <w:gridSpan w:val="2"/>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10</w:t>
            </w:r>
          </w:p>
        </w:tc>
        <w:tc>
          <w:tcPr>
            <w:tcW w:w="660" w:type="dxa"/>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10</w:t>
            </w:r>
          </w:p>
        </w:tc>
        <w:tc>
          <w:tcPr>
            <w:tcW w:w="705" w:type="dxa"/>
            <w:gridSpan w:val="2"/>
            <w:shd w:val="clear" w:color="auto" w:fill="auto"/>
            <w:vAlign w:val="center"/>
          </w:tcPr>
          <w:p>
            <w:pPr>
              <w:jc w:val="both"/>
              <w:rPr>
                <w:rFonts w:hint="eastAsia" w:cs="宋体"/>
                <w:color w:val="000000"/>
                <w:sz w:val="18"/>
                <w:szCs w:val="18"/>
                <w:lang w:val="en-US" w:eastAsia="zh-CN"/>
              </w:rPr>
            </w:pPr>
            <w:r>
              <w:rPr>
                <w:rFonts w:hint="eastAsia" w:cs="宋体"/>
                <w:color w:val="000000"/>
                <w:sz w:val="18"/>
                <w:szCs w:val="18"/>
                <w:lang w:val="en-US" w:eastAsia="zh-CN"/>
              </w:rPr>
              <w:t>否</w:t>
            </w:r>
          </w:p>
        </w:tc>
        <w:tc>
          <w:tcPr>
            <w:tcW w:w="658" w:type="dxa"/>
            <w:shd w:val="clear" w:color="auto" w:fill="auto"/>
            <w:vAlign w:val="center"/>
          </w:tcPr>
          <w:p>
            <w:pPr>
              <w:jc w:val="both"/>
              <w:rPr>
                <w:rFonts w:hint="eastAsia" w:cs="宋体"/>
                <w:color w:val="000000"/>
                <w:sz w:val="18"/>
                <w:szCs w:val="18"/>
                <w:lang w:val="en-US" w:eastAsia="zh-CN"/>
              </w:rPr>
            </w:pPr>
            <w:r>
              <w:rPr>
                <w:rFonts w:hint="eastAsia" w:cs="宋体"/>
                <w:color w:val="000000"/>
                <w:sz w:val="18"/>
                <w:szCs w:val="18"/>
                <w:lang w:val="en-US" w:eastAsia="zh-CN"/>
              </w:rPr>
              <w:t>100元/载重吨</w:t>
            </w:r>
          </w:p>
        </w:tc>
      </w:tr>
      <w:tr>
        <w:tblPrEx>
          <w:tblLayout w:type="fixed"/>
        </w:tblPrEx>
        <w:trPr>
          <w:trHeight w:val="435" w:hRule="atLeast"/>
        </w:trPr>
        <w:tc>
          <w:tcPr>
            <w:tcW w:w="785" w:type="dxa"/>
            <w:shd w:val="clear" w:color="auto" w:fill="auto"/>
            <w:vAlign w:val="center"/>
          </w:tcPr>
          <w:p>
            <w:pPr>
              <w:jc w:val="both"/>
              <w:rPr>
                <w:rFonts w:hint="eastAsia" w:cs="宋体"/>
                <w:color w:val="000000"/>
                <w:sz w:val="18"/>
                <w:szCs w:val="18"/>
              </w:rPr>
            </w:pPr>
            <w:r>
              <w:rPr>
                <w:rFonts w:hint="eastAsia" w:cs="宋体"/>
                <w:color w:val="000000"/>
                <w:sz w:val="18"/>
                <w:szCs w:val="18"/>
                <w:lang w:val="en-US" w:eastAsia="zh-CN"/>
              </w:rPr>
              <w:t>新增运力（船舶）每载重吨补贴</w:t>
            </w:r>
          </w:p>
        </w:tc>
        <w:tc>
          <w:tcPr>
            <w:tcW w:w="600" w:type="dxa"/>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元</w:t>
            </w:r>
          </w:p>
        </w:tc>
        <w:tc>
          <w:tcPr>
            <w:tcW w:w="601" w:type="dxa"/>
            <w:shd w:val="clear" w:color="auto" w:fill="auto"/>
            <w:vAlign w:val="center"/>
          </w:tcPr>
          <w:p>
            <w:pPr>
              <w:jc w:val="both"/>
              <w:rPr>
                <w:rFonts w:hint="eastAsia" w:cs="宋体"/>
                <w:color w:val="000000"/>
                <w:sz w:val="18"/>
                <w:szCs w:val="18"/>
                <w:lang w:val="en-US" w:eastAsia="zh-CN"/>
              </w:rPr>
            </w:pPr>
            <w:r>
              <w:rPr>
                <w:rFonts w:hint="eastAsia" w:cs="宋体"/>
                <w:color w:val="000000"/>
                <w:sz w:val="18"/>
                <w:szCs w:val="18"/>
                <w:lang w:val="en-US" w:eastAsia="zh-CN"/>
              </w:rPr>
              <w:t>≤</w:t>
            </w:r>
          </w:p>
        </w:tc>
        <w:tc>
          <w:tcPr>
            <w:tcW w:w="689" w:type="dxa"/>
            <w:gridSpan w:val="2"/>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20</w:t>
            </w:r>
          </w:p>
        </w:tc>
        <w:tc>
          <w:tcPr>
            <w:tcW w:w="841" w:type="dxa"/>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20</w:t>
            </w:r>
          </w:p>
        </w:tc>
        <w:tc>
          <w:tcPr>
            <w:tcW w:w="884" w:type="dxa"/>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0</w:t>
            </w:r>
          </w:p>
        </w:tc>
        <w:tc>
          <w:tcPr>
            <w:tcW w:w="841" w:type="dxa"/>
            <w:gridSpan w:val="3"/>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100</w:t>
            </w:r>
          </w:p>
        </w:tc>
        <w:tc>
          <w:tcPr>
            <w:tcW w:w="690" w:type="dxa"/>
            <w:gridSpan w:val="2"/>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10</w:t>
            </w:r>
          </w:p>
        </w:tc>
        <w:tc>
          <w:tcPr>
            <w:tcW w:w="660" w:type="dxa"/>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10</w:t>
            </w:r>
          </w:p>
        </w:tc>
        <w:tc>
          <w:tcPr>
            <w:tcW w:w="705" w:type="dxa"/>
            <w:gridSpan w:val="2"/>
            <w:shd w:val="clear" w:color="auto" w:fill="auto"/>
            <w:vAlign w:val="center"/>
          </w:tcPr>
          <w:p>
            <w:pPr>
              <w:jc w:val="both"/>
              <w:rPr>
                <w:rFonts w:hint="eastAsia" w:cs="宋体"/>
                <w:color w:val="000000"/>
                <w:sz w:val="18"/>
                <w:szCs w:val="18"/>
                <w:lang w:val="en-US" w:eastAsia="zh-CN"/>
              </w:rPr>
            </w:pPr>
            <w:r>
              <w:rPr>
                <w:rFonts w:hint="eastAsia" w:cs="宋体"/>
                <w:color w:val="000000"/>
                <w:sz w:val="18"/>
                <w:szCs w:val="18"/>
                <w:lang w:val="en-US" w:eastAsia="zh-CN"/>
              </w:rPr>
              <w:t>否</w:t>
            </w:r>
          </w:p>
        </w:tc>
        <w:tc>
          <w:tcPr>
            <w:tcW w:w="658" w:type="dxa"/>
            <w:shd w:val="clear" w:color="auto" w:fill="auto"/>
            <w:vAlign w:val="center"/>
          </w:tcPr>
          <w:p>
            <w:pPr>
              <w:jc w:val="both"/>
              <w:rPr>
                <w:rFonts w:hint="eastAsia" w:cs="宋体"/>
                <w:color w:val="000000"/>
                <w:sz w:val="18"/>
                <w:szCs w:val="18"/>
                <w:lang w:val="en-US" w:eastAsia="zh-CN"/>
              </w:rPr>
            </w:pPr>
            <w:r>
              <w:rPr>
                <w:rFonts w:hint="eastAsia" w:cs="宋体"/>
                <w:color w:val="000000"/>
                <w:sz w:val="18"/>
                <w:szCs w:val="18"/>
                <w:lang w:val="en-US" w:eastAsia="zh-CN"/>
              </w:rPr>
              <w:t>20元/载重吨</w:t>
            </w:r>
          </w:p>
        </w:tc>
      </w:tr>
    </w:tbl>
    <w:p>
      <w:pPr>
        <w:pStyle w:val="11"/>
        <w:autoSpaceDE w:val="0"/>
        <w:ind w:firstLine="643"/>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0"/>
        <w:jc w:val="both"/>
        <w:textAlignment w:val="auto"/>
        <w:rPr>
          <w:rFonts w:eastAsia="方正仿宋_GBK" w:cs="宋体"/>
          <w:color w:val="000000"/>
          <w:kern w:val="0"/>
          <w:sz w:val="32"/>
          <w:szCs w:val="32"/>
        </w:rPr>
      </w:pPr>
      <w:r>
        <w:rPr>
          <w:rFonts w:hint="eastAsia" w:ascii="方正仿宋_GBK" w:hAnsi="方正仿宋_GBK" w:eastAsia="方正仿宋_GBK" w:cs="方正仿宋_GBK"/>
          <w:sz w:val="32"/>
          <w:szCs w:val="32"/>
          <w:shd w:val="clear" w:color="auto" w:fill="FFFFFF"/>
          <w:lang w:val="en-US" w:eastAsia="zh-CN"/>
        </w:rPr>
        <w:t>本部门没有委托第三方开展绩效评价。</w:t>
      </w:r>
    </w:p>
    <w:p>
      <w:pPr>
        <w:pStyle w:val="11"/>
        <w:keepNext w:val="0"/>
        <w:keepLines w:val="0"/>
        <w:pageBreakBefore w:val="0"/>
        <w:widowControl/>
        <w:kinsoku/>
        <w:wordWrap/>
        <w:overflowPunct/>
        <w:topLinePunct w:val="0"/>
        <w:autoSpaceDE w:val="0"/>
        <w:autoSpaceDN/>
        <w:bidi w:val="0"/>
        <w:adjustRightInd/>
        <w:snapToGrid/>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4"/>
        <w:autoSpaceDE w:val="0"/>
        <w:ind w:firstLine="640"/>
        <w:jc w:val="both"/>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区财政局委托第三方机构对我部门涪陵区支持服务业高质量发展物流板块奖补资金项目进行了重点绩效评价，目前尚未反馈正式报告，区财政局将适时对重点绩效评价结果进行集中公开。</w:t>
      </w:r>
    </w:p>
    <w:p>
      <w:pPr>
        <w:pStyle w:val="11"/>
        <w:keepNext w:val="0"/>
        <w:keepLines w:val="0"/>
        <w:pageBreakBefore w:val="0"/>
        <w:widowControl/>
        <w:kinsoku/>
        <w:wordWrap/>
        <w:overflowPunct/>
        <w:topLinePunct w:val="0"/>
        <w:autoSpaceDE w:val="0"/>
        <w:autoSpaceDN/>
        <w:bidi w:val="0"/>
        <w:adjustRightInd/>
        <w:snapToGrid/>
        <w:ind w:firstLine="0" w:firstLineChars="0"/>
        <w:jc w:val="both"/>
        <w:textAlignment w:val="auto"/>
        <w:rPr>
          <w:rFonts w:hint="eastAsia" w:ascii="黑体" w:hAnsi="黑体" w:eastAsia="黑体" w:cs="黑体"/>
          <w:b/>
          <w:bCs/>
          <w:sz w:val="32"/>
          <w:szCs w:val="32"/>
          <w:shd w:val="clear" w:color="auto" w:fill="FFFFFF"/>
        </w:rPr>
      </w:pPr>
      <w:r>
        <w:rPr>
          <w:rFonts w:hint="eastAsia" w:ascii="黑体" w:hAnsi="黑体" w:eastAsia="黑体" w:cs="黑体"/>
          <w:b/>
          <w:bCs/>
          <w:sz w:val="32"/>
          <w:szCs w:val="32"/>
          <w:shd w:val="clear" w:color="auto" w:fill="FFFFFF"/>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1"/>
        <w:keepNext w:val="0"/>
        <w:keepLines w:val="0"/>
        <w:pageBreakBefore w:val="0"/>
        <w:widowControl/>
        <w:kinsoku/>
        <w:wordWrap/>
        <w:overflowPunct/>
        <w:topLinePunct w:val="0"/>
        <w:autoSpaceDE w:val="0"/>
        <w:autoSpaceDN/>
        <w:bidi w:val="0"/>
        <w:adjustRightInd/>
        <w:snapToGrid/>
        <w:ind w:firstLine="0" w:firstLineChars="0"/>
        <w:jc w:val="both"/>
        <w:textAlignment w:val="auto"/>
        <w:rPr>
          <w:rFonts w:hint="default" w:ascii="黑体" w:hAnsi="黑体" w:eastAsia="黑体" w:cs="黑体"/>
          <w:b/>
          <w:bCs/>
          <w:sz w:val="32"/>
          <w:szCs w:val="32"/>
          <w:shd w:val="clear" w:color="auto" w:fill="FFFFFF"/>
        </w:rPr>
      </w:pPr>
      <w:r>
        <w:rPr>
          <w:rFonts w:hint="eastAsia" w:ascii="黑体" w:hAnsi="黑体" w:eastAsia="黑体" w:cs="黑体"/>
          <w:b/>
          <w:bCs/>
          <w:sz w:val="32"/>
          <w:szCs w:val="32"/>
          <w:shd w:val="clear" w:color="auto" w:fill="FFFFFF"/>
        </w:rPr>
        <w:t>七、决算公开联系方式及信息反馈渠道</w:t>
      </w:r>
    </w:p>
    <w:p>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决算公开信息反馈和联系方式：</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彭妙龄 023-72807092</w:t>
      </w:r>
    </w:p>
    <w:p>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p>
    <w:p>
      <w:pPr>
        <w:spacing w:line="240" w:lineRule="exact"/>
        <w:rPr>
          <w:rFonts w:hint="default" w:cs="宋体"/>
          <w:sz w:val="20"/>
          <w:szCs w:val="20"/>
        </w:rPr>
      </w:pPr>
    </w:p>
    <w:sectPr>
      <w:headerReference r:id="rId4" w:type="default"/>
      <w:footerReference r:id="rId5" w:type="default"/>
      <w:pgSz w:w="11850" w:h="16783"/>
      <w:pgMar w:top="1440" w:right="1803" w:bottom="1440" w:left="1803"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00000000" w:usb1="00000000" w:usb2="00000016" w:usb3="00000000" w:csb0="00040001" w:csb1="00000000"/>
  </w:font>
  <w:font w:name="方正仿宋_GBK">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A&#1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- 20 -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29 -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adjustLineHeightInTable/>
    <w:doNotBreakWrappedTables/>
    <w:doNotWrapTextWithPunct/>
    <w:doNotUseEastAsianBreakRules/>
    <w:useFELayout/>
    <w:doNotUseIndentAsNumberingTabStop/>
    <w:useAltKinsokuLineBreakRules/>
    <w:compatSetting w:name="compatibilityMode" w:uri="http://schemas.microsoft.com/office/word" w:val="12"/>
  </w:compat>
  <w:docVars>
    <w:docVar w:name="commondata" w:val=""/>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7"/>
    <w:link w:val="2"/>
    <w:qFormat/>
    <w:uiPriority w:val="0"/>
    <w:rPr>
      <w:rFonts w:ascii="宋体" w:hAnsi="宋体"/>
      <w:sz w:val="18"/>
      <w:szCs w:val="18"/>
    </w:rPr>
  </w:style>
  <w:style w:type="paragraph" w:customStyle="1" w:styleId="16">
    <w:name w:val="List Paragraph"/>
    <w:basedOn w:val="1"/>
    <w:qFormat/>
    <w:uiPriority w:val="34"/>
    <w:pPr>
      <w:widowControl w:val="0"/>
      <w:ind w:firstLine="420" w:firstLineChars="200"/>
      <w:jc w:val="both"/>
    </w:pPr>
    <w:rPr>
      <w:rFonts w:hint="default" w:ascii="Times New Roman" w:hAnsi="Times New Roman"/>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10617</Words>
  <Characters>11832</Characters>
  <Lines>196</Lines>
  <Paragraphs>55</Paragraphs>
  <TotalTime>0</TotalTime>
  <ScaleCrop>false</ScaleCrop>
  <LinksUpToDate>false</LinksUpToDate>
  <CharactersWithSpaces>11834</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iPhone</cp:lastModifiedBy>
  <dcterms:modified xsi:type="dcterms:W3CDTF">2025-10-27T11:21:53Z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2052-12.1.1</vt:lpwstr>
  </property>
  <property fmtid="{D5CDD505-2E9C-101B-9397-08002B2CF9AE}" pid="3" name="ICV">
    <vt:lpwstr>BB46EABDBB2749749395447164B066B3_12</vt:lpwstr>
  </property>
  <property fmtid="{D5CDD505-2E9C-101B-9397-08002B2CF9AE}" pid="4" name="KSOTemplateDocerSaveRecord">
    <vt:lpwstr>eyJoZGlkIjoiMWJjZmNlZWJjN2M3NThlZTk0YjZlMjVmYmVmNTU1ZjkiLCJ1c2VySWQiOiIyNzM5NjM1NjQifQ==</vt:lpwstr>
  </property>
</Properties>
</file>