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BE17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重庆市涪陵区公路事务中心</w:t>
      </w:r>
      <w:r>
        <w:rPr>
          <w:rFonts w:ascii="方正小标宋_GBK" w:hAnsi="方正小标宋_GBK" w:eastAsia="方正小标宋_GBK" w:cs="方正小标宋_GBK"/>
          <w:sz w:val="44"/>
          <w:szCs w:val="44"/>
        </w:rPr>
        <w:t>2024年度决算公开说明</w:t>
      </w:r>
    </w:p>
    <w:p w14:paraId="54F875B8">
      <w:pPr>
        <w:pStyle w:val="6"/>
        <w:shd w:val="clear" w:color="auto" w:fill="FFFFFF"/>
        <w:rPr>
          <w:rFonts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2222F5AA">
      <w:pPr>
        <w:pStyle w:val="6"/>
        <w:shd w:val="clear" w:color="auto" w:fill="FFFFFF"/>
        <w:ind w:firstLine="643" w:firstLineChars="200"/>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1763171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rPr>
        <w:t>1.参与公路建设、养护、路政、运营相关制度的起草和监督实施工作；承担行业发展研究，以及有关规划编制和组织实施的事务工作。</w:t>
      </w:r>
    </w:p>
    <w:p w14:paraId="233ED14D">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2.参与公路建设、养护计划的编制和组织实施工作。</w:t>
      </w:r>
    </w:p>
    <w:p w14:paraId="7A7AB3CA">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hint="default" w:ascii="方正仿宋_GBK" w:hAnsi="方正仿宋_GBK" w:eastAsia="方正仿宋_GBK" w:cs="方正仿宋_GBK"/>
          <w:sz w:val="32"/>
          <w:szCs w:val="32"/>
        </w:rPr>
        <w:t>3.承担全区有关国省县道公路（城镇公路除外）建设、养护和管理的事务工作；承担乡村公路建设、养护、管理的有关事务工作。</w:t>
      </w:r>
    </w:p>
    <w:p w14:paraId="45FBEB30">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hint="default" w:ascii="方正仿宋_GBK" w:hAnsi="方正仿宋_GBK" w:eastAsia="方正仿宋_GBK" w:cs="方正仿宋_GBK"/>
          <w:sz w:val="32"/>
          <w:szCs w:val="32"/>
        </w:rPr>
        <w:t>4.承担全区国省县道路网运行管理、公路行业安全和应急管理、区级公路战备的事务工作；负责安全生产的监督管理工作。</w:t>
      </w:r>
    </w:p>
    <w:p w14:paraId="65B9BC86">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hint="default" w:ascii="方正仿宋_GBK" w:hAnsi="方正仿宋_GBK" w:eastAsia="方正仿宋_GBK" w:cs="方正仿宋_GBK"/>
          <w:sz w:val="32"/>
          <w:szCs w:val="32"/>
        </w:rPr>
        <w:t>5.承担全区公路行业有关重大科技项目研究、技术引进与开发、转化、应用工作。</w:t>
      </w:r>
    </w:p>
    <w:p w14:paraId="4BA37B1C">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hint="default" w:ascii="方正仿宋_GBK" w:hAnsi="方正仿宋_GBK" w:eastAsia="方正仿宋_GBK" w:cs="方正仿宋_GBK"/>
          <w:sz w:val="32"/>
          <w:szCs w:val="32"/>
        </w:rPr>
        <w:t>6.承担公路行业生态环境保护、节能减排和行业信息化有关事务工作。</w:t>
      </w:r>
    </w:p>
    <w:p w14:paraId="1CDE8CF9">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hint="default" w:ascii="方正仿宋_GBK" w:hAnsi="方正仿宋_GBK" w:eastAsia="方正仿宋_GBK" w:cs="方正仿宋_GBK"/>
          <w:sz w:val="32"/>
          <w:szCs w:val="32"/>
        </w:rPr>
        <w:t>7.承担公路行业扶贫、乡村振兴的事务工作；负责公路行业人才队伍建设和教育培养工作。</w:t>
      </w:r>
    </w:p>
    <w:p w14:paraId="5E231E27">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hint="default" w:ascii="方正仿宋_GBK" w:hAnsi="方正仿宋_GBK" w:eastAsia="方正仿宋_GBK" w:cs="方正仿宋_GBK"/>
          <w:sz w:val="32"/>
          <w:szCs w:val="32"/>
        </w:rPr>
        <w:t>8.承担公路服务质量评价、行业信用体系建设、公路政务服务和行业统计等事务工作。</w:t>
      </w:r>
    </w:p>
    <w:p w14:paraId="713DE87B">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hint="default" w:ascii="方正仿宋_GBK" w:hAnsi="方正仿宋_GBK" w:eastAsia="方正仿宋_GBK" w:cs="方正仿宋_GBK"/>
          <w:sz w:val="32"/>
          <w:szCs w:val="32"/>
        </w:rPr>
        <w:t>9.承担公路行业精神文明建设工作。</w:t>
      </w:r>
    </w:p>
    <w:p w14:paraId="0654B011">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10.完成区委、区政府和区交通局交办的其他工作。</w:t>
      </w:r>
    </w:p>
    <w:p w14:paraId="2D073206">
      <w:pPr>
        <w:pStyle w:val="6"/>
        <w:shd w:val="clear" w:color="auto" w:fill="FFFFFF"/>
        <w:ind w:firstLine="643" w:firstLineChars="200"/>
        <w:rPr>
          <w:rFonts w:ascii="楷体" w:hAnsi="楷体" w:eastAsia="楷体" w:cs="楷体"/>
          <w:sz w:val="32"/>
          <w:szCs w:val="32"/>
        </w:rPr>
      </w:pPr>
      <w:r>
        <w:rPr>
          <w:rStyle w:val="10"/>
          <w:rFonts w:ascii="楷体" w:hAnsi="楷体" w:eastAsia="楷体" w:cs="楷体"/>
          <w:sz w:val="32"/>
          <w:szCs w:val="32"/>
          <w:shd w:val="clear" w:color="auto" w:fill="FFFFFF"/>
        </w:rPr>
        <w:t>（二）机构设置</w:t>
      </w:r>
    </w:p>
    <w:p w14:paraId="4CE6F422">
      <w:pPr>
        <w:pStyle w:val="6"/>
        <w:shd w:val="clear" w:color="auto" w:fill="FFFFFF"/>
        <w:ind w:firstLine="640" w:firstLineChars="200"/>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重庆市涪陵区公路事务中心是隶属重庆市涪陵区交通局管理的正处级公益一类全额拨款事业单位，无下属单位。内设办公室、组织人事科（纪检科）、财务审计科、养护科、工程科、桥梁隧道科、战备渡口科、安全科、公路信息中心、公路养护大队、公路工程大队、公路应急抢险大队12个科室。</w:t>
      </w:r>
    </w:p>
    <w:p w14:paraId="40EBE1E3">
      <w:pPr>
        <w:pStyle w:val="6"/>
        <w:shd w:val="clear" w:color="auto" w:fill="FFFFFF"/>
        <w:rPr>
          <w:rFonts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二、单位决算情况说明</w:t>
      </w:r>
    </w:p>
    <w:p w14:paraId="06F0E89E">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F56386B">
      <w:pPr>
        <w:pStyle w:val="6"/>
        <w:shd w:val="clear" w:color="auto" w:fill="FFFFFF"/>
        <w:ind w:firstLine="643" w:firstLineChars="200"/>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2024年度收入总计16708.82万元，支出总计</w:t>
      </w:r>
      <w:r>
        <w:rPr>
          <w:rFonts w:ascii="方正仿宋_GBK" w:hAnsi="方正仿宋_GBK" w:eastAsia="方正仿宋_GBK" w:cs="方正仿宋_GBK"/>
          <w:sz w:val="32"/>
          <w:szCs w:val="32"/>
        </w:rPr>
        <w:t>16708.82</w:t>
      </w:r>
      <w:r>
        <w:rPr>
          <w:rFonts w:ascii="方正仿宋_GBK" w:hAnsi="方正仿宋_GBK" w:eastAsia="方正仿宋_GBK" w:cs="方正仿宋_GBK"/>
          <w:sz w:val="32"/>
          <w:szCs w:val="32"/>
          <w:shd w:val="clear" w:color="auto" w:fill="FFFFFF"/>
        </w:rPr>
        <w:t>万元。收、支与2023年度相比，减少5715.56万元，下降25.5%，主要原因是涪陵区重点公路安全整治工程、公路桥隧中小修项目、涪陵区村道CK363渝州纸厂至惠谷湖段路面改造工程、G351黄旗大桥危桥改造工程等公路建设项目于2023年完工，相应减少收支。</w:t>
      </w:r>
    </w:p>
    <w:p w14:paraId="263C7F7E">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16708.82万元，与2023年度相比，减少5715.56万元，下降25.5%，主要原因是涪陵区重点公路安全整治工程、公路桥隧中小修项目、涪陵区村道CK363渝州纸厂至惠谷湖段路面改造工程、G351黄旗大桥危桥改造工程等公路建设项目于2023年完工，相应减少收入。其中：财政拨款收入</w:t>
      </w:r>
      <w:r>
        <w:rPr>
          <w:rFonts w:ascii="方正仿宋_GBK" w:hAnsi="方正仿宋_GBK" w:eastAsia="方正仿宋_GBK" w:cs="方正仿宋_GBK"/>
          <w:sz w:val="32"/>
          <w:szCs w:val="32"/>
        </w:rPr>
        <w:t>16708.82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E1EDE00">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16708.82</w:t>
      </w:r>
      <w:r>
        <w:rPr>
          <w:rFonts w:ascii="方正仿宋_GBK" w:hAnsi="方正仿宋_GBK" w:eastAsia="方正仿宋_GBK" w:cs="方正仿宋_GBK"/>
          <w:sz w:val="32"/>
          <w:szCs w:val="32"/>
          <w:shd w:val="clear" w:color="auto" w:fill="FFFFFF"/>
        </w:rPr>
        <w:t>万元，与2023年度相比，减少5715.56万元，下降25.5%，主要原因是涪陵区重点公路安全整治工程、公路桥隧中小修项目、涪陵区村道CK363渝州纸厂至惠谷湖段路面改造工程、G351黄旗大桥危桥改造工程等公路建设项目于2023年完工，相应减少支出。其中：基本支出</w:t>
      </w:r>
      <w:r>
        <w:rPr>
          <w:rFonts w:ascii="方正仿宋_GBK" w:hAnsi="方正仿宋_GBK" w:eastAsia="方正仿宋_GBK" w:cs="方正仿宋_GBK"/>
          <w:sz w:val="32"/>
          <w:szCs w:val="32"/>
        </w:rPr>
        <w:t>6374.99</w:t>
      </w:r>
      <w:r>
        <w:rPr>
          <w:rFonts w:ascii="方正仿宋_GBK" w:hAnsi="方正仿宋_GBK" w:eastAsia="方正仿宋_GBK" w:cs="方正仿宋_GBK"/>
          <w:sz w:val="32"/>
          <w:szCs w:val="32"/>
          <w:shd w:val="clear" w:color="auto" w:fill="FFFFFF"/>
        </w:rPr>
        <w:t>万元，占38.15%；项目支出</w:t>
      </w:r>
      <w:r>
        <w:rPr>
          <w:rFonts w:ascii="方正仿宋_GBK" w:hAnsi="方正仿宋_GBK" w:eastAsia="方正仿宋_GBK" w:cs="方正仿宋_GBK"/>
          <w:sz w:val="32"/>
          <w:szCs w:val="32"/>
        </w:rPr>
        <w:t>10333.83</w:t>
      </w:r>
      <w:r>
        <w:rPr>
          <w:rFonts w:ascii="方正仿宋_GBK" w:hAnsi="方正仿宋_GBK" w:eastAsia="方正仿宋_GBK" w:cs="方正仿宋_GBK"/>
          <w:sz w:val="32"/>
          <w:szCs w:val="32"/>
          <w:shd w:val="clear" w:color="auto" w:fill="FFFFFF"/>
        </w:rPr>
        <w:t>万元，占61.85%；经营支出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FE63B0C">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万元，与上年决算数持平。</w:t>
      </w:r>
    </w:p>
    <w:p w14:paraId="48A14844">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7452FBE">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16708.82万元。与2022年相比，财政拨款收、支总计各增加4320.68万元，增长34.9%。主要原因一是区财政追加涪陵区2023年公路危桥灾后整治工程、涪陵区2023年县乡道公路灾后整治工程、2024年涪陵区农村公路自动化检测工程、G351丰都界至黄旗段公路灾害防治工程、国省县道公路管理项目、县道公路日常养护项目、涪陵区2023年省道及重要连接道灾后整治工程等公路建设项目拨款，二是区财政年中追加退休职工健康休养费拨款，相应增加收支。</w:t>
      </w:r>
    </w:p>
    <w:p w14:paraId="106DF639">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E511B8A">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16708.82</w:t>
      </w:r>
      <w:r>
        <w:rPr>
          <w:rFonts w:ascii="方正仿宋_GBK" w:hAnsi="方正仿宋_GBK" w:eastAsia="方正仿宋_GBK" w:cs="方正仿宋_GBK"/>
          <w:sz w:val="32"/>
          <w:szCs w:val="32"/>
          <w:shd w:val="clear" w:color="auto" w:fill="FFFFFF"/>
        </w:rPr>
        <w:t>万元，与2023年度相比，增加4320.68万元，增长34.9%。主要原因一是区财政追加涪陵区2023年公路危桥灾后整治工程、涪陵区2023年县乡道公路灾后整治工程、2024年涪陵区农村公路自动化检测工程、G351丰都界至黄旗段公路灾害防治工程、国省县道公路管理项目、县道公路日常养护项目、涪陵区2023年省道及重要连接道灾后整治工程等公路建设项目拨款，二是区财政年中追加退休职工健康休养费拨款，相应增加收入。较年初预算数增加4127.65万元，增长32.8%。主要原因一是区财政追加涪陵区2023年公路危桥灾后整治工程、涪陵区2023年县乡道公路灾后整治工程、2024年涪陵区农村公路自动化检测工程、G351丰都界至黄旗段公路灾害防治工程、国省县道公路管理项目、县道公路日常养护项目、涪陵区2023年省道及重要连接道灾后整治工程等公路建设项目拨款，二是区财政年中追加退休职工健康休养费拨款，相应增加收入。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F704D63">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16708.82</w:t>
      </w:r>
      <w:r>
        <w:rPr>
          <w:rFonts w:ascii="方正仿宋_GBK" w:hAnsi="方正仿宋_GBK" w:eastAsia="方正仿宋_GBK" w:cs="方正仿宋_GBK"/>
          <w:sz w:val="32"/>
          <w:szCs w:val="32"/>
          <w:shd w:val="clear" w:color="auto" w:fill="FFFFFF"/>
        </w:rPr>
        <w:t>万元，与2023年度相比，增加4320.68万元，增长34.9%。主要原因一是区财政追加涪陵区2023年公路危桥灾后整治工程、涪陵区2023年县乡道公路灾后整治工程、2024年涪陵区农村公路自动化检测工程、G351丰都界至黄旗段公路灾害防治工程、国省县道公路管理项目、县道公路日常养护项目、涪陵区2023年省道及重要连接道灾后整治工程等公路建设项目拨款，二是区财政年中追加退休职工健康休养费拨款，相应增加支出。较年初预算数增加4127.65万元，增长32.8%。主要原因一是区财政追加涪陵区2023年公路危桥灾后整治工程、涪陵区2023年县乡道公路灾后整治工程、2024年涪陵区农村公路自动化检测工程、G351丰都界至黄旗段公路灾害防治工程、国省县道公路管理项目、县道公路日常养护项目、涪陵区2023年省道及重要连接道灾后整治工程等公路建设项目拨款，二是区财政年中追加退休职工健康休养费拨款，相应增加支出。</w:t>
      </w:r>
    </w:p>
    <w:p w14:paraId="20490715">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万元，与上年决算数持平</w:t>
      </w:r>
      <w:r>
        <w:rPr>
          <w:rFonts w:ascii="方正仿宋_GBK" w:eastAsia="方正仿宋_GBK"/>
          <w:sz w:val="32"/>
          <w:szCs w:val="32"/>
        </w:rPr>
        <w:t>。</w:t>
      </w:r>
    </w:p>
    <w:p w14:paraId="4339191F">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37540F21">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2318.73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13.88</w:t>
      </w:r>
      <w:r>
        <w:rPr>
          <w:rFonts w:ascii="方正仿宋_GBK" w:hAnsi="方正仿宋_GBK" w:eastAsia="方正仿宋_GBK" w:cs="方正仿宋_GBK"/>
          <w:sz w:val="32"/>
          <w:szCs w:val="32"/>
          <w:shd w:val="clear" w:color="auto" w:fill="FFFFFF"/>
        </w:rPr>
        <w:t>%，较年初预算数增加1880.63万元，增长429.3%，主要原因是区财政年中追加退休职工健康休养费拨款，相应增加支出。</w:t>
      </w:r>
    </w:p>
    <w:p w14:paraId="5026A13A">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319.78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1.91</w:t>
      </w:r>
      <w:r>
        <w:rPr>
          <w:rFonts w:ascii="方正仿宋_GBK" w:hAnsi="方正仿宋_GBK" w:eastAsia="方正仿宋_GBK" w:cs="方正仿宋_GBK"/>
          <w:sz w:val="32"/>
          <w:szCs w:val="32"/>
          <w:shd w:val="clear" w:color="auto" w:fill="FFFFFF"/>
        </w:rPr>
        <w:t>%，较年初预算数减少4.84万元，下降1.5%，主要原因是区财政年中追减在职转退休职工医疗费拨款，相应减少支出。</w:t>
      </w:r>
    </w:p>
    <w:p w14:paraId="532FF9B9">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（3）交通运输支出</w:t>
      </w:r>
      <w:r>
        <w:rPr>
          <w:rFonts w:ascii="方正仿宋_GBK" w:hAnsi="方正仿宋_GBK" w:eastAsia="方正仿宋_GBK" w:cs="方正仿宋_GBK"/>
          <w:sz w:val="32"/>
          <w:szCs w:val="32"/>
        </w:rPr>
        <w:t>11570.32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69.25</w:t>
      </w:r>
      <w:r>
        <w:rPr>
          <w:rFonts w:ascii="方正仿宋_GBK" w:hAnsi="方正仿宋_GBK" w:eastAsia="方正仿宋_GBK" w:cs="方正仿宋_GBK"/>
          <w:sz w:val="32"/>
          <w:szCs w:val="32"/>
          <w:shd w:val="clear" w:color="auto" w:fill="FFFFFF"/>
        </w:rPr>
        <w:t>%，较年初预算数减少47.11万元，下降0.4%，主要原因是区财政年中追减在职转退休职工工资福利拨款，相应减少支出。</w:t>
      </w:r>
    </w:p>
    <w:p w14:paraId="33A552DF">
      <w:pPr>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住房保障支出195.38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1.17</w:t>
      </w:r>
      <w:r>
        <w:rPr>
          <w:rFonts w:ascii="方正仿宋_GBK" w:hAnsi="方正仿宋_GBK" w:eastAsia="方正仿宋_GBK" w:cs="方正仿宋_GBK"/>
          <w:sz w:val="32"/>
          <w:szCs w:val="32"/>
          <w:shd w:val="clear" w:color="auto" w:fill="FFFFFF"/>
        </w:rPr>
        <w:t>%，较年初预算数减少5.64万元，下降2.8%，主要原因是区财政年中追减在职转退休职工住房保障拨款，相应减少支出。</w:t>
      </w:r>
    </w:p>
    <w:p w14:paraId="12335769">
      <w:pPr>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灾害防治及应急管理支出2304.61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13.79</w:t>
      </w:r>
      <w:r>
        <w:rPr>
          <w:rFonts w:ascii="方正仿宋_GBK" w:hAnsi="方正仿宋_GBK" w:eastAsia="方正仿宋_GBK" w:cs="方正仿宋_GBK"/>
          <w:sz w:val="32"/>
          <w:szCs w:val="32"/>
          <w:shd w:val="clear" w:color="auto" w:fill="FFFFFF"/>
        </w:rPr>
        <w:t>%，较年初预算数增加2304.61万元，增长100.0%，主要原因是区财政追加涪陵区2023年公路危桥灾后整治工程、涪陵区2023年省道及重要连接道灾后整治工程、涪陵区2023年县乡道公路灾后整治工程等公路建设项目拨款，相应增加支出。</w:t>
      </w:r>
    </w:p>
    <w:p w14:paraId="77853C2C">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3D20D98">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6374.99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5881.13</w:t>
      </w:r>
      <w:r>
        <w:rPr>
          <w:rFonts w:ascii="方正仿宋_GBK" w:hAnsi="方正仿宋_GBK" w:eastAsia="方正仿宋_GBK" w:cs="方正仿宋_GBK"/>
          <w:sz w:val="32"/>
          <w:szCs w:val="32"/>
          <w:shd w:val="clear" w:color="auto" w:fill="FFFFFF"/>
        </w:rPr>
        <w:t>万元，与2023年度相比，减少95.05万元，下降1.6%，主要原因是本年部分人员正常退休导致人员经费相应减少，同时按规定招录新进人员，退增相抵后整体人员经费支出较上年略有下降。人员经费用途主要包括基本工资、津贴补贴、奖金、社会保障缴费、抚恤金、住房公积金等。公用经费493.86万元，与2023年度相比，减少7.75万元，下降1.6%，主要原因是本年部分人员正常退休导致人员经费相应减少，同时按规定招录新进人员，退增相抵后公用经费支出较上年略有下降。公用经费用途主要包括办公费、水费、电费、邮电费、物业管理费、差旅费、公务接待费、会议费、培训费、工会经费、福利费、其他交通费用、其他商品和服务支出等。</w:t>
      </w:r>
    </w:p>
    <w:p w14:paraId="4B708F78">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86EB841">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b/>
          <w:bCs/>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万元。本年收入0.00万元，本年支出0.00万元，与年初预算数和上年支出数持平。</w:t>
      </w:r>
      <w:r>
        <w:rPr>
          <w:rFonts w:ascii="方正仿宋_GBK" w:hAnsi="方正仿宋_GBK" w:eastAsia="方正仿宋_GBK" w:cs="方正仿宋_GBK"/>
          <w:b/>
          <w:bCs/>
          <w:sz w:val="32"/>
          <w:szCs w:val="32"/>
          <w:shd w:val="clear" w:color="auto" w:fill="FFFFFF"/>
        </w:rPr>
        <w:t>本单位2024年度无政府性基金预算财政拨款收支。</w:t>
      </w:r>
    </w:p>
    <w:p w14:paraId="3B64ED6F">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FD14BE5">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b/>
          <w:bCs/>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万元，与年初预算数和上年支出数持平。</w:t>
      </w:r>
      <w:r>
        <w:rPr>
          <w:rFonts w:ascii="方正仿宋_GBK" w:hAnsi="方正仿宋_GBK" w:eastAsia="方正仿宋_GBK" w:cs="方正仿宋_GBK"/>
          <w:b/>
          <w:bCs/>
          <w:sz w:val="32"/>
          <w:szCs w:val="32"/>
          <w:shd w:val="clear" w:color="auto" w:fill="FFFFFF"/>
        </w:rPr>
        <w:t>本单位2024年度无国有资本经营预算财政拨款支出。</w:t>
      </w:r>
    </w:p>
    <w:p w14:paraId="44CF9850">
      <w:pPr>
        <w:pStyle w:val="6"/>
        <w:shd w:val="clear" w:color="auto" w:fill="FFFFFF"/>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3A222D3D">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5FC5E30">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53.00</w:t>
      </w:r>
      <w:r>
        <w:rPr>
          <w:rFonts w:ascii="方正仿宋_GBK" w:hAnsi="方正仿宋_GBK" w:eastAsia="方正仿宋_GBK" w:cs="方正仿宋_GBK"/>
          <w:sz w:val="32"/>
          <w:szCs w:val="32"/>
          <w:shd w:val="clear" w:color="auto" w:fill="FFFFFF"/>
        </w:rPr>
        <w:t>万元，较年初预算数减少19.80万元，下降27.2%，主要原因是厉行节约，从严控制“三公”经费。较上年支出数减少10.00万元，下降15.9%，主要原因一是按照只减不增的要求从严控制“三公”经费；二是强化公务接待支出管理，严格遵守公务接待开支范围和开支标准，严格控制陪餐人数。</w:t>
      </w:r>
    </w:p>
    <w:p w14:paraId="74F5BD3D">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0B966A8">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万元，费用支出与年初预算数和上年支出数持平。本单位2024年度未发生因公出国（境）费用。</w:t>
      </w:r>
    </w:p>
    <w:p w14:paraId="59E37C55">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万元，费用支出与年初预算数和上年支出数持平。本单位2024年度未发生公务车购置费用。</w:t>
      </w:r>
    </w:p>
    <w:p w14:paraId="27FF6D19">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53.00</w:t>
      </w:r>
      <w:r>
        <w:rPr>
          <w:rFonts w:ascii="方正仿宋_GBK" w:hAnsi="方正仿宋_GBK" w:eastAsia="方正仿宋_GBK" w:cs="方正仿宋_GBK"/>
          <w:sz w:val="32"/>
          <w:szCs w:val="32"/>
          <w:shd w:val="clear" w:color="auto" w:fill="FFFFFF"/>
        </w:rPr>
        <w:t>万元，主要用于交通机要文件交换、区外区内因公出行和公路养护检查等业务工作所需车辆的燃料费、维修费、过桥过路费、保险费等。费用支出较年初预算数减少17.00万元，下降24.3%，主要原因是厉行节约，从严控制“三公”经费。较上年支出数减少7.00万元，下降11.7%，主要原因是严格落实公车使用规定，公车运行维护成本下降。</w:t>
      </w:r>
    </w:p>
    <w:p w14:paraId="63A8C317">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ascii="方正仿宋_GBK" w:hAnsi="方正仿宋_GBK" w:eastAsia="方正仿宋_GBK" w:cs="方正仿宋_GBK"/>
          <w:sz w:val="32"/>
          <w:szCs w:val="32"/>
          <w:shd w:val="clear" w:color="auto" w:fill="FFFFFF"/>
        </w:rPr>
        <w:t>费用支出较年初预算数减少2.80万元，下降100.0%，主要原因是认真贯彻落实中央八项规定和厉行节约的要求，严格执行接待费管理办法规定的开支范围。较上年支出数减少3.00万元，下降100.0%，主要原因是强化公务接待支出管理，严格执行接待费管理办法规定。</w:t>
      </w:r>
    </w:p>
    <w:p w14:paraId="4F8C0CFA">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818EA9E">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5.89</w:t>
      </w:r>
      <w:r>
        <w:rPr>
          <w:rFonts w:ascii="方正仿宋_GBK" w:hAnsi="方正仿宋_GBK" w:eastAsia="方正仿宋_GBK" w:cs="方正仿宋_GBK"/>
          <w:sz w:val="32"/>
          <w:szCs w:val="32"/>
          <w:shd w:val="clear" w:color="auto" w:fill="FFFFFF"/>
        </w:rPr>
        <w:t>万元。</w:t>
      </w:r>
    </w:p>
    <w:p w14:paraId="3AF60341">
      <w:pPr>
        <w:pStyle w:val="6"/>
        <w:shd w:val="clear" w:color="auto" w:fill="FFFFFF"/>
        <w:rPr>
          <w:rStyle w:val="10"/>
          <w:rFonts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2FD925AE">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444EDB1D">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万元，与2023年度相比，无增减，主要原因是精简会议数量，从严控制会议经费。本年度培训费支出</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万元，与2023年度相比，减少2.00万元，下降50.0%，主要原因是我单位在编在岗职工参加涪陵区事业单位工作人员在岗培训次数减少，相应减少支出。</w:t>
      </w:r>
    </w:p>
    <w:p w14:paraId="15276823">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3362F8C">
      <w:pPr>
        <w:pStyle w:val="11"/>
        <w:autoSpaceDE w:val="0"/>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按照部门决算列报口径，我单位不在机关运行经费统计范围之内。</w:t>
      </w:r>
    </w:p>
    <w:p w14:paraId="45C63A01">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1FEE759">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截至2023年12月31日，本单位共有车辆</w:t>
      </w:r>
      <w:r>
        <w:rPr>
          <w:rFonts w:ascii="方正仿宋_GBK" w:hAnsi="方正仿宋_GBK" w:eastAsia="方正仿宋_GBK" w:cs="方正仿宋_GBK"/>
          <w:sz w:val="32"/>
          <w:szCs w:val="32"/>
        </w:rPr>
        <w:t>34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25</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81E4A23">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FBC98A7">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12613.97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8282.00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4331.97</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12613.97万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3556.56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28.20</w:t>
      </w:r>
      <w:r>
        <w:rPr>
          <w:rFonts w:ascii="方正仿宋_GBK" w:hAnsi="方正仿宋_GBK" w:eastAsia="方正仿宋_GBK" w:cs="方正仿宋_GBK"/>
          <w:sz w:val="32"/>
          <w:szCs w:val="32"/>
          <w:shd w:val="clear" w:color="auto" w:fill="FFFFFF"/>
        </w:rPr>
        <w:t>%。主要用于采购国省县道普通桥梁隧道定期检测、2024年国省道路面灌缝工程、部分国省道公路社会化养护等工程服务。</w:t>
      </w:r>
    </w:p>
    <w:p w14:paraId="58D3660B">
      <w:pPr>
        <w:pStyle w:val="6"/>
        <w:numPr>
          <w:ilvl w:val="0"/>
          <w:numId w:val="1"/>
        </w:numPr>
        <w:shd w:val="clear" w:color="auto" w:fill="FFFFFF"/>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14:paraId="04B21737">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bookmarkStart w:id="0" w:name="_GoBack"/>
      <w:bookmarkEnd w:id="0"/>
      <w:r>
        <w:rPr>
          <w:rFonts w:hint="eastAsia" w:ascii="楷体" w:hAnsi="楷体" w:eastAsia="楷体" w:cs="楷体"/>
          <w:b/>
          <w:bCs/>
          <w:sz w:val="32"/>
          <w:szCs w:val="32"/>
          <w:shd w:val="clear" w:color="auto" w:fill="FFFFFF"/>
        </w:rPr>
        <w:t>）单位自评情况</w:t>
      </w:r>
    </w:p>
    <w:p w14:paraId="52E85A99">
      <w:pPr>
        <w:pStyle w:val="12"/>
        <w:autoSpaceDE w:val="0"/>
        <w:spacing w:before="0" w:beforeAutospacing="0" w:line="600" w:lineRule="exact"/>
        <w:ind w:firstLine="640"/>
        <w:rPr>
          <w:rFonts w:hint="eastAsia" w:eastAsia="方正仿宋_GBK" w:cs="宋体"/>
          <w:sz w:val="32"/>
          <w:szCs w:val="32"/>
          <w:highlight w:val="yellow"/>
        </w:rPr>
      </w:pPr>
      <w:r>
        <w:rPr>
          <w:rFonts w:hint="eastAsia" w:ascii="方正仿宋_GBK" w:hAnsi="方正仿宋_GBK" w:eastAsia="方正仿宋_GBK" w:cs="方正仿宋_GBK"/>
          <w:sz w:val="32"/>
          <w:szCs w:val="32"/>
          <w:shd w:val="clear" w:color="auto" w:fill="FFFFFF"/>
        </w:rPr>
        <w:t>根据预算绩效管理要求，我单位对30个项目开展了绩效自评。</w:t>
      </w:r>
    </w:p>
    <w:p w14:paraId="7E16E652">
      <w:pPr>
        <w:numPr>
          <w:ilvl w:val="0"/>
          <w:numId w:val="2"/>
        </w:numPr>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项目支出绩效自评汇总表</w:t>
      </w:r>
    </w:p>
    <w:tbl>
      <w:tblPr>
        <w:tblStyle w:val="8"/>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213"/>
        <w:gridCol w:w="1605"/>
      </w:tblGrid>
      <w:tr w14:paraId="1E3E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3C96942C">
            <w:pPr>
              <w:widowControl w:val="0"/>
              <w:jc w:val="center"/>
              <w:rPr>
                <w:rFonts w:asciiTheme="minorEastAsia" w:hAnsiTheme="minorEastAsia" w:eastAsiaTheme="minorEastAsia"/>
                <w:b/>
                <w:bCs/>
                <w:sz w:val="18"/>
                <w:szCs w:val="22"/>
              </w:rPr>
            </w:pPr>
            <w:r>
              <w:rPr>
                <w:rFonts w:asciiTheme="minorEastAsia" w:hAnsiTheme="minorEastAsia" w:eastAsiaTheme="minorEastAsia"/>
                <w:b/>
                <w:bCs/>
                <w:sz w:val="18"/>
                <w:szCs w:val="22"/>
              </w:rPr>
              <w:t>序号</w:t>
            </w:r>
          </w:p>
        </w:tc>
        <w:tc>
          <w:tcPr>
            <w:tcW w:w="6213" w:type="dxa"/>
            <w:vAlign w:val="center"/>
          </w:tcPr>
          <w:p w14:paraId="02368C73">
            <w:pPr>
              <w:widowControl w:val="0"/>
              <w:jc w:val="center"/>
              <w:rPr>
                <w:rFonts w:asciiTheme="minorEastAsia" w:hAnsiTheme="minorEastAsia" w:eastAsiaTheme="minorEastAsia"/>
                <w:b/>
                <w:bCs/>
                <w:sz w:val="18"/>
                <w:szCs w:val="22"/>
              </w:rPr>
            </w:pPr>
            <w:r>
              <w:rPr>
                <w:rFonts w:asciiTheme="minorEastAsia" w:hAnsiTheme="minorEastAsia" w:eastAsiaTheme="minorEastAsia"/>
                <w:b/>
                <w:bCs/>
                <w:sz w:val="18"/>
                <w:szCs w:val="22"/>
              </w:rPr>
              <w:t>项目名称</w:t>
            </w:r>
          </w:p>
        </w:tc>
        <w:tc>
          <w:tcPr>
            <w:tcW w:w="1605" w:type="dxa"/>
            <w:vAlign w:val="center"/>
          </w:tcPr>
          <w:p w14:paraId="68A50656">
            <w:pPr>
              <w:widowControl w:val="0"/>
              <w:jc w:val="center"/>
              <w:rPr>
                <w:rFonts w:asciiTheme="minorEastAsia" w:hAnsiTheme="minorEastAsia" w:eastAsiaTheme="minorEastAsia"/>
                <w:b/>
                <w:bCs/>
                <w:sz w:val="18"/>
                <w:szCs w:val="22"/>
              </w:rPr>
            </w:pPr>
            <w:r>
              <w:rPr>
                <w:rFonts w:asciiTheme="minorEastAsia" w:hAnsiTheme="minorEastAsia" w:eastAsiaTheme="minorEastAsia"/>
                <w:b/>
                <w:bCs/>
                <w:sz w:val="18"/>
                <w:szCs w:val="22"/>
              </w:rPr>
              <w:t>自评得分</w:t>
            </w:r>
          </w:p>
        </w:tc>
      </w:tr>
      <w:tr w14:paraId="4A4A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46E62C32">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w:t>
            </w:r>
          </w:p>
        </w:tc>
        <w:tc>
          <w:tcPr>
            <w:tcW w:w="6213" w:type="dxa"/>
            <w:vAlign w:val="center"/>
          </w:tcPr>
          <w:p w14:paraId="22402267">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普通国省道养护补差</w:t>
            </w:r>
          </w:p>
        </w:tc>
        <w:tc>
          <w:tcPr>
            <w:tcW w:w="1605" w:type="dxa"/>
            <w:vAlign w:val="center"/>
          </w:tcPr>
          <w:p w14:paraId="39328CAA">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7CBD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6FB39266">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2</w:t>
            </w:r>
          </w:p>
        </w:tc>
        <w:tc>
          <w:tcPr>
            <w:tcW w:w="6213" w:type="dxa"/>
            <w:vAlign w:val="center"/>
          </w:tcPr>
          <w:p w14:paraId="0FF0FA26">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G348天池隧道危隧改造</w:t>
            </w:r>
          </w:p>
        </w:tc>
        <w:tc>
          <w:tcPr>
            <w:tcW w:w="1605" w:type="dxa"/>
            <w:vAlign w:val="center"/>
          </w:tcPr>
          <w:p w14:paraId="1A211273">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80</w:t>
            </w:r>
          </w:p>
        </w:tc>
      </w:tr>
      <w:tr w14:paraId="3FC1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2C0A37A7">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3</w:t>
            </w:r>
          </w:p>
        </w:tc>
        <w:tc>
          <w:tcPr>
            <w:tcW w:w="6213" w:type="dxa"/>
            <w:vAlign w:val="center"/>
          </w:tcPr>
          <w:p w14:paraId="6F0DF3A0">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土地工人员保障</w:t>
            </w:r>
          </w:p>
        </w:tc>
        <w:tc>
          <w:tcPr>
            <w:tcW w:w="1605" w:type="dxa"/>
            <w:vAlign w:val="center"/>
          </w:tcPr>
          <w:p w14:paraId="4DE0ED4B">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7F54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56451BD4">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4</w:t>
            </w:r>
          </w:p>
        </w:tc>
        <w:tc>
          <w:tcPr>
            <w:tcW w:w="6213" w:type="dxa"/>
            <w:vAlign w:val="center"/>
          </w:tcPr>
          <w:p w14:paraId="2F523EE7">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2024年涪陵区农村公路自动化检测</w:t>
            </w:r>
          </w:p>
        </w:tc>
        <w:tc>
          <w:tcPr>
            <w:tcW w:w="1605" w:type="dxa"/>
            <w:vAlign w:val="center"/>
          </w:tcPr>
          <w:p w14:paraId="37538DF4">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06FE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5E388A5D">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5</w:t>
            </w:r>
          </w:p>
        </w:tc>
        <w:tc>
          <w:tcPr>
            <w:tcW w:w="6213" w:type="dxa"/>
            <w:vAlign w:val="center"/>
          </w:tcPr>
          <w:p w14:paraId="2AD3F711">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G351丰都界至黄旗段公路灾害防治工程</w:t>
            </w:r>
          </w:p>
        </w:tc>
        <w:tc>
          <w:tcPr>
            <w:tcW w:w="1605" w:type="dxa"/>
            <w:vAlign w:val="center"/>
          </w:tcPr>
          <w:p w14:paraId="22DB4B1D">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5681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33826F4E">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6</w:t>
            </w:r>
          </w:p>
        </w:tc>
        <w:tc>
          <w:tcPr>
            <w:tcW w:w="6213" w:type="dxa"/>
            <w:vAlign w:val="center"/>
          </w:tcPr>
          <w:p w14:paraId="084F8868">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遗属生活困难定期补助</w:t>
            </w:r>
          </w:p>
        </w:tc>
        <w:tc>
          <w:tcPr>
            <w:tcW w:w="1605" w:type="dxa"/>
            <w:vAlign w:val="center"/>
          </w:tcPr>
          <w:p w14:paraId="16D9DF51">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1064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6975B9BD">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7</w:t>
            </w:r>
          </w:p>
        </w:tc>
        <w:tc>
          <w:tcPr>
            <w:tcW w:w="6213" w:type="dxa"/>
            <w:vAlign w:val="center"/>
          </w:tcPr>
          <w:p w14:paraId="51FB9E39">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G319涪陵长江大桥危旧桥改造</w:t>
            </w:r>
          </w:p>
        </w:tc>
        <w:tc>
          <w:tcPr>
            <w:tcW w:w="1605" w:type="dxa"/>
            <w:vAlign w:val="center"/>
          </w:tcPr>
          <w:p w14:paraId="4F169677">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4B0E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7C254041">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8</w:t>
            </w:r>
          </w:p>
        </w:tc>
        <w:tc>
          <w:tcPr>
            <w:tcW w:w="6213" w:type="dxa"/>
            <w:vAlign w:val="center"/>
          </w:tcPr>
          <w:p w14:paraId="6D1DAD17">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国省县道公路管理</w:t>
            </w:r>
          </w:p>
        </w:tc>
        <w:tc>
          <w:tcPr>
            <w:tcW w:w="1605" w:type="dxa"/>
            <w:vAlign w:val="center"/>
          </w:tcPr>
          <w:p w14:paraId="44329B33">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456A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2AB3787A">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9</w:t>
            </w:r>
          </w:p>
        </w:tc>
        <w:tc>
          <w:tcPr>
            <w:tcW w:w="6213" w:type="dxa"/>
            <w:vAlign w:val="center"/>
          </w:tcPr>
          <w:p w14:paraId="5BD50E37">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公路隧道照明及维护</w:t>
            </w:r>
          </w:p>
        </w:tc>
        <w:tc>
          <w:tcPr>
            <w:tcW w:w="1605" w:type="dxa"/>
            <w:vAlign w:val="center"/>
          </w:tcPr>
          <w:p w14:paraId="0C60F55C">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244C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7FDB05D6">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w:t>
            </w:r>
          </w:p>
        </w:tc>
        <w:tc>
          <w:tcPr>
            <w:tcW w:w="6213" w:type="dxa"/>
            <w:vAlign w:val="center"/>
          </w:tcPr>
          <w:p w14:paraId="39699ECD">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县道公路日常养护</w:t>
            </w:r>
          </w:p>
        </w:tc>
        <w:tc>
          <w:tcPr>
            <w:tcW w:w="1605" w:type="dxa"/>
            <w:vAlign w:val="center"/>
          </w:tcPr>
          <w:p w14:paraId="2FA07EE2">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611E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0733E7B5">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11</w:t>
            </w:r>
          </w:p>
        </w:tc>
        <w:tc>
          <w:tcPr>
            <w:tcW w:w="6213" w:type="dxa"/>
            <w:vAlign w:val="center"/>
          </w:tcPr>
          <w:p w14:paraId="63E2A8BF">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2024年运行经费缺口项目</w:t>
            </w:r>
          </w:p>
        </w:tc>
        <w:tc>
          <w:tcPr>
            <w:tcW w:w="1605" w:type="dxa"/>
            <w:vAlign w:val="center"/>
          </w:tcPr>
          <w:p w14:paraId="17785867">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7CCC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7AF6A8EA">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12</w:t>
            </w:r>
          </w:p>
        </w:tc>
        <w:tc>
          <w:tcPr>
            <w:tcW w:w="6213" w:type="dxa"/>
            <w:vAlign w:val="center"/>
          </w:tcPr>
          <w:p w14:paraId="0CC7753C">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S102涪陵乌江大桥健康监测系统工程</w:t>
            </w:r>
          </w:p>
        </w:tc>
        <w:tc>
          <w:tcPr>
            <w:tcW w:w="1605" w:type="dxa"/>
            <w:vAlign w:val="center"/>
          </w:tcPr>
          <w:p w14:paraId="6C7011F8">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3B59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5F00FC5F">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13</w:t>
            </w:r>
          </w:p>
        </w:tc>
        <w:tc>
          <w:tcPr>
            <w:tcW w:w="6213" w:type="dxa"/>
            <w:vAlign w:val="center"/>
          </w:tcPr>
          <w:p w14:paraId="4B18B8E4">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涪陵区2023年公路危桥灾后整治工程</w:t>
            </w:r>
          </w:p>
        </w:tc>
        <w:tc>
          <w:tcPr>
            <w:tcW w:w="1605" w:type="dxa"/>
            <w:vAlign w:val="center"/>
          </w:tcPr>
          <w:p w14:paraId="1132D35F">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86.55</w:t>
            </w:r>
          </w:p>
        </w:tc>
      </w:tr>
      <w:tr w14:paraId="1E5C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28D0E937">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14</w:t>
            </w:r>
          </w:p>
        </w:tc>
        <w:tc>
          <w:tcPr>
            <w:tcW w:w="6213" w:type="dxa"/>
            <w:vAlign w:val="center"/>
          </w:tcPr>
          <w:p w14:paraId="7F40CD9D">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李渡长江大桥结构健康监测系统工程</w:t>
            </w:r>
          </w:p>
        </w:tc>
        <w:tc>
          <w:tcPr>
            <w:tcW w:w="1605" w:type="dxa"/>
            <w:vAlign w:val="center"/>
          </w:tcPr>
          <w:p w14:paraId="27C7E34C">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7831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4B55824C">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15</w:t>
            </w:r>
          </w:p>
        </w:tc>
        <w:tc>
          <w:tcPr>
            <w:tcW w:w="6213" w:type="dxa"/>
            <w:vAlign w:val="center"/>
          </w:tcPr>
          <w:p w14:paraId="05A56102">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国省道桥梁防撞安全整治</w:t>
            </w:r>
          </w:p>
        </w:tc>
        <w:tc>
          <w:tcPr>
            <w:tcW w:w="1605" w:type="dxa"/>
            <w:vAlign w:val="center"/>
          </w:tcPr>
          <w:p w14:paraId="479FEF38">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85</w:t>
            </w:r>
          </w:p>
        </w:tc>
      </w:tr>
      <w:tr w14:paraId="381F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40CB5CD1">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16</w:t>
            </w:r>
          </w:p>
        </w:tc>
        <w:tc>
          <w:tcPr>
            <w:tcW w:w="6213" w:type="dxa"/>
            <w:vAlign w:val="center"/>
          </w:tcPr>
          <w:p w14:paraId="1921DDAA">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高速路口值守委托业务</w:t>
            </w:r>
          </w:p>
        </w:tc>
        <w:tc>
          <w:tcPr>
            <w:tcW w:w="1605" w:type="dxa"/>
            <w:vAlign w:val="center"/>
          </w:tcPr>
          <w:p w14:paraId="02856944">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3741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03CC9BC0">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17</w:t>
            </w:r>
          </w:p>
        </w:tc>
        <w:tc>
          <w:tcPr>
            <w:tcW w:w="6213" w:type="dxa"/>
            <w:vAlign w:val="center"/>
          </w:tcPr>
          <w:p w14:paraId="51221BA1">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涪陵区</w:t>
            </w:r>
            <w:r>
              <w:rPr>
                <w:rFonts w:hint="default" w:asciiTheme="minorEastAsia" w:hAnsiTheme="minorEastAsia" w:eastAsiaTheme="minorEastAsia"/>
                <w:color w:val="000000"/>
                <w:sz w:val="18"/>
                <w:szCs w:val="21"/>
              </w:rPr>
              <w:t>2023</w:t>
            </w:r>
            <w:r>
              <w:rPr>
                <w:rFonts w:asciiTheme="minorEastAsia" w:hAnsiTheme="minorEastAsia" w:eastAsiaTheme="minorEastAsia"/>
                <w:color w:val="000000"/>
                <w:sz w:val="18"/>
                <w:szCs w:val="22"/>
              </w:rPr>
              <w:t>年省道及重要连接道灾后整治工程</w:t>
            </w:r>
          </w:p>
        </w:tc>
        <w:tc>
          <w:tcPr>
            <w:tcW w:w="1605" w:type="dxa"/>
            <w:vAlign w:val="center"/>
          </w:tcPr>
          <w:p w14:paraId="1CEFBAF3">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80</w:t>
            </w:r>
          </w:p>
        </w:tc>
      </w:tr>
      <w:tr w14:paraId="1D61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1BF134DC">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18</w:t>
            </w:r>
          </w:p>
        </w:tc>
        <w:tc>
          <w:tcPr>
            <w:tcW w:w="6213" w:type="dxa"/>
            <w:vAlign w:val="center"/>
          </w:tcPr>
          <w:p w14:paraId="57F91E1D">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S528线石板沟长江大桥健康监测系统工程</w:t>
            </w:r>
          </w:p>
        </w:tc>
        <w:tc>
          <w:tcPr>
            <w:tcW w:w="1605" w:type="dxa"/>
            <w:vAlign w:val="center"/>
          </w:tcPr>
          <w:p w14:paraId="058E10C9">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6397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252DBF69">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19</w:t>
            </w:r>
          </w:p>
        </w:tc>
        <w:tc>
          <w:tcPr>
            <w:tcW w:w="6213" w:type="dxa"/>
            <w:vAlign w:val="center"/>
          </w:tcPr>
          <w:p w14:paraId="32DE8752">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交通路网监控建设运行费</w:t>
            </w:r>
          </w:p>
        </w:tc>
        <w:tc>
          <w:tcPr>
            <w:tcW w:w="1605" w:type="dxa"/>
            <w:vAlign w:val="center"/>
          </w:tcPr>
          <w:p w14:paraId="1855842F">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15D2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420382DE">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20</w:t>
            </w:r>
          </w:p>
        </w:tc>
        <w:tc>
          <w:tcPr>
            <w:tcW w:w="6213" w:type="dxa"/>
            <w:vAlign w:val="center"/>
          </w:tcPr>
          <w:p w14:paraId="0D01D53E">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涪陵区2023年县乡道公路灾后整治工程</w:t>
            </w:r>
          </w:p>
        </w:tc>
        <w:tc>
          <w:tcPr>
            <w:tcW w:w="1605" w:type="dxa"/>
            <w:vAlign w:val="center"/>
          </w:tcPr>
          <w:p w14:paraId="0765C6F7">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90</w:t>
            </w:r>
          </w:p>
        </w:tc>
      </w:tr>
      <w:tr w14:paraId="29E4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60103AB5">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21</w:t>
            </w:r>
          </w:p>
        </w:tc>
        <w:tc>
          <w:tcPr>
            <w:tcW w:w="6213" w:type="dxa"/>
            <w:vAlign w:val="center"/>
          </w:tcPr>
          <w:p w14:paraId="4EB751BA">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公路车流量观测</w:t>
            </w:r>
          </w:p>
        </w:tc>
        <w:tc>
          <w:tcPr>
            <w:tcW w:w="1605" w:type="dxa"/>
            <w:vAlign w:val="center"/>
          </w:tcPr>
          <w:p w14:paraId="7067F454">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264D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205E6E35">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22</w:t>
            </w:r>
          </w:p>
        </w:tc>
        <w:tc>
          <w:tcPr>
            <w:tcW w:w="6213" w:type="dxa"/>
            <w:vAlign w:val="center"/>
          </w:tcPr>
          <w:p w14:paraId="5B6325E6">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战备船舶维护</w:t>
            </w:r>
          </w:p>
        </w:tc>
        <w:tc>
          <w:tcPr>
            <w:tcW w:w="1605" w:type="dxa"/>
            <w:vAlign w:val="center"/>
          </w:tcPr>
          <w:p w14:paraId="1D6C4BDF">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1BF7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34EA2A7A">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23</w:t>
            </w:r>
          </w:p>
        </w:tc>
        <w:tc>
          <w:tcPr>
            <w:tcW w:w="6213" w:type="dxa"/>
            <w:vAlign w:val="center"/>
          </w:tcPr>
          <w:p w14:paraId="1EB1A9AA">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S102涪陵乌江大桥复线桥健康监测系统工程</w:t>
            </w:r>
          </w:p>
        </w:tc>
        <w:tc>
          <w:tcPr>
            <w:tcW w:w="1605" w:type="dxa"/>
            <w:vAlign w:val="center"/>
          </w:tcPr>
          <w:p w14:paraId="0EE41FC7">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0380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331A4215">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24</w:t>
            </w:r>
          </w:p>
        </w:tc>
        <w:tc>
          <w:tcPr>
            <w:tcW w:w="6213" w:type="dxa"/>
            <w:vAlign w:val="center"/>
          </w:tcPr>
          <w:p w14:paraId="3D88DD4F">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旅游公路养护</w:t>
            </w:r>
          </w:p>
        </w:tc>
        <w:tc>
          <w:tcPr>
            <w:tcW w:w="1605" w:type="dxa"/>
            <w:vAlign w:val="center"/>
          </w:tcPr>
          <w:p w14:paraId="0FBA9C2E">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4587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79ADE5A8">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25</w:t>
            </w:r>
          </w:p>
        </w:tc>
        <w:tc>
          <w:tcPr>
            <w:tcW w:w="6213" w:type="dxa"/>
            <w:vAlign w:val="center"/>
          </w:tcPr>
          <w:p w14:paraId="6B96CD20">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国省干线公路交通情况调查系统工程</w:t>
            </w:r>
          </w:p>
        </w:tc>
        <w:tc>
          <w:tcPr>
            <w:tcW w:w="1605" w:type="dxa"/>
            <w:vAlign w:val="center"/>
          </w:tcPr>
          <w:p w14:paraId="677F54CF">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4BB6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676800A3">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26</w:t>
            </w:r>
          </w:p>
        </w:tc>
        <w:tc>
          <w:tcPr>
            <w:tcW w:w="6213" w:type="dxa"/>
            <w:vAlign w:val="center"/>
          </w:tcPr>
          <w:p w14:paraId="376484A6">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区公路事务中心伤残补助</w:t>
            </w:r>
          </w:p>
        </w:tc>
        <w:tc>
          <w:tcPr>
            <w:tcW w:w="1605" w:type="dxa"/>
            <w:vAlign w:val="center"/>
          </w:tcPr>
          <w:p w14:paraId="7F4B2EE7">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5258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67A24B7D">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27</w:t>
            </w:r>
          </w:p>
        </w:tc>
        <w:tc>
          <w:tcPr>
            <w:tcW w:w="6213" w:type="dxa"/>
            <w:vAlign w:val="center"/>
          </w:tcPr>
          <w:p w14:paraId="4AAA0203">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公路桥梁小修保养专项</w:t>
            </w:r>
          </w:p>
        </w:tc>
        <w:tc>
          <w:tcPr>
            <w:tcW w:w="1605" w:type="dxa"/>
            <w:vAlign w:val="center"/>
          </w:tcPr>
          <w:p w14:paraId="047CB44B">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4F32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269532FE">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28</w:t>
            </w:r>
          </w:p>
        </w:tc>
        <w:tc>
          <w:tcPr>
            <w:tcW w:w="6213" w:type="dxa"/>
            <w:vAlign w:val="center"/>
          </w:tcPr>
          <w:p w14:paraId="1292DC20">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G348涪陵乌江二桥危旧桥改造</w:t>
            </w:r>
          </w:p>
        </w:tc>
        <w:tc>
          <w:tcPr>
            <w:tcW w:w="1605" w:type="dxa"/>
            <w:vAlign w:val="center"/>
          </w:tcPr>
          <w:p w14:paraId="7A2669FF">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80</w:t>
            </w:r>
          </w:p>
        </w:tc>
      </w:tr>
      <w:tr w14:paraId="14C2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788B0365">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29</w:t>
            </w:r>
          </w:p>
        </w:tc>
        <w:tc>
          <w:tcPr>
            <w:tcW w:w="6213" w:type="dxa"/>
            <w:vAlign w:val="center"/>
          </w:tcPr>
          <w:p w14:paraId="0F8A7BF0">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国省道桥隧检测维护</w:t>
            </w:r>
          </w:p>
        </w:tc>
        <w:tc>
          <w:tcPr>
            <w:tcW w:w="1605" w:type="dxa"/>
            <w:vAlign w:val="center"/>
          </w:tcPr>
          <w:p w14:paraId="393A657F">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r w14:paraId="4C83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126A7994">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30</w:t>
            </w:r>
          </w:p>
        </w:tc>
        <w:tc>
          <w:tcPr>
            <w:tcW w:w="6213" w:type="dxa"/>
            <w:vAlign w:val="center"/>
          </w:tcPr>
          <w:p w14:paraId="791FB5CD">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路政行政许可工作经费</w:t>
            </w:r>
          </w:p>
        </w:tc>
        <w:tc>
          <w:tcPr>
            <w:tcW w:w="1605" w:type="dxa"/>
            <w:vAlign w:val="center"/>
          </w:tcPr>
          <w:p w14:paraId="330198FC">
            <w:pPr>
              <w:widowControl w:val="0"/>
              <w:jc w:val="center"/>
              <w:rPr>
                <w:rFonts w:asciiTheme="minorEastAsia" w:hAnsiTheme="minorEastAsia" w:eastAsiaTheme="minorEastAsia"/>
                <w:color w:val="000000"/>
                <w:sz w:val="18"/>
                <w:szCs w:val="22"/>
              </w:rPr>
            </w:pPr>
            <w:r>
              <w:rPr>
                <w:rFonts w:asciiTheme="minorEastAsia" w:hAnsiTheme="minorEastAsia" w:eastAsiaTheme="minorEastAsia"/>
                <w:color w:val="000000"/>
                <w:sz w:val="18"/>
                <w:szCs w:val="22"/>
              </w:rPr>
              <w:t>100</w:t>
            </w:r>
          </w:p>
        </w:tc>
      </w:tr>
    </w:tbl>
    <w:p w14:paraId="23EEB6D3">
      <w:pPr>
        <w:pStyle w:val="12"/>
        <w:numPr>
          <w:ilvl w:val="0"/>
          <w:numId w:val="2"/>
        </w:numPr>
        <w:spacing w:before="0" w:beforeAutospacing="0" w:after="0" w:afterAutospacing="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项目支出绩效自评表</w:t>
      </w:r>
    </w:p>
    <w:tbl>
      <w:tblPr>
        <w:tblStyle w:val="7"/>
        <w:tblW w:w="0" w:type="auto"/>
        <w:jc w:val="center"/>
        <w:tblLayout w:type="autofit"/>
        <w:tblCellMar>
          <w:top w:w="0" w:type="dxa"/>
          <w:left w:w="108" w:type="dxa"/>
          <w:bottom w:w="0" w:type="dxa"/>
          <w:right w:w="108" w:type="dxa"/>
        </w:tblCellMar>
      </w:tblPr>
      <w:tblGrid>
        <w:gridCol w:w="1120"/>
        <w:gridCol w:w="618"/>
        <w:gridCol w:w="709"/>
        <w:gridCol w:w="993"/>
        <w:gridCol w:w="821"/>
        <w:gridCol w:w="697"/>
        <w:gridCol w:w="848"/>
        <w:gridCol w:w="666"/>
        <w:gridCol w:w="666"/>
        <w:gridCol w:w="775"/>
        <w:gridCol w:w="578"/>
      </w:tblGrid>
      <w:tr w14:paraId="2DCD16DC">
        <w:tblPrEx>
          <w:tblCellMar>
            <w:top w:w="0" w:type="dxa"/>
            <w:left w:w="108" w:type="dxa"/>
            <w:bottom w:w="0" w:type="dxa"/>
            <w:right w:w="108" w:type="dxa"/>
          </w:tblCellMar>
        </w:tblPrEx>
        <w:trPr>
          <w:trHeight w:val="81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904C6B5">
            <w:pP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项目名称：</w:t>
            </w:r>
          </w:p>
        </w:tc>
        <w:tc>
          <w:tcPr>
            <w:tcW w:w="1327" w:type="dxa"/>
            <w:gridSpan w:val="2"/>
            <w:tcBorders>
              <w:top w:val="single" w:color="auto" w:sz="4" w:space="0"/>
              <w:left w:val="nil"/>
              <w:bottom w:val="single" w:color="auto" w:sz="4" w:space="0"/>
              <w:right w:val="single" w:color="auto" w:sz="4" w:space="0"/>
            </w:tcBorders>
            <w:vAlign w:val="center"/>
          </w:tcPr>
          <w:p w14:paraId="214CEC85">
            <w:pPr>
              <w:rPr>
                <w:rFonts w:cs="宋体" w:asciiTheme="minorEastAsia" w:hAnsiTheme="minorEastAsia" w:eastAsiaTheme="minorEastAsia"/>
                <w:sz w:val="18"/>
                <w:szCs w:val="18"/>
              </w:rPr>
            </w:pPr>
            <w:r>
              <w:rPr>
                <w:rFonts w:cs="宋体" w:asciiTheme="minorEastAsia" w:hAnsiTheme="minorEastAsia" w:eastAsiaTheme="minorEastAsia"/>
                <w:sz w:val="18"/>
                <w:szCs w:val="18"/>
              </w:rPr>
              <w:t>高速路口值守委托业务</w:t>
            </w:r>
          </w:p>
        </w:tc>
        <w:tc>
          <w:tcPr>
            <w:tcW w:w="993" w:type="dxa"/>
            <w:tcBorders>
              <w:top w:val="single" w:color="auto" w:sz="4" w:space="0"/>
              <w:left w:val="nil"/>
              <w:bottom w:val="single" w:color="auto" w:sz="4" w:space="0"/>
              <w:right w:val="single" w:color="auto" w:sz="4" w:space="0"/>
            </w:tcBorders>
            <w:vAlign w:val="center"/>
          </w:tcPr>
          <w:p w14:paraId="0F962B88">
            <w:pP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执行率得分（分）：</w:t>
            </w:r>
          </w:p>
        </w:tc>
        <w:tc>
          <w:tcPr>
            <w:tcW w:w="1518" w:type="dxa"/>
            <w:gridSpan w:val="2"/>
            <w:tcBorders>
              <w:top w:val="single" w:color="auto" w:sz="4" w:space="0"/>
              <w:left w:val="nil"/>
              <w:bottom w:val="single" w:color="auto" w:sz="4" w:space="0"/>
              <w:right w:val="single" w:color="auto" w:sz="4" w:space="0"/>
            </w:tcBorders>
            <w:vAlign w:val="center"/>
          </w:tcPr>
          <w:p w14:paraId="6E066093">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10</w:t>
            </w:r>
          </w:p>
        </w:tc>
        <w:tc>
          <w:tcPr>
            <w:tcW w:w="848" w:type="dxa"/>
            <w:tcBorders>
              <w:top w:val="single" w:color="auto" w:sz="4" w:space="0"/>
              <w:left w:val="nil"/>
              <w:bottom w:val="single" w:color="auto" w:sz="4" w:space="0"/>
              <w:right w:val="single" w:color="auto" w:sz="4" w:space="0"/>
            </w:tcBorders>
            <w:vAlign w:val="center"/>
          </w:tcPr>
          <w:p w14:paraId="5AE6450D">
            <w:pP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自评总分：（分）</w:t>
            </w:r>
          </w:p>
        </w:tc>
        <w:tc>
          <w:tcPr>
            <w:tcW w:w="2682" w:type="dxa"/>
            <w:gridSpan w:val="4"/>
            <w:tcBorders>
              <w:top w:val="single" w:color="auto" w:sz="4" w:space="0"/>
              <w:left w:val="nil"/>
              <w:bottom w:val="single" w:color="auto" w:sz="4" w:space="0"/>
              <w:right w:val="single" w:color="auto" w:sz="4" w:space="0"/>
            </w:tcBorders>
            <w:vAlign w:val="center"/>
          </w:tcPr>
          <w:p w14:paraId="6B3F7F0B">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100</w:t>
            </w:r>
          </w:p>
        </w:tc>
      </w:tr>
      <w:tr w14:paraId="72130AA8">
        <w:tblPrEx>
          <w:tblCellMar>
            <w:top w:w="0" w:type="dxa"/>
            <w:left w:w="108" w:type="dxa"/>
            <w:bottom w:w="0" w:type="dxa"/>
            <w:right w:w="108" w:type="dxa"/>
          </w:tblCellMar>
        </w:tblPrEx>
        <w:trPr>
          <w:trHeight w:val="882" w:hRule="atLeast"/>
          <w:jc w:val="center"/>
        </w:trPr>
        <w:tc>
          <w:tcPr>
            <w:tcW w:w="0" w:type="auto"/>
            <w:gridSpan w:val="11"/>
            <w:tcBorders>
              <w:top w:val="single" w:color="auto" w:sz="4" w:space="0"/>
              <w:left w:val="single" w:color="auto" w:sz="4" w:space="0"/>
              <w:bottom w:val="single" w:color="auto" w:sz="4" w:space="0"/>
              <w:right w:val="single" w:color="auto" w:sz="4" w:space="0"/>
            </w:tcBorders>
            <w:vAlign w:val="center"/>
          </w:tcPr>
          <w:p w14:paraId="5F590312">
            <w:pPr>
              <w:jc w:val="center"/>
              <w:rPr>
                <w:rFonts w:cs="宋体" w:asciiTheme="minorEastAsia" w:hAnsiTheme="minorEastAsia" w:eastAsiaTheme="minorEastAsia"/>
                <w:b/>
                <w:bCs/>
                <w:sz w:val="18"/>
                <w:szCs w:val="18"/>
              </w:rPr>
            </w:pPr>
            <w:r>
              <w:rPr>
                <w:rFonts w:cs="宋体" w:asciiTheme="minorEastAsia" w:hAnsiTheme="minorEastAsia" w:eastAsiaTheme="minorEastAsia"/>
                <w:b/>
                <w:bCs/>
                <w:sz w:val="18"/>
                <w:szCs w:val="18"/>
              </w:rPr>
              <w:t>绩效目标</w:t>
            </w:r>
          </w:p>
        </w:tc>
      </w:tr>
      <w:tr w14:paraId="403293A4">
        <w:tblPrEx>
          <w:tblCellMar>
            <w:top w:w="0" w:type="dxa"/>
            <w:left w:w="108" w:type="dxa"/>
            <w:bottom w:w="0" w:type="dxa"/>
            <w:right w:w="108" w:type="dxa"/>
          </w:tblCellMar>
        </w:tblPrEx>
        <w:trPr>
          <w:trHeight w:val="882" w:hRule="atLeast"/>
          <w:jc w:val="center"/>
        </w:trPr>
        <w:tc>
          <w:tcPr>
            <w:tcW w:w="3257" w:type="dxa"/>
            <w:gridSpan w:val="4"/>
            <w:tcBorders>
              <w:top w:val="single" w:color="auto" w:sz="4" w:space="0"/>
              <w:left w:val="single" w:color="auto" w:sz="4" w:space="0"/>
              <w:bottom w:val="single" w:color="auto" w:sz="4" w:space="0"/>
              <w:right w:val="single" w:color="auto" w:sz="4" w:space="0"/>
            </w:tcBorders>
            <w:vAlign w:val="center"/>
          </w:tcPr>
          <w:p w14:paraId="62238CD1">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年初绩效目标</w:t>
            </w:r>
          </w:p>
        </w:tc>
        <w:tc>
          <w:tcPr>
            <w:tcW w:w="2366" w:type="dxa"/>
            <w:gridSpan w:val="3"/>
            <w:tcBorders>
              <w:top w:val="single" w:color="auto" w:sz="4" w:space="0"/>
              <w:left w:val="nil"/>
              <w:bottom w:val="single" w:color="auto" w:sz="4" w:space="0"/>
              <w:right w:val="single" w:color="auto" w:sz="4" w:space="0"/>
            </w:tcBorders>
            <w:vAlign w:val="center"/>
          </w:tcPr>
          <w:p w14:paraId="0C2EDE13">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全年（调整）绩效目标</w:t>
            </w:r>
          </w:p>
        </w:tc>
        <w:tc>
          <w:tcPr>
            <w:tcW w:w="2682" w:type="dxa"/>
            <w:gridSpan w:val="4"/>
            <w:tcBorders>
              <w:top w:val="single" w:color="auto" w:sz="4" w:space="0"/>
              <w:left w:val="nil"/>
              <w:bottom w:val="single" w:color="auto" w:sz="4" w:space="0"/>
              <w:right w:val="single" w:color="auto" w:sz="4" w:space="0"/>
            </w:tcBorders>
            <w:vAlign w:val="center"/>
          </w:tcPr>
          <w:p w14:paraId="55D36FE6">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全年目标实际完成情况</w:t>
            </w:r>
          </w:p>
        </w:tc>
      </w:tr>
      <w:tr w14:paraId="3379C73A">
        <w:tblPrEx>
          <w:tblCellMar>
            <w:top w:w="0" w:type="dxa"/>
            <w:left w:w="108" w:type="dxa"/>
            <w:bottom w:w="0" w:type="dxa"/>
            <w:right w:w="108" w:type="dxa"/>
          </w:tblCellMar>
        </w:tblPrEx>
        <w:trPr>
          <w:trHeight w:val="2370" w:hRule="atLeast"/>
          <w:jc w:val="center"/>
        </w:trPr>
        <w:tc>
          <w:tcPr>
            <w:tcW w:w="3257" w:type="dxa"/>
            <w:gridSpan w:val="4"/>
            <w:tcBorders>
              <w:top w:val="single" w:color="auto" w:sz="4" w:space="0"/>
              <w:left w:val="single" w:color="auto" w:sz="4" w:space="0"/>
              <w:bottom w:val="single" w:color="auto" w:sz="4" w:space="0"/>
              <w:right w:val="single" w:color="auto" w:sz="4" w:space="0"/>
            </w:tcBorders>
          </w:tcPr>
          <w:p w14:paraId="41773549">
            <w:pPr>
              <w:rPr>
                <w:rFonts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按照区政府与渝涪公司以及高速公路执法机构协议，在渝涪高速公路涪陵主线收费站开放路段两端组织专业保安队伍（两个路口按16人计算）负责值守，制止不该上高速公路的行人及非机动车、机动车进入高速公路，保证高速公路正常的交通秩序，保障人民群众生命安全。</w:t>
            </w:r>
          </w:p>
        </w:tc>
        <w:tc>
          <w:tcPr>
            <w:tcW w:w="2366" w:type="dxa"/>
            <w:gridSpan w:val="3"/>
            <w:tcBorders>
              <w:top w:val="single" w:color="auto" w:sz="4" w:space="0"/>
              <w:left w:val="nil"/>
              <w:bottom w:val="single" w:color="auto" w:sz="4" w:space="0"/>
              <w:right w:val="single" w:color="auto" w:sz="4" w:space="0"/>
            </w:tcBorders>
          </w:tcPr>
          <w:p w14:paraId="71FE7E4F">
            <w:pPr>
              <w:rPr>
                <w:rFonts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　</w:t>
            </w:r>
          </w:p>
        </w:tc>
        <w:tc>
          <w:tcPr>
            <w:tcW w:w="2682" w:type="dxa"/>
            <w:gridSpan w:val="4"/>
            <w:tcBorders>
              <w:top w:val="single" w:color="auto" w:sz="4" w:space="0"/>
              <w:left w:val="nil"/>
              <w:bottom w:val="single" w:color="auto" w:sz="4" w:space="0"/>
              <w:right w:val="single" w:color="auto" w:sz="4" w:space="0"/>
            </w:tcBorders>
          </w:tcPr>
          <w:p w14:paraId="1421D0F3">
            <w:pPr>
              <w:rPr>
                <w:rFonts w:cs="宋体" w:asciiTheme="minorEastAsia" w:hAnsiTheme="minorEastAsia" w:eastAsiaTheme="minorEastAsia"/>
                <w:color w:val="000000"/>
                <w:sz w:val="18"/>
                <w:szCs w:val="18"/>
              </w:rPr>
            </w:pPr>
            <w:r>
              <w:rPr>
                <w:rFonts w:cs="宋体" w:asciiTheme="minorEastAsia" w:hAnsiTheme="minorEastAsia" w:eastAsiaTheme="minorEastAsia"/>
                <w:color w:val="000000"/>
                <w:sz w:val="18"/>
                <w:szCs w:val="18"/>
              </w:rPr>
              <w:t>聘请专业保安队伍（两个路口按16人计算）对渝涪高速公路涪陵主线收费站开放路段两端实施全年值守，制止不该上高速公路的行人及非机动车、机动车进入高速公路，保证高速公路正常的交通秩序，保障人民群众生命安全。</w:t>
            </w:r>
          </w:p>
        </w:tc>
      </w:tr>
      <w:tr w14:paraId="25C3117B">
        <w:tblPrEx>
          <w:tblCellMar>
            <w:top w:w="0" w:type="dxa"/>
            <w:left w:w="108" w:type="dxa"/>
            <w:bottom w:w="0" w:type="dxa"/>
            <w:right w:w="108" w:type="dxa"/>
          </w:tblCellMar>
        </w:tblPrEx>
        <w:trPr>
          <w:trHeight w:val="583" w:hRule="atLeast"/>
          <w:jc w:val="center"/>
        </w:trPr>
        <w:tc>
          <w:tcPr>
            <w:tcW w:w="0" w:type="auto"/>
            <w:gridSpan w:val="11"/>
            <w:tcBorders>
              <w:top w:val="single" w:color="auto" w:sz="4" w:space="0"/>
              <w:left w:val="single" w:color="auto" w:sz="4" w:space="0"/>
              <w:bottom w:val="single" w:color="auto" w:sz="4" w:space="0"/>
              <w:right w:val="single" w:color="auto" w:sz="4" w:space="0"/>
            </w:tcBorders>
            <w:vAlign w:val="center"/>
          </w:tcPr>
          <w:p w14:paraId="39744616">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绩效指标</w:t>
            </w:r>
          </w:p>
        </w:tc>
      </w:tr>
      <w:tr w14:paraId="3F7F69C1">
        <w:tblPrEx>
          <w:tblCellMar>
            <w:top w:w="0" w:type="dxa"/>
            <w:left w:w="108" w:type="dxa"/>
            <w:bottom w:w="0" w:type="dxa"/>
            <w:right w:w="108" w:type="dxa"/>
          </w:tblCellMar>
        </w:tblPrEx>
        <w:trPr>
          <w:trHeight w:val="882" w:hRule="atLeast"/>
          <w:jc w:val="center"/>
        </w:trPr>
        <w:tc>
          <w:tcPr>
            <w:tcW w:w="0" w:type="auto"/>
            <w:tcBorders>
              <w:top w:val="nil"/>
              <w:left w:val="single" w:color="auto" w:sz="4" w:space="0"/>
              <w:bottom w:val="single" w:color="auto" w:sz="4" w:space="0"/>
              <w:right w:val="single" w:color="auto" w:sz="4" w:space="0"/>
            </w:tcBorders>
            <w:vAlign w:val="center"/>
          </w:tcPr>
          <w:p w14:paraId="4B06F6C6">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指标名称</w:t>
            </w:r>
          </w:p>
        </w:tc>
        <w:tc>
          <w:tcPr>
            <w:tcW w:w="618" w:type="dxa"/>
            <w:tcBorders>
              <w:top w:val="nil"/>
              <w:left w:val="nil"/>
              <w:bottom w:val="single" w:color="auto" w:sz="4" w:space="0"/>
              <w:right w:val="single" w:color="auto" w:sz="4" w:space="0"/>
            </w:tcBorders>
            <w:vAlign w:val="center"/>
          </w:tcPr>
          <w:p w14:paraId="0C68A170">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计量单位</w:t>
            </w:r>
          </w:p>
        </w:tc>
        <w:tc>
          <w:tcPr>
            <w:tcW w:w="709" w:type="dxa"/>
            <w:tcBorders>
              <w:top w:val="nil"/>
              <w:left w:val="nil"/>
              <w:bottom w:val="single" w:color="auto" w:sz="4" w:space="0"/>
              <w:right w:val="single" w:color="auto" w:sz="4" w:space="0"/>
            </w:tcBorders>
            <w:vAlign w:val="center"/>
          </w:tcPr>
          <w:p w14:paraId="52C8A9E3">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指标性质</w:t>
            </w:r>
          </w:p>
        </w:tc>
        <w:tc>
          <w:tcPr>
            <w:tcW w:w="993" w:type="dxa"/>
            <w:tcBorders>
              <w:top w:val="nil"/>
              <w:left w:val="nil"/>
              <w:bottom w:val="single" w:color="auto" w:sz="4" w:space="0"/>
              <w:right w:val="single" w:color="auto" w:sz="4" w:space="0"/>
            </w:tcBorders>
            <w:vAlign w:val="center"/>
          </w:tcPr>
          <w:p w14:paraId="2AC0C366">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指标值</w:t>
            </w:r>
          </w:p>
        </w:tc>
        <w:tc>
          <w:tcPr>
            <w:tcW w:w="821" w:type="dxa"/>
            <w:tcBorders>
              <w:top w:val="nil"/>
              <w:left w:val="nil"/>
              <w:bottom w:val="single" w:color="auto" w:sz="4" w:space="0"/>
              <w:right w:val="single" w:color="auto" w:sz="4" w:space="0"/>
            </w:tcBorders>
            <w:vAlign w:val="center"/>
          </w:tcPr>
          <w:p w14:paraId="477224D2">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全年完成值</w:t>
            </w:r>
          </w:p>
        </w:tc>
        <w:tc>
          <w:tcPr>
            <w:tcW w:w="697" w:type="dxa"/>
            <w:tcBorders>
              <w:top w:val="nil"/>
              <w:left w:val="nil"/>
              <w:bottom w:val="single" w:color="auto" w:sz="4" w:space="0"/>
              <w:right w:val="single" w:color="auto" w:sz="4" w:space="0"/>
            </w:tcBorders>
            <w:vAlign w:val="center"/>
          </w:tcPr>
          <w:p w14:paraId="57AE760C">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偏离度（%）</w:t>
            </w:r>
          </w:p>
        </w:tc>
        <w:tc>
          <w:tcPr>
            <w:tcW w:w="848" w:type="dxa"/>
            <w:tcBorders>
              <w:top w:val="nil"/>
              <w:left w:val="nil"/>
              <w:bottom w:val="single" w:color="auto" w:sz="4" w:space="0"/>
              <w:right w:val="single" w:color="auto" w:sz="4" w:space="0"/>
            </w:tcBorders>
            <w:vAlign w:val="center"/>
          </w:tcPr>
          <w:p w14:paraId="6602A0E3">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得分系数（%）</w:t>
            </w:r>
          </w:p>
        </w:tc>
        <w:tc>
          <w:tcPr>
            <w:tcW w:w="666" w:type="dxa"/>
            <w:tcBorders>
              <w:top w:val="nil"/>
              <w:left w:val="nil"/>
              <w:bottom w:val="single" w:color="auto" w:sz="4" w:space="0"/>
              <w:right w:val="single" w:color="auto" w:sz="4" w:space="0"/>
            </w:tcBorders>
            <w:vAlign w:val="center"/>
          </w:tcPr>
          <w:p w14:paraId="5BD1EF04">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指标权重</w:t>
            </w:r>
          </w:p>
        </w:tc>
        <w:tc>
          <w:tcPr>
            <w:tcW w:w="666" w:type="dxa"/>
            <w:tcBorders>
              <w:top w:val="nil"/>
              <w:left w:val="nil"/>
              <w:bottom w:val="single" w:color="auto" w:sz="4" w:space="0"/>
              <w:right w:val="single" w:color="auto" w:sz="4" w:space="0"/>
            </w:tcBorders>
            <w:vAlign w:val="center"/>
          </w:tcPr>
          <w:p w14:paraId="5F266D9A">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指标得分</w:t>
            </w:r>
          </w:p>
        </w:tc>
        <w:tc>
          <w:tcPr>
            <w:tcW w:w="775" w:type="dxa"/>
            <w:tcBorders>
              <w:top w:val="nil"/>
              <w:left w:val="nil"/>
              <w:bottom w:val="single" w:color="auto" w:sz="4" w:space="0"/>
              <w:right w:val="single" w:color="auto" w:sz="4" w:space="0"/>
            </w:tcBorders>
            <w:vAlign w:val="center"/>
          </w:tcPr>
          <w:p w14:paraId="1680C0EC">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是否核心指标</w:t>
            </w:r>
          </w:p>
        </w:tc>
        <w:tc>
          <w:tcPr>
            <w:tcW w:w="0" w:type="auto"/>
            <w:tcBorders>
              <w:top w:val="nil"/>
              <w:left w:val="nil"/>
              <w:bottom w:val="single" w:color="auto" w:sz="4" w:space="0"/>
              <w:right w:val="single" w:color="auto" w:sz="4" w:space="0"/>
            </w:tcBorders>
            <w:vAlign w:val="center"/>
          </w:tcPr>
          <w:p w14:paraId="03793993">
            <w:pPr>
              <w:jc w:val="center"/>
              <w:rPr>
                <w:rFonts w:cs="宋体" w:asciiTheme="minorEastAsia" w:hAnsiTheme="minorEastAsia" w:eastAsiaTheme="minorEastAsia"/>
                <w:b/>
                <w:bCs/>
                <w:color w:val="000000"/>
                <w:sz w:val="18"/>
                <w:szCs w:val="18"/>
              </w:rPr>
            </w:pPr>
            <w:r>
              <w:rPr>
                <w:rFonts w:cs="宋体" w:asciiTheme="minorEastAsia" w:hAnsiTheme="minorEastAsia" w:eastAsiaTheme="minorEastAsia"/>
                <w:b/>
                <w:bCs/>
                <w:color w:val="000000"/>
                <w:sz w:val="18"/>
                <w:szCs w:val="18"/>
              </w:rPr>
              <w:t>说明</w:t>
            </w:r>
          </w:p>
        </w:tc>
      </w:tr>
      <w:tr w14:paraId="193FAA47">
        <w:tblPrEx>
          <w:tblCellMar>
            <w:top w:w="0" w:type="dxa"/>
            <w:left w:w="108" w:type="dxa"/>
            <w:bottom w:w="0" w:type="dxa"/>
            <w:right w:w="108" w:type="dxa"/>
          </w:tblCellMar>
        </w:tblPrEx>
        <w:trPr>
          <w:trHeight w:val="66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5B872B4">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值守时间</w:t>
            </w:r>
          </w:p>
        </w:tc>
        <w:tc>
          <w:tcPr>
            <w:tcW w:w="618" w:type="dxa"/>
            <w:tcBorders>
              <w:top w:val="single" w:color="auto" w:sz="4" w:space="0"/>
              <w:left w:val="nil"/>
              <w:bottom w:val="single" w:color="auto" w:sz="4" w:space="0"/>
              <w:right w:val="single" w:color="auto" w:sz="4" w:space="0"/>
            </w:tcBorders>
            <w:vAlign w:val="center"/>
          </w:tcPr>
          <w:p w14:paraId="54A330D1">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天</w:t>
            </w:r>
          </w:p>
        </w:tc>
        <w:tc>
          <w:tcPr>
            <w:tcW w:w="709" w:type="dxa"/>
            <w:tcBorders>
              <w:top w:val="single" w:color="auto" w:sz="4" w:space="0"/>
              <w:left w:val="nil"/>
              <w:bottom w:val="single" w:color="auto" w:sz="4" w:space="0"/>
              <w:right w:val="single" w:color="auto" w:sz="4" w:space="0"/>
            </w:tcBorders>
            <w:vAlign w:val="center"/>
          </w:tcPr>
          <w:p w14:paraId="51DA48FA">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w:t>
            </w:r>
          </w:p>
        </w:tc>
        <w:tc>
          <w:tcPr>
            <w:tcW w:w="993" w:type="dxa"/>
            <w:tcBorders>
              <w:top w:val="single" w:color="auto" w:sz="4" w:space="0"/>
              <w:left w:val="nil"/>
              <w:bottom w:val="single" w:color="auto" w:sz="4" w:space="0"/>
              <w:right w:val="single" w:color="auto" w:sz="4" w:space="0"/>
            </w:tcBorders>
            <w:vAlign w:val="center"/>
          </w:tcPr>
          <w:p w14:paraId="34D0D195">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365</w:t>
            </w:r>
          </w:p>
        </w:tc>
        <w:tc>
          <w:tcPr>
            <w:tcW w:w="821" w:type="dxa"/>
            <w:tcBorders>
              <w:top w:val="single" w:color="auto" w:sz="4" w:space="0"/>
              <w:left w:val="nil"/>
              <w:bottom w:val="single" w:color="auto" w:sz="4" w:space="0"/>
              <w:right w:val="single" w:color="auto" w:sz="4" w:space="0"/>
            </w:tcBorders>
            <w:vAlign w:val="center"/>
          </w:tcPr>
          <w:p w14:paraId="4DFF3AB7">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365</w:t>
            </w:r>
          </w:p>
        </w:tc>
        <w:tc>
          <w:tcPr>
            <w:tcW w:w="697" w:type="dxa"/>
            <w:tcBorders>
              <w:top w:val="single" w:color="auto" w:sz="4" w:space="0"/>
              <w:left w:val="nil"/>
              <w:bottom w:val="single" w:color="auto" w:sz="4" w:space="0"/>
              <w:right w:val="single" w:color="auto" w:sz="4" w:space="0"/>
            </w:tcBorders>
            <w:vAlign w:val="center"/>
          </w:tcPr>
          <w:p w14:paraId="2EA02164">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848" w:type="dxa"/>
            <w:tcBorders>
              <w:top w:val="single" w:color="auto" w:sz="4" w:space="0"/>
              <w:left w:val="nil"/>
              <w:bottom w:val="single" w:color="auto" w:sz="4" w:space="0"/>
              <w:right w:val="single" w:color="auto" w:sz="4" w:space="0"/>
            </w:tcBorders>
            <w:vAlign w:val="center"/>
          </w:tcPr>
          <w:p w14:paraId="6C5D5CF8">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30</w:t>
            </w:r>
          </w:p>
        </w:tc>
        <w:tc>
          <w:tcPr>
            <w:tcW w:w="666" w:type="dxa"/>
            <w:tcBorders>
              <w:top w:val="single" w:color="auto" w:sz="4" w:space="0"/>
              <w:left w:val="nil"/>
              <w:bottom w:val="single" w:color="auto" w:sz="4" w:space="0"/>
              <w:right w:val="single" w:color="auto" w:sz="4" w:space="0"/>
            </w:tcBorders>
            <w:vAlign w:val="center"/>
          </w:tcPr>
          <w:p w14:paraId="050D0E12">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30.00</w:t>
            </w:r>
          </w:p>
        </w:tc>
        <w:tc>
          <w:tcPr>
            <w:tcW w:w="666" w:type="dxa"/>
            <w:tcBorders>
              <w:top w:val="single" w:color="auto" w:sz="4" w:space="0"/>
              <w:left w:val="nil"/>
              <w:bottom w:val="single" w:color="auto" w:sz="4" w:space="0"/>
              <w:right w:val="single" w:color="auto" w:sz="4" w:space="0"/>
            </w:tcBorders>
            <w:vAlign w:val="center"/>
          </w:tcPr>
          <w:p w14:paraId="10BD7979">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30.00</w:t>
            </w:r>
          </w:p>
        </w:tc>
        <w:tc>
          <w:tcPr>
            <w:tcW w:w="775" w:type="dxa"/>
            <w:tcBorders>
              <w:top w:val="single" w:color="auto" w:sz="4" w:space="0"/>
              <w:left w:val="nil"/>
              <w:bottom w:val="single" w:color="auto" w:sz="4" w:space="0"/>
              <w:right w:val="single" w:color="auto" w:sz="4" w:space="0"/>
            </w:tcBorders>
            <w:vAlign w:val="center"/>
          </w:tcPr>
          <w:p w14:paraId="769EF3E3">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是</w:t>
            </w:r>
          </w:p>
        </w:tc>
        <w:tc>
          <w:tcPr>
            <w:tcW w:w="0" w:type="auto"/>
            <w:tcBorders>
              <w:top w:val="single" w:color="auto" w:sz="4" w:space="0"/>
              <w:left w:val="nil"/>
              <w:bottom w:val="single" w:color="auto" w:sz="4" w:space="0"/>
              <w:right w:val="single" w:color="auto" w:sz="4" w:space="0"/>
            </w:tcBorders>
            <w:vAlign w:val="center"/>
          </w:tcPr>
          <w:p w14:paraId="1EA7B242">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　</w:t>
            </w:r>
          </w:p>
        </w:tc>
      </w:tr>
      <w:tr w14:paraId="0CFD7E65">
        <w:tblPrEx>
          <w:tblCellMar>
            <w:top w:w="0" w:type="dxa"/>
            <w:left w:w="108" w:type="dxa"/>
            <w:bottom w:w="0" w:type="dxa"/>
            <w:right w:w="108" w:type="dxa"/>
          </w:tblCellMar>
        </w:tblPrEx>
        <w:trPr>
          <w:trHeight w:val="619"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099E457F">
            <w:pPr>
              <w:jc w:val="center"/>
              <w:rPr>
                <w:rFonts w:cs="Arial" w:asciiTheme="minorEastAsia" w:hAnsiTheme="minorEastAsia" w:eastAsiaTheme="minorEastAsia"/>
                <w:color w:val="000000"/>
                <w:sz w:val="18"/>
                <w:szCs w:val="18"/>
              </w:rPr>
            </w:pPr>
            <w:r>
              <w:rPr>
                <w:rFonts w:cs="Arial" w:asciiTheme="minorEastAsia" w:hAnsiTheme="minorEastAsia" w:eastAsiaTheme="minorEastAsia"/>
                <w:color w:val="000000"/>
                <w:sz w:val="18"/>
                <w:szCs w:val="18"/>
              </w:rPr>
              <w:t>值守人数</w:t>
            </w:r>
          </w:p>
        </w:tc>
        <w:tc>
          <w:tcPr>
            <w:tcW w:w="618" w:type="dxa"/>
            <w:tcBorders>
              <w:top w:val="single" w:color="auto" w:sz="4" w:space="0"/>
              <w:left w:val="nil"/>
              <w:bottom w:val="single" w:color="auto" w:sz="4" w:space="0"/>
              <w:right w:val="single" w:color="auto" w:sz="4" w:space="0"/>
            </w:tcBorders>
            <w:shd w:val="clear" w:color="000000" w:fill="FFFFFF"/>
            <w:noWrap/>
            <w:vAlign w:val="center"/>
          </w:tcPr>
          <w:p w14:paraId="4CB88199">
            <w:pPr>
              <w:jc w:val="center"/>
              <w:rPr>
                <w:rFonts w:cs="Arial" w:asciiTheme="minorEastAsia" w:hAnsiTheme="minorEastAsia" w:eastAsiaTheme="minorEastAsia"/>
                <w:color w:val="000000"/>
                <w:sz w:val="18"/>
                <w:szCs w:val="18"/>
              </w:rPr>
            </w:pPr>
            <w:r>
              <w:rPr>
                <w:rFonts w:cs="Arial" w:asciiTheme="minorEastAsia" w:hAnsiTheme="minorEastAsia" w:eastAsiaTheme="minorEastAsia"/>
                <w:color w:val="000000"/>
                <w:sz w:val="18"/>
                <w:szCs w:val="18"/>
              </w:rPr>
              <w:t>人</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14:paraId="2B8B875E">
            <w:pPr>
              <w:jc w:val="center"/>
              <w:rPr>
                <w:rFonts w:cs="Arial" w:asciiTheme="minorEastAsia" w:hAnsiTheme="minorEastAsia" w:eastAsiaTheme="minorEastAsia"/>
                <w:color w:val="000000"/>
                <w:sz w:val="18"/>
                <w:szCs w:val="18"/>
              </w:rPr>
            </w:pPr>
            <w:r>
              <w:rPr>
                <w:rFonts w:cs="Arial" w:asciiTheme="minorEastAsia" w:hAnsiTheme="minorEastAsia" w:eastAsiaTheme="minorEastAsia"/>
                <w:color w:val="000000"/>
                <w:sz w:val="18"/>
                <w:szCs w:val="18"/>
              </w:rPr>
              <w:t>＝</w:t>
            </w:r>
          </w:p>
        </w:tc>
        <w:tc>
          <w:tcPr>
            <w:tcW w:w="993" w:type="dxa"/>
            <w:tcBorders>
              <w:top w:val="single" w:color="auto" w:sz="4" w:space="0"/>
              <w:left w:val="nil"/>
              <w:bottom w:val="single" w:color="auto" w:sz="4" w:space="0"/>
              <w:right w:val="single" w:color="auto" w:sz="4" w:space="0"/>
            </w:tcBorders>
            <w:shd w:val="clear" w:color="000000" w:fill="FFFFFF"/>
            <w:noWrap/>
            <w:vAlign w:val="center"/>
          </w:tcPr>
          <w:p w14:paraId="0E5C0DA3">
            <w:pPr>
              <w:jc w:val="center"/>
              <w:rPr>
                <w:rFonts w:cs="Arial" w:asciiTheme="minorEastAsia" w:hAnsiTheme="minorEastAsia" w:eastAsiaTheme="minorEastAsia"/>
                <w:color w:val="000000"/>
                <w:sz w:val="18"/>
                <w:szCs w:val="18"/>
              </w:rPr>
            </w:pPr>
            <w:r>
              <w:rPr>
                <w:rFonts w:cs="Arial" w:asciiTheme="minorEastAsia" w:hAnsiTheme="minorEastAsia" w:eastAsiaTheme="minorEastAsia"/>
                <w:color w:val="000000"/>
                <w:sz w:val="18"/>
                <w:szCs w:val="18"/>
              </w:rPr>
              <w:t>16</w:t>
            </w:r>
          </w:p>
        </w:tc>
        <w:tc>
          <w:tcPr>
            <w:tcW w:w="821" w:type="dxa"/>
            <w:tcBorders>
              <w:top w:val="single" w:color="auto" w:sz="4" w:space="0"/>
              <w:left w:val="nil"/>
              <w:bottom w:val="single" w:color="auto" w:sz="4" w:space="0"/>
              <w:right w:val="single" w:color="auto" w:sz="4" w:space="0"/>
            </w:tcBorders>
            <w:shd w:val="clear" w:color="000000" w:fill="FFFFFF"/>
            <w:noWrap/>
            <w:vAlign w:val="center"/>
          </w:tcPr>
          <w:p w14:paraId="1F0E60A0">
            <w:pPr>
              <w:jc w:val="center"/>
              <w:rPr>
                <w:rFonts w:cs="Arial" w:asciiTheme="minorEastAsia" w:hAnsiTheme="minorEastAsia" w:eastAsiaTheme="minorEastAsia"/>
                <w:color w:val="000000"/>
                <w:sz w:val="18"/>
                <w:szCs w:val="18"/>
              </w:rPr>
            </w:pPr>
            <w:r>
              <w:rPr>
                <w:rFonts w:cs="Arial" w:asciiTheme="minorEastAsia" w:hAnsiTheme="minorEastAsia" w:eastAsiaTheme="minorEastAsia"/>
                <w:color w:val="000000"/>
                <w:sz w:val="18"/>
                <w:szCs w:val="18"/>
              </w:rPr>
              <w:t>16</w:t>
            </w:r>
          </w:p>
        </w:tc>
        <w:tc>
          <w:tcPr>
            <w:tcW w:w="697" w:type="dxa"/>
            <w:tcBorders>
              <w:top w:val="single" w:color="auto" w:sz="4" w:space="0"/>
              <w:left w:val="nil"/>
              <w:bottom w:val="single" w:color="auto" w:sz="4" w:space="0"/>
              <w:right w:val="single" w:color="auto" w:sz="4" w:space="0"/>
            </w:tcBorders>
            <w:vAlign w:val="center"/>
          </w:tcPr>
          <w:p w14:paraId="2EEFF942">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848" w:type="dxa"/>
            <w:tcBorders>
              <w:top w:val="single" w:color="auto" w:sz="4" w:space="0"/>
              <w:left w:val="nil"/>
              <w:bottom w:val="single" w:color="auto" w:sz="4" w:space="0"/>
              <w:right w:val="single" w:color="auto" w:sz="4" w:space="0"/>
            </w:tcBorders>
            <w:vAlign w:val="center"/>
          </w:tcPr>
          <w:p w14:paraId="04DA8545">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30</w:t>
            </w:r>
          </w:p>
        </w:tc>
        <w:tc>
          <w:tcPr>
            <w:tcW w:w="666" w:type="dxa"/>
            <w:tcBorders>
              <w:top w:val="single" w:color="auto" w:sz="4" w:space="0"/>
              <w:left w:val="nil"/>
              <w:bottom w:val="single" w:color="auto" w:sz="4" w:space="0"/>
              <w:right w:val="single" w:color="auto" w:sz="4" w:space="0"/>
            </w:tcBorders>
            <w:vAlign w:val="center"/>
          </w:tcPr>
          <w:p w14:paraId="4C3EB623">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30.00</w:t>
            </w:r>
          </w:p>
        </w:tc>
        <w:tc>
          <w:tcPr>
            <w:tcW w:w="666" w:type="dxa"/>
            <w:tcBorders>
              <w:top w:val="single" w:color="auto" w:sz="4" w:space="0"/>
              <w:left w:val="nil"/>
              <w:bottom w:val="single" w:color="auto" w:sz="4" w:space="0"/>
              <w:right w:val="single" w:color="auto" w:sz="4" w:space="0"/>
            </w:tcBorders>
            <w:vAlign w:val="center"/>
          </w:tcPr>
          <w:p w14:paraId="28828BCD">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30.00</w:t>
            </w:r>
          </w:p>
        </w:tc>
        <w:tc>
          <w:tcPr>
            <w:tcW w:w="775" w:type="dxa"/>
            <w:tcBorders>
              <w:top w:val="single" w:color="auto" w:sz="4" w:space="0"/>
              <w:left w:val="nil"/>
              <w:bottom w:val="single" w:color="auto" w:sz="4" w:space="0"/>
              <w:right w:val="single" w:color="auto" w:sz="4" w:space="0"/>
            </w:tcBorders>
            <w:vAlign w:val="center"/>
          </w:tcPr>
          <w:p w14:paraId="270FD767">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否</w:t>
            </w:r>
          </w:p>
        </w:tc>
        <w:tc>
          <w:tcPr>
            <w:tcW w:w="0" w:type="auto"/>
            <w:tcBorders>
              <w:top w:val="single" w:color="auto" w:sz="4" w:space="0"/>
              <w:left w:val="nil"/>
              <w:bottom w:val="single" w:color="auto" w:sz="4" w:space="0"/>
              <w:right w:val="single" w:color="auto" w:sz="4" w:space="0"/>
            </w:tcBorders>
            <w:vAlign w:val="center"/>
          </w:tcPr>
          <w:p w14:paraId="3BDCF07A">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　</w:t>
            </w:r>
          </w:p>
        </w:tc>
      </w:tr>
      <w:tr w14:paraId="7DD62EA6">
        <w:tblPrEx>
          <w:tblCellMar>
            <w:top w:w="0" w:type="dxa"/>
            <w:left w:w="108" w:type="dxa"/>
            <w:bottom w:w="0" w:type="dxa"/>
            <w:right w:w="108" w:type="dxa"/>
          </w:tblCellMar>
        </w:tblPrEx>
        <w:trPr>
          <w:trHeight w:val="78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7B711E2">
            <w:pPr>
              <w:jc w:val="center"/>
              <w:rPr>
                <w:rFonts w:cs="Arial" w:asciiTheme="minorEastAsia" w:hAnsiTheme="minorEastAsia" w:eastAsiaTheme="minorEastAsia"/>
                <w:color w:val="000000"/>
                <w:sz w:val="18"/>
                <w:szCs w:val="18"/>
              </w:rPr>
            </w:pPr>
            <w:r>
              <w:rPr>
                <w:rFonts w:cs="Arial" w:asciiTheme="minorEastAsia" w:hAnsiTheme="minorEastAsia" w:eastAsiaTheme="minorEastAsia"/>
                <w:color w:val="000000"/>
                <w:sz w:val="18"/>
                <w:szCs w:val="18"/>
              </w:rPr>
              <w:t>违规车辆</w:t>
            </w:r>
          </w:p>
        </w:tc>
        <w:tc>
          <w:tcPr>
            <w:tcW w:w="618" w:type="dxa"/>
            <w:tcBorders>
              <w:top w:val="single" w:color="auto" w:sz="4" w:space="0"/>
              <w:left w:val="nil"/>
              <w:bottom w:val="single" w:color="auto" w:sz="4" w:space="0"/>
              <w:right w:val="single" w:color="auto" w:sz="4" w:space="0"/>
            </w:tcBorders>
            <w:shd w:val="clear" w:color="000000" w:fill="FFFFFF"/>
            <w:noWrap/>
            <w:vAlign w:val="center"/>
          </w:tcPr>
          <w:p w14:paraId="1E8B606F">
            <w:pPr>
              <w:jc w:val="center"/>
              <w:rPr>
                <w:rFonts w:cs="Arial" w:asciiTheme="minorEastAsia" w:hAnsiTheme="minorEastAsia" w:eastAsiaTheme="minorEastAsia"/>
                <w:color w:val="000000"/>
                <w:sz w:val="18"/>
                <w:szCs w:val="18"/>
              </w:rPr>
            </w:pPr>
            <w:r>
              <w:rPr>
                <w:rFonts w:cs="Arial" w:asciiTheme="minorEastAsia" w:hAnsiTheme="minorEastAsia" w:eastAsiaTheme="minorEastAsia"/>
                <w:color w:val="000000"/>
                <w:sz w:val="18"/>
                <w:szCs w:val="18"/>
              </w:rPr>
              <w:t>辆</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14:paraId="422CDB3E">
            <w:pPr>
              <w:jc w:val="center"/>
              <w:rPr>
                <w:rFonts w:cs="Arial" w:asciiTheme="minorEastAsia" w:hAnsiTheme="minorEastAsia" w:eastAsiaTheme="minorEastAsia"/>
                <w:color w:val="000000"/>
                <w:sz w:val="18"/>
                <w:szCs w:val="18"/>
              </w:rPr>
            </w:pPr>
            <w:r>
              <w:rPr>
                <w:rFonts w:cs="Arial" w:asciiTheme="minorEastAsia" w:hAnsiTheme="minorEastAsia" w:eastAsiaTheme="minorEastAsia"/>
                <w:color w:val="000000"/>
                <w:sz w:val="18"/>
                <w:szCs w:val="18"/>
              </w:rPr>
              <w:t>＝</w:t>
            </w:r>
          </w:p>
        </w:tc>
        <w:tc>
          <w:tcPr>
            <w:tcW w:w="993" w:type="dxa"/>
            <w:tcBorders>
              <w:top w:val="single" w:color="auto" w:sz="4" w:space="0"/>
              <w:left w:val="nil"/>
              <w:bottom w:val="single" w:color="auto" w:sz="4" w:space="0"/>
              <w:right w:val="single" w:color="auto" w:sz="4" w:space="0"/>
            </w:tcBorders>
            <w:shd w:val="clear" w:color="000000" w:fill="FFFFFF"/>
            <w:noWrap/>
            <w:vAlign w:val="center"/>
          </w:tcPr>
          <w:p w14:paraId="3C0758C0">
            <w:pPr>
              <w:jc w:val="center"/>
              <w:rPr>
                <w:rFonts w:cs="Arial" w:asciiTheme="minorEastAsia" w:hAnsiTheme="minorEastAsia" w:eastAsiaTheme="minorEastAsia"/>
                <w:color w:val="000000"/>
                <w:sz w:val="18"/>
                <w:szCs w:val="18"/>
              </w:rPr>
            </w:pPr>
            <w:r>
              <w:rPr>
                <w:rFonts w:cs="Arial" w:asciiTheme="minorEastAsia" w:hAnsiTheme="minorEastAsia" w:eastAsiaTheme="minorEastAsia"/>
                <w:color w:val="000000"/>
                <w:sz w:val="18"/>
                <w:szCs w:val="18"/>
              </w:rPr>
              <w:t>0</w:t>
            </w:r>
          </w:p>
        </w:tc>
        <w:tc>
          <w:tcPr>
            <w:tcW w:w="821" w:type="dxa"/>
            <w:tcBorders>
              <w:top w:val="single" w:color="auto" w:sz="4" w:space="0"/>
              <w:left w:val="nil"/>
              <w:bottom w:val="single" w:color="auto" w:sz="4" w:space="0"/>
              <w:right w:val="single" w:color="auto" w:sz="4" w:space="0"/>
            </w:tcBorders>
            <w:vAlign w:val="center"/>
          </w:tcPr>
          <w:p w14:paraId="5CA7DD0E">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697" w:type="dxa"/>
            <w:tcBorders>
              <w:top w:val="single" w:color="auto" w:sz="4" w:space="0"/>
              <w:left w:val="nil"/>
              <w:bottom w:val="single" w:color="auto" w:sz="4" w:space="0"/>
              <w:right w:val="single" w:color="auto" w:sz="4" w:space="0"/>
            </w:tcBorders>
            <w:vAlign w:val="center"/>
          </w:tcPr>
          <w:p w14:paraId="5CEC50B6">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0</w:t>
            </w:r>
          </w:p>
        </w:tc>
        <w:tc>
          <w:tcPr>
            <w:tcW w:w="848" w:type="dxa"/>
            <w:tcBorders>
              <w:top w:val="single" w:color="auto" w:sz="4" w:space="0"/>
              <w:left w:val="nil"/>
              <w:bottom w:val="single" w:color="auto" w:sz="4" w:space="0"/>
              <w:right w:val="single" w:color="auto" w:sz="4" w:space="0"/>
            </w:tcBorders>
            <w:vAlign w:val="center"/>
          </w:tcPr>
          <w:p w14:paraId="6176C43E">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30</w:t>
            </w:r>
          </w:p>
        </w:tc>
        <w:tc>
          <w:tcPr>
            <w:tcW w:w="666" w:type="dxa"/>
            <w:tcBorders>
              <w:top w:val="single" w:color="auto" w:sz="4" w:space="0"/>
              <w:left w:val="nil"/>
              <w:bottom w:val="single" w:color="auto" w:sz="4" w:space="0"/>
              <w:right w:val="single" w:color="auto" w:sz="4" w:space="0"/>
            </w:tcBorders>
            <w:vAlign w:val="center"/>
          </w:tcPr>
          <w:p w14:paraId="5110D11A">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30.00</w:t>
            </w:r>
          </w:p>
        </w:tc>
        <w:tc>
          <w:tcPr>
            <w:tcW w:w="666" w:type="dxa"/>
            <w:tcBorders>
              <w:top w:val="single" w:color="auto" w:sz="4" w:space="0"/>
              <w:left w:val="nil"/>
              <w:bottom w:val="single" w:color="auto" w:sz="4" w:space="0"/>
              <w:right w:val="single" w:color="auto" w:sz="4" w:space="0"/>
            </w:tcBorders>
            <w:vAlign w:val="center"/>
          </w:tcPr>
          <w:p w14:paraId="45C15B84">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30.00</w:t>
            </w:r>
          </w:p>
        </w:tc>
        <w:tc>
          <w:tcPr>
            <w:tcW w:w="775" w:type="dxa"/>
            <w:tcBorders>
              <w:top w:val="single" w:color="auto" w:sz="4" w:space="0"/>
              <w:left w:val="nil"/>
              <w:bottom w:val="single" w:color="auto" w:sz="4" w:space="0"/>
              <w:right w:val="single" w:color="auto" w:sz="4" w:space="0"/>
            </w:tcBorders>
            <w:vAlign w:val="center"/>
          </w:tcPr>
          <w:p w14:paraId="79D9C101">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否</w:t>
            </w:r>
          </w:p>
        </w:tc>
        <w:tc>
          <w:tcPr>
            <w:tcW w:w="0" w:type="auto"/>
            <w:tcBorders>
              <w:top w:val="single" w:color="auto" w:sz="4" w:space="0"/>
              <w:left w:val="nil"/>
              <w:bottom w:val="single" w:color="auto" w:sz="4" w:space="0"/>
              <w:right w:val="single" w:color="auto" w:sz="4" w:space="0"/>
            </w:tcBorders>
            <w:vAlign w:val="center"/>
          </w:tcPr>
          <w:p w14:paraId="7C9C715B">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　</w:t>
            </w:r>
          </w:p>
        </w:tc>
      </w:tr>
    </w:tbl>
    <w:p w14:paraId="2870EEF2">
      <w:pPr>
        <w:pStyle w:val="12"/>
        <w:spacing w:before="0" w:beforeAutospacing="0" w:after="0" w:afterAutospacing="0"/>
        <w:rPr>
          <w:rStyle w:val="13"/>
          <w:rFonts w:hint="eastAsia" w:ascii="方正仿宋_GBK" w:hAnsi="方正仿宋_GBK" w:eastAsia="方正仿宋_GBK" w:cs="方正仿宋_GBK"/>
          <w:color w:val="FF0000"/>
          <w:sz w:val="32"/>
          <w:szCs w:val="32"/>
          <w:shd w:val="clear" w:color="auto" w:fill="FFFFFF"/>
        </w:rPr>
      </w:pPr>
    </w:p>
    <w:p w14:paraId="1F058F01">
      <w:pPr>
        <w:pStyle w:val="11"/>
        <w:autoSpaceDE w:val="0"/>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366B721F">
      <w:pPr>
        <w:pStyle w:val="11"/>
        <w:autoSpaceDE w:val="0"/>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本单位没有委托第三方开展绩效评价</w:t>
      </w:r>
      <w:r>
        <w:rPr>
          <w:rFonts w:ascii="方正仿宋_GBK" w:hAnsi="方正仿宋_GBK" w:eastAsia="方正仿宋_GBK" w:cs="方正仿宋_GBK"/>
          <w:sz w:val="32"/>
          <w:szCs w:val="32"/>
          <w:shd w:val="clear" w:color="auto" w:fill="FFFFFF"/>
        </w:rPr>
        <w:t>。</w:t>
      </w:r>
    </w:p>
    <w:p w14:paraId="735825E2">
      <w:pPr>
        <w:pStyle w:val="11"/>
        <w:keepNext w:val="0"/>
        <w:keepLines w:val="0"/>
        <w:pageBreakBefore w:val="0"/>
        <w:widowControl/>
        <w:kinsoku/>
        <w:wordWrap/>
        <w:overflowPunct/>
        <w:topLinePunct w:val="0"/>
        <w:autoSpaceDE w:val="0"/>
        <w:autoSpaceDN/>
        <w:bidi w:val="0"/>
        <w:adjustRightInd/>
        <w:snapToGrid/>
        <w:ind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1584679E">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区财政局未委托第三方对我单位开展绩效评价。</w:t>
      </w:r>
    </w:p>
    <w:p w14:paraId="52057A79">
      <w:pPr>
        <w:pStyle w:val="6"/>
        <w:shd w:val="clear" w:color="auto" w:fill="FFFFFF"/>
        <w:rPr>
          <w:rStyle w:val="10"/>
          <w:rFonts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六、专业名词解释</w:t>
      </w:r>
    </w:p>
    <w:p w14:paraId="0B081A79">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E4B36B6">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581FD94">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AF54A50">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695E7EB">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F5B5C54">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3909FC6">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00BE47B">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B4034A0">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AB668DE">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20A255A">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FF6F14C">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C5604A6">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36F030A">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AFF9A1F">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2F96F78">
      <w:pPr>
        <w:pStyle w:val="6"/>
        <w:snapToGrid w:val="0"/>
        <w:spacing w:before="0" w:beforeAutospacing="0" w:after="0" w:afterAutospacing="0" w:line="600" w:lineRule="exact"/>
        <w:ind w:firstLine="643" w:firstLineChars="200"/>
        <w:jc w:val="both"/>
        <w:rPr>
          <w:rFonts w:ascii="楷体" w:hAnsi="楷体" w:eastAsia="楷体" w:cs="楷体"/>
          <w:b/>
          <w:sz w:val="32"/>
          <w:szCs w:val="32"/>
          <w:shd w:val="clear" w:color="auto" w:fill="FFFFFF"/>
        </w:rPr>
      </w:pPr>
      <w:r>
        <w:rPr>
          <w:rStyle w:val="10"/>
          <w:rFonts w:ascii="楷体" w:hAnsi="楷体" w:eastAsia="楷体" w:cs="楷体"/>
          <w:sz w:val="32"/>
          <w:szCs w:val="32"/>
          <w:shd w:val="clear" w:color="auto" w:fill="FFFFFF"/>
        </w:rPr>
        <w:t>（十六）其他资本性支出（支出经济分类科目类级）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BA2D4FD">
      <w:pPr>
        <w:pStyle w:val="6"/>
        <w:shd w:val="clear" w:color="auto" w:fill="FFFFFF"/>
        <w:rPr>
          <w:rStyle w:val="10"/>
          <w:rFonts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7E0D5B9A">
      <w:pPr>
        <w:pStyle w:val="11"/>
        <w:autoSpaceDE w:val="0"/>
        <w:ind w:firstLine="640"/>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10649337">
      <w:pPr>
        <w:pStyle w:val="11"/>
        <w:autoSpaceDE w:val="0"/>
        <w:ind w:firstLine="640"/>
        <w:rPr>
          <w:rFonts w:hint="eastAsia"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蔡新亮</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023-64667616。</w:t>
      </w:r>
    </w:p>
    <w:p w14:paraId="0995B8AC">
      <w:pPr>
        <w:rPr>
          <w:rFonts w:cs="宋体"/>
          <w:sz w:val="21"/>
          <w:szCs w:val="21"/>
        </w:rPr>
      </w:pPr>
    </w:p>
    <w:sectPr>
      <w:headerReference r:id="rId4" w:type="default"/>
      <w:footerReference r:id="rId5" w:type="default"/>
      <w:pgSz w:w="11907" w:h="16839"/>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0CC84">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6"/>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w="6350">
                        <a:noFill/>
                      </a:ln>
                    </wps:spPr>
                    <wps:txbx>
                      <w:txbxContent>
                        <w:p w14:paraId="67B8C9BD">
                          <w:pPr>
                            <w:pStyle w:val="3"/>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1.65pt;width:22.55pt;mso-position-horizontal:center;mso-position-horizontal-relative:margin;mso-wrap-style:none;z-index:251661312;mso-width-relative:page;mso-height-relative:page;" filled="f" stroked="f" coordsize="21600,21600" o:gfxdata="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YEDdIAAAADAQAADwAAAAAAAAABACAAAAAiAAAAZHJzL2Rvd25yZXYueG1sUEsBAhQA&#10;FAAAAAgAh07iQAEyyDcxAgAAUwQAAA4AAAAAAAAAAQAgAAAAIQEAAGRycy9lMm9Eb2MueG1sUEsF&#10;BgAAAAAGAAYAWQEAAMQFAAAAAA==&#10;">
              <v:fill on="f" focussize="0,0"/>
              <v:stroke on="f" weight="0.5pt"/>
              <v:imagedata o:title=""/>
              <o:lock v:ext="edit" aspectratio="f"/>
              <v:textbox inset="0mm,0mm,0mm,0mm" style="mso-fit-shape-to-text:t;">
                <w:txbxContent>
                  <w:p w14:paraId="67B8C9BD">
                    <w:pPr>
                      <w:pStyle w:val="3"/>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CC45">
    <w:pPr>
      <w:pStyle w:val="3"/>
      <w:jc w:val="both"/>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127" name="文本框 4"/>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a:effectLst/>
                    </wps:spPr>
                    <wps:txbx>
                      <w:txbxContent>
                        <w:p w14:paraId="37C9DB01">
                          <w:pPr>
                            <w:pStyle w:val="3"/>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96t87SAAAAAwEAAA8AAAAAAAAAAQAgAAAAIgAAAGRycy9kb3ducmV2Lnht&#10;bFBLAQIUABQAAAAIAIdO4kAaoXCpOAIAAGMEAAAOAAAAAAAAAAEAIAAAACEBAABkcnMvZTJvRG9j&#10;LnhtbFBLBQYAAAAABgAGAFkBAADLBQAAAAA=&#10;">
              <v:fill on="f" focussize="0,0"/>
              <v:stroke on="f" weight="0.5pt"/>
              <v:imagedata o:title=""/>
              <o:lock v:ext="edit" aspectratio="f"/>
              <v:textbox inset="0mm,0mm,0mm,0mm" style="mso-fit-shape-to-text:t;">
                <w:txbxContent>
                  <w:p w14:paraId="37C9DB01">
                    <w:pPr>
                      <w:pStyle w:val="3"/>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0" r="0" b="0"/>
              <wp:wrapNone/>
              <wp:docPr id="126" name="文本框 2"/>
              <wp:cNvGraphicFramePr/>
              <a:graphic xmlns:a="http://schemas.openxmlformats.org/drawingml/2006/main">
                <a:graphicData uri="http://schemas.microsoft.com/office/word/2010/wordprocessingShape">
                  <wps:wsp>
                    <wps:cNvSpPr txBox="1"/>
                    <wps:spPr>
                      <a:xfrm>
                        <a:off x="0" y="0"/>
                        <a:ext cx="572135" cy="220980"/>
                      </a:xfrm>
                      <a:prstGeom prst="rect">
                        <a:avLst/>
                      </a:prstGeom>
                      <a:noFill/>
                      <a:ln w="6350">
                        <a:noFill/>
                      </a:ln>
                      <a:effectLst/>
                    </wps:spPr>
                    <wps:txbx>
                      <w:txbxContent>
                        <w:p w14:paraId="2A155806">
                          <w:pPr>
                            <w:pStyle w:val="3"/>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2"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5K7N9gAAAAJAQAADwAAAAAAAAABACAAAAAiAAAAZHJzL2Rvd25y&#10;ZXYueG1sUEsBAhQAFAAAAAgAh07iQJ+ZUss3AgAAYwQAAA4AAAAAAAAAAQAgAAAAJwEAAGRycy9l&#10;Mm9Eb2MueG1sUEsFBgAAAAAGAAYAWQEAANAFAAAAAA==&#10;">
              <v:fill on="f" focussize="0,0"/>
              <v:stroke on="f" weight="0.5pt"/>
              <v:imagedata o:title=""/>
              <o:lock v:ext="edit" aspectratio="f"/>
              <v:textbox inset="0mm,0mm,0mm,0mm">
                <w:txbxContent>
                  <w:p w14:paraId="2A155806">
                    <w:pPr>
                      <w:pStyle w:val="3"/>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49E4">
    <w:pPr>
      <w:pStyle w:val="4"/>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E8141421"/>
    <w:multiLevelType w:val="singleLevel"/>
    <w:tmpl w:val="E8141421"/>
    <w:lvl w:ilvl="0" w:tentative="0">
      <w:start w:val="1"/>
      <w:numFmt w:val="decimal"/>
      <w:lvlText w:val="%1."/>
      <w:lvlJc w:val="left"/>
      <w:pPr>
        <w:tabs>
          <w:tab w:val="left" w:pos="312"/>
        </w:tabs>
        <w:ind w:left="64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B6622"/>
    <w:rsid w:val="001E048B"/>
    <w:rsid w:val="00270E53"/>
    <w:rsid w:val="002B254B"/>
    <w:rsid w:val="00320DA8"/>
    <w:rsid w:val="004A597F"/>
    <w:rsid w:val="00550ABE"/>
    <w:rsid w:val="0072757B"/>
    <w:rsid w:val="00770383"/>
    <w:rsid w:val="007819D4"/>
    <w:rsid w:val="007B419D"/>
    <w:rsid w:val="00853209"/>
    <w:rsid w:val="009B67B8"/>
    <w:rsid w:val="009D2B67"/>
    <w:rsid w:val="009D314B"/>
    <w:rsid w:val="00A75F4F"/>
    <w:rsid w:val="00B03CCD"/>
    <w:rsid w:val="00B05EC2"/>
    <w:rsid w:val="00C20C3E"/>
    <w:rsid w:val="00C616C0"/>
    <w:rsid w:val="00C951B7"/>
    <w:rsid w:val="00D050C7"/>
    <w:rsid w:val="00D53FB4"/>
    <w:rsid w:val="00D60ED3"/>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031F25"/>
    <w:rsid w:val="0D0E5602"/>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8DF159B"/>
    <w:rsid w:val="194A1770"/>
    <w:rsid w:val="19B57C14"/>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EA31BB6"/>
    <w:rsid w:val="2FC73665"/>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4D6EBA"/>
    <w:rsid w:val="3ADD7F09"/>
    <w:rsid w:val="3B1705E5"/>
    <w:rsid w:val="3B18334B"/>
    <w:rsid w:val="3B36794F"/>
    <w:rsid w:val="3B6F6EE0"/>
    <w:rsid w:val="3C566AD6"/>
    <w:rsid w:val="3C594871"/>
    <w:rsid w:val="3C6A5B02"/>
    <w:rsid w:val="3CC72F54"/>
    <w:rsid w:val="3D056BCE"/>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9022D1"/>
    <w:rsid w:val="4DAC4ACA"/>
    <w:rsid w:val="4DBE01D2"/>
    <w:rsid w:val="4F0C6BA3"/>
    <w:rsid w:val="4F186D58"/>
    <w:rsid w:val="50F06B6E"/>
    <w:rsid w:val="51D21804"/>
    <w:rsid w:val="52234D33"/>
    <w:rsid w:val="522F6E0C"/>
    <w:rsid w:val="52463BA1"/>
    <w:rsid w:val="52F163D4"/>
    <w:rsid w:val="5306579E"/>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D92334"/>
    <w:rsid w:val="56FF7E9E"/>
    <w:rsid w:val="578867FC"/>
    <w:rsid w:val="57FC56C4"/>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865952"/>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144D12"/>
    <w:rsid w:val="6F5A53AC"/>
    <w:rsid w:val="6FAC003D"/>
    <w:rsid w:val="6FE55E12"/>
    <w:rsid w:val="6FEC625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5E687B"/>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4357</Words>
  <Characters>5085</Characters>
  <Lines>290</Lines>
  <Paragraphs>274</Paragraphs>
  <TotalTime>60</TotalTime>
  <ScaleCrop>false</ScaleCrop>
  <LinksUpToDate>false</LinksUpToDate>
  <CharactersWithSpaces>5104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2025-10-20T01:21:00Z</dcterms:created>
  <dc:creator>Administrator</dc:creator>
  <cp:lastModifiedBy>葉苓筠#七</cp:lastModifiedBy>
  <dcterms:modified xsi:type="dcterms:W3CDTF">2025-11-04T06:51:31Z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C45892AF95924734A14C919CAD0F6A1F_13</vt:lpwstr>
  </property>
  <property fmtid="{D5CDD505-2E9C-101B-9397-08002B2CF9AE}" pid="4" name="KSOTemplateDocerSaveRecord">
    <vt:lpwstr>eyJoZGlkIjoiMWJjZmNlZWJjN2M3NThlZTk0YjZlMjVmYmVmNTU1ZjkiLCJ1c2VySWQiOiIyNzM5NjM1NjQifQ==</vt:lpwstr>
  </property>
</Properties>
</file>