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1E8E5">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重庆市涪陵区渡口事务中心</w:t>
      </w:r>
    </w:p>
    <w:p w14:paraId="267BDED6">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24C038EE">
      <w:pPr>
        <w:pStyle w:val="9"/>
        <w:shd w:val="clear" w:color="auto" w:fill="FFFFFF"/>
        <w:snapToGrid w:val="0"/>
        <w:spacing w:before="0" w:beforeAutospacing="0" w:after="0" w:afterAutospacing="0" w:line="560" w:lineRule="exact"/>
        <w:ind w:firstLine="640" w:firstLineChars="200"/>
        <w:jc w:val="both"/>
        <w:rPr>
          <w:rStyle w:val="13"/>
          <w:rFonts w:hint="default" w:ascii="方正黑体_GBK" w:eastAsia="方正黑体_GBK"/>
          <w:b w:val="0"/>
          <w:sz w:val="32"/>
          <w:szCs w:val="32"/>
        </w:rPr>
      </w:pPr>
    </w:p>
    <w:p w14:paraId="5EE177E8">
      <w:pPr>
        <w:pStyle w:val="9"/>
        <w:shd w:val="clear" w:color="auto" w:fill="FFFFFF"/>
        <w:snapToGrid w:val="0"/>
        <w:spacing w:before="0" w:beforeAutospacing="0" w:after="0" w:afterAutospacing="0" w:line="560" w:lineRule="exact"/>
        <w:ind w:firstLine="640" w:firstLineChars="200"/>
        <w:jc w:val="both"/>
        <w:rPr>
          <w:rFonts w:hint="default" w:ascii="方正黑体_GBK" w:eastAsia="方正黑体_GBK"/>
          <w:sz w:val="32"/>
          <w:szCs w:val="32"/>
        </w:rPr>
      </w:pPr>
      <w:r>
        <w:rPr>
          <w:rStyle w:val="13"/>
          <w:rFonts w:ascii="方正黑体_GBK" w:eastAsia="方正黑体_GBK"/>
          <w:b w:val="0"/>
          <w:sz w:val="32"/>
          <w:szCs w:val="32"/>
        </w:rPr>
        <w:t>一、单位基本情况</w:t>
      </w:r>
    </w:p>
    <w:p w14:paraId="006E5C86">
      <w:pPr>
        <w:pStyle w:val="9"/>
        <w:shd w:val="clear" w:color="auto" w:fill="FFFFFF"/>
        <w:snapToGrid w:val="0"/>
        <w:spacing w:before="0" w:beforeAutospacing="0" w:after="0" w:afterAutospacing="0" w:line="560" w:lineRule="exact"/>
        <w:ind w:firstLine="640" w:firstLineChars="200"/>
        <w:jc w:val="both"/>
        <w:rPr>
          <w:rStyle w:val="13"/>
          <w:rFonts w:hint="default" w:ascii="方正仿宋_GBK" w:eastAsia="方正仿宋_GBK"/>
          <w:b w:val="0"/>
          <w:sz w:val="32"/>
          <w:szCs w:val="32"/>
        </w:rPr>
      </w:pPr>
      <w:r>
        <w:rPr>
          <w:rStyle w:val="13"/>
          <w:rFonts w:ascii="方正仿宋_GBK" w:eastAsia="方正仿宋_GBK"/>
          <w:b w:val="0"/>
          <w:sz w:val="32"/>
          <w:szCs w:val="32"/>
        </w:rPr>
        <w:t>根据涪委编委〔2020〕111号机构编制方案，2020年10月重庆市涪陵区渡口管理所更名为重庆市涪陵区渡口事务中心，隶属重庆市涪陵区交通局的正科级公益一类全额拨款事业单位。</w:t>
      </w:r>
    </w:p>
    <w:p w14:paraId="225F0EF7">
      <w:pPr>
        <w:spacing w:line="560" w:lineRule="exact"/>
        <w:ind w:firstLine="640" w:firstLineChars="200"/>
        <w:rPr>
          <w:rStyle w:val="20"/>
          <w:rFonts w:hint="eastAsia" w:ascii="方正楷体_GBK" w:hAnsi="方正楷体_GBK" w:eastAsia="方正楷体_GBK" w:cs="方正楷体_GBK"/>
          <w:b w:val="0"/>
          <w:sz w:val="32"/>
          <w:szCs w:val="32"/>
        </w:rPr>
      </w:pPr>
      <w:r>
        <w:rPr>
          <w:rStyle w:val="20"/>
          <w:rFonts w:hint="eastAsia" w:ascii="方正楷体_GBK" w:hAnsi="方正楷体_GBK" w:eastAsia="方正楷体_GBK" w:cs="方正楷体_GBK"/>
          <w:b w:val="0"/>
          <w:sz w:val="32"/>
          <w:szCs w:val="32"/>
        </w:rPr>
        <w:t>（一）职能职责</w:t>
      </w:r>
    </w:p>
    <w:p w14:paraId="724D5A2A">
      <w:pPr>
        <w:pStyle w:val="9"/>
        <w:shd w:val="clear" w:color="auto" w:fill="FFFFFF"/>
        <w:snapToGrid w:val="0"/>
        <w:spacing w:before="0" w:beforeAutospacing="0" w:after="0" w:afterAutospacing="0" w:line="560" w:lineRule="exact"/>
        <w:ind w:firstLine="640" w:firstLineChars="200"/>
        <w:jc w:val="both"/>
        <w:rPr>
          <w:rStyle w:val="13"/>
          <w:rFonts w:hint="default" w:ascii="方正仿宋_GBK" w:eastAsia="方正仿宋_GBK"/>
          <w:b w:val="0"/>
          <w:sz w:val="32"/>
          <w:szCs w:val="32"/>
        </w:rPr>
      </w:pPr>
      <w:r>
        <w:rPr>
          <w:rStyle w:val="13"/>
          <w:rFonts w:ascii="方正仿宋_GBK" w:eastAsia="方正仿宋_GBK"/>
          <w:b w:val="0"/>
          <w:sz w:val="32"/>
          <w:szCs w:val="32"/>
        </w:rPr>
        <w:t>1、承担全区渡口渡船管理相关事务性、技术性工作。</w:t>
      </w:r>
    </w:p>
    <w:p w14:paraId="468F191D">
      <w:pPr>
        <w:pStyle w:val="9"/>
        <w:shd w:val="clear" w:color="auto" w:fill="FFFFFF"/>
        <w:snapToGrid w:val="0"/>
        <w:spacing w:before="0" w:beforeAutospacing="0" w:after="0" w:afterAutospacing="0" w:line="560" w:lineRule="exact"/>
        <w:ind w:firstLine="640" w:firstLineChars="200"/>
        <w:jc w:val="both"/>
        <w:rPr>
          <w:rStyle w:val="13"/>
          <w:rFonts w:hint="default" w:ascii="方正仿宋_GBK" w:eastAsia="方正仿宋_GBK"/>
          <w:b w:val="0"/>
          <w:sz w:val="32"/>
          <w:szCs w:val="32"/>
        </w:rPr>
      </w:pPr>
      <w:r>
        <w:rPr>
          <w:rStyle w:val="13"/>
          <w:rFonts w:ascii="方正仿宋_GBK" w:eastAsia="方正仿宋_GBK"/>
          <w:b w:val="0"/>
          <w:sz w:val="32"/>
          <w:szCs w:val="32"/>
        </w:rPr>
        <w:t>2、承担区交通局交办的其他工作。</w:t>
      </w:r>
    </w:p>
    <w:p w14:paraId="79550733">
      <w:pPr>
        <w:spacing w:line="560" w:lineRule="exact"/>
        <w:ind w:firstLine="640" w:firstLineChars="200"/>
        <w:rPr>
          <w:rStyle w:val="20"/>
          <w:rFonts w:hint="eastAsia" w:ascii="方正楷体_GBK" w:hAnsi="方正楷体_GBK" w:eastAsia="方正楷体_GBK" w:cs="方正楷体_GBK"/>
          <w:b w:val="0"/>
          <w:sz w:val="32"/>
          <w:szCs w:val="32"/>
        </w:rPr>
      </w:pPr>
      <w:r>
        <w:rPr>
          <w:rStyle w:val="20"/>
          <w:rFonts w:hint="eastAsia" w:ascii="方正楷体_GBK" w:hAnsi="方正楷体_GBK" w:eastAsia="方正楷体_GBK" w:cs="方正楷体_GBK"/>
          <w:b w:val="0"/>
          <w:sz w:val="32"/>
          <w:szCs w:val="32"/>
        </w:rPr>
        <w:t>（二）机构设置</w:t>
      </w:r>
    </w:p>
    <w:p w14:paraId="476F623C">
      <w:pPr>
        <w:pStyle w:val="9"/>
        <w:shd w:val="clear" w:color="auto" w:fill="FFFFFF"/>
        <w:spacing w:before="0" w:beforeAutospacing="0" w:after="0" w:afterAutospacing="0" w:line="560" w:lineRule="exact"/>
        <w:ind w:firstLine="560" w:firstLineChars="200"/>
        <w:jc w:val="both"/>
        <w:rPr>
          <w:rFonts w:hint="default" w:ascii="方正仿宋_GBK" w:eastAsia="方正仿宋_GBK"/>
          <w:spacing w:val="-20"/>
          <w:sz w:val="32"/>
          <w:szCs w:val="32"/>
        </w:rPr>
      </w:pPr>
      <w:r>
        <w:rPr>
          <w:rFonts w:ascii="方正仿宋_GBK" w:eastAsia="方正仿宋_GBK"/>
          <w:spacing w:val="-20"/>
          <w:sz w:val="32"/>
          <w:szCs w:val="32"/>
        </w:rPr>
        <w:t>重庆市涪陵区渡口事务中心无下属单位，内设办公室1个科室。</w:t>
      </w:r>
      <w:r>
        <w:rPr>
          <w:rFonts w:ascii="方正仿宋_GBK" w:eastAsia="方正仿宋_GBK"/>
          <w:sz w:val="32"/>
          <w:szCs w:val="32"/>
        </w:rPr>
        <w:t>从预算单位构成看，本单位无下级预算单位。</w:t>
      </w:r>
    </w:p>
    <w:p w14:paraId="04510690">
      <w:pPr>
        <w:pStyle w:val="9"/>
        <w:numPr>
          <w:ilvl w:val="0"/>
          <w:numId w:val="1"/>
        </w:numPr>
        <w:shd w:val="clear" w:color="auto" w:fill="FFFFFF"/>
        <w:spacing w:before="0" w:beforeAutospacing="0" w:after="0" w:afterAutospacing="0" w:line="596" w:lineRule="exact"/>
        <w:ind w:firstLine="643" w:firstLineChars="2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单位决算收支情况说明</w:t>
      </w:r>
    </w:p>
    <w:p w14:paraId="52A826F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189.26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收、支与2023年度相比，减少14.60万元，下降7.2%</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今年在职人员比上年减少1人，工资福利、社会保障和就业支出及住房保障收支减少，相应减少收支。</w:t>
      </w:r>
    </w:p>
    <w:p w14:paraId="22723F8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185.60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与2023年度相比，减少17.59万元，下降8.7%</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今年在职人员比上年减少1人，工资福利、社会保障和就业支出及住房保障收入减少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较年初预算数增加14.49万元，增长8.5%</w:t>
      </w:r>
      <w:r>
        <w:rPr>
          <w:rFonts w:ascii="方正仿宋_GBK" w:hAnsi="方正仿宋_GBK" w:eastAsia="方正仿宋_GBK" w:cs="方正仿宋_GBK"/>
          <w:sz w:val="32"/>
          <w:szCs w:val="32"/>
          <w:shd w:val="clear" w:color="auto" w:fill="FFFFFF"/>
        </w:rPr>
        <w:t>。主要原因是区财政划拨2023年离退休健康休养费及在职人员增资，相应增加收入。此外，年初财政拨款结转和结余</w:t>
      </w:r>
      <w:r>
        <w:rPr>
          <w:rFonts w:hint="default" w:ascii="Times New Roman" w:hAnsi="Times New Roman" w:eastAsia="方正仿宋_GBK"/>
          <w:sz w:val="32"/>
          <w:szCs w:val="32"/>
          <w:shd w:val="clear" w:color="auto" w:fill="FFFFFF"/>
        </w:rPr>
        <w:t>3.67</w:t>
      </w:r>
      <w:r>
        <w:rPr>
          <w:rFonts w:ascii="方正仿宋_GBK" w:hAnsi="方正仿宋_GBK" w:eastAsia="方正仿宋_GBK" w:cs="方正仿宋_GBK"/>
          <w:sz w:val="32"/>
          <w:szCs w:val="32"/>
          <w:shd w:val="clear" w:color="auto" w:fill="FFFFFF"/>
        </w:rPr>
        <w:t>万元。</w:t>
      </w:r>
    </w:p>
    <w:p w14:paraId="34F7433C">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186.98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与2023年度相比，减少13.21万元，下降6.6%</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今年在职人员比上年减少1人，工资福利、社会保障和就业支出及住房保障支出减少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较年初预算数增加15.87万元，增长9.3%</w:t>
      </w:r>
      <w:r>
        <w:rPr>
          <w:rFonts w:ascii="方正仿宋_GBK" w:hAnsi="方正仿宋_GBK" w:eastAsia="方正仿宋_GBK" w:cs="方正仿宋_GBK"/>
          <w:sz w:val="32"/>
          <w:szCs w:val="32"/>
          <w:shd w:val="clear" w:color="auto" w:fill="FFFFFF"/>
        </w:rPr>
        <w:t>。主要原因是支付2023年离退休健康休养费和在职人员增资。</w:t>
      </w:r>
    </w:p>
    <w:p w14:paraId="35348F40">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2.28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与2023年度相比，减少1.39万元，下降37.9%</w:t>
      </w:r>
      <w:r>
        <w:rPr>
          <w:rFonts w:ascii="方正仿宋_GBK" w:hAnsi="方正仿宋_GBK" w:eastAsia="方正仿宋_GBK" w:cs="方正仿宋_GBK"/>
          <w:sz w:val="32"/>
          <w:szCs w:val="32"/>
          <w:shd w:val="clear" w:color="auto" w:fill="FFFFFF"/>
        </w:rPr>
        <w:t>，主要原因是今年物业管理费支出比上年度增加</w:t>
      </w:r>
      <w:r>
        <w:rPr>
          <w:rFonts w:hint="default" w:ascii="方正仿宋_GBK" w:hAnsi="方正仿宋_GBK" w:eastAsia="方正仿宋_GBK" w:cs="方正仿宋_GBK"/>
          <w:sz w:val="32"/>
          <w:szCs w:val="32"/>
          <w:shd w:val="clear" w:color="auto" w:fill="FFFFFF"/>
        </w:rPr>
        <w:t>2.1万元</w:t>
      </w:r>
      <w:r>
        <w:rPr>
          <w:rFonts w:ascii="方正仿宋_GBK" w:hAnsi="方正仿宋_GBK" w:eastAsia="方正仿宋_GBK" w:cs="方正仿宋_GBK"/>
          <w:sz w:val="32"/>
          <w:szCs w:val="32"/>
          <w:shd w:val="clear" w:color="auto" w:fill="FFFFFF"/>
        </w:rPr>
        <w:t>，导致本年度年末结转和结余减少。</w:t>
      </w:r>
    </w:p>
    <w:p w14:paraId="35FEE613">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3DAD5E6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189.26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财政拨款收、支总计各减少14.60万元，下降7.2%</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今年在职人员比上年减少1人，工资福利、社会保障和就业支出及住房保障收支减少，相应减少收支。</w:t>
      </w:r>
    </w:p>
    <w:p w14:paraId="3EE82C06">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79368B9">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185.60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与2023年度相比，减少17.59万元，下降8.7%</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今年在职人员比上年减少1人，工资福利、社会保障和就业支出及住房保障收入减少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较年初预算数增加14.49万元，增长8.5%</w:t>
      </w:r>
      <w:r>
        <w:rPr>
          <w:rFonts w:ascii="方正仿宋_GBK" w:hAnsi="方正仿宋_GBK" w:eastAsia="方正仿宋_GBK" w:cs="方正仿宋_GBK"/>
          <w:sz w:val="32"/>
          <w:szCs w:val="32"/>
          <w:shd w:val="clear" w:color="auto" w:fill="FFFFFF"/>
        </w:rPr>
        <w:t>。主要原因是年中区财政追加2023年离退休健康休养费11.3万元、应休未休年休假报酬1.65万元、人员增资及2023年度公务员年度考核奖3.08万元</w:t>
      </w:r>
      <w:r>
        <w:rPr>
          <w:rFonts w:ascii="仿宋" w:hAnsi="仿宋" w:eastAsia="仿宋" w:cs="仿宋"/>
          <w:color w:val="000000"/>
          <w:sz w:val="32"/>
          <w:szCs w:val="32"/>
        </w:rPr>
        <w:t>，</w:t>
      </w:r>
      <w:r>
        <w:rPr>
          <w:rFonts w:ascii="方正仿宋_GBK" w:eastAsia="方正仿宋_GBK"/>
          <w:sz w:val="32"/>
          <w:szCs w:val="32"/>
        </w:rPr>
        <w:t>同时人员退休调减人员费用1.55万元</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3.67</w:t>
      </w:r>
      <w:r>
        <w:rPr>
          <w:rFonts w:ascii="方正仿宋_GBK" w:hAnsi="方正仿宋_GBK" w:eastAsia="方正仿宋_GBK" w:cs="方正仿宋_GBK"/>
          <w:sz w:val="32"/>
          <w:szCs w:val="32"/>
          <w:shd w:val="clear" w:color="auto" w:fill="FFFFFF"/>
        </w:rPr>
        <w:t>万元。</w:t>
      </w:r>
    </w:p>
    <w:p w14:paraId="2FDC473E">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186.98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与2023年度相比，减少13.21万元，下降6.6%</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今年在职人员比上年减少1人，工资福利支出和日常公用经费支出减少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较年初预算数增加15.87万元，增长9.3%</w:t>
      </w:r>
      <w:r>
        <w:rPr>
          <w:rFonts w:ascii="方正仿宋_GBK" w:hAnsi="方正仿宋_GBK" w:eastAsia="方正仿宋_GBK" w:cs="方正仿宋_GBK"/>
          <w:sz w:val="32"/>
          <w:szCs w:val="32"/>
          <w:shd w:val="clear" w:color="auto" w:fill="FFFFFF"/>
        </w:rPr>
        <w:t>。主要原因是年中支付2023年离退休健康休养费11.3万元、应休未休年休假报酬1.65万元、人员增资及2023年度公务员年度考核奖3.08万元。</w:t>
      </w:r>
    </w:p>
    <w:p w14:paraId="7C563B14">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2.28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与2023年度相比，减少1.39万元，下降37.9%</w:t>
      </w:r>
      <w:r>
        <w:rPr>
          <w:rFonts w:ascii="方正仿宋_GBK" w:hAnsi="方正仿宋_GBK" w:eastAsia="方正仿宋_GBK" w:cs="方正仿宋_GBK"/>
          <w:sz w:val="32"/>
          <w:szCs w:val="32"/>
          <w:shd w:val="clear" w:color="auto" w:fill="FFFFFF"/>
        </w:rPr>
        <w:t>，主要原因是今年物业管理费支出比上年度增加</w:t>
      </w:r>
      <w:r>
        <w:rPr>
          <w:rFonts w:hint="default" w:ascii="方正仿宋_GBK" w:hAnsi="方正仿宋_GBK" w:eastAsia="方正仿宋_GBK" w:cs="方正仿宋_GBK"/>
          <w:sz w:val="32"/>
          <w:szCs w:val="32"/>
          <w:shd w:val="clear" w:color="auto" w:fill="FFFFFF"/>
        </w:rPr>
        <w:t>2.1万元</w:t>
      </w:r>
      <w:r>
        <w:rPr>
          <w:rFonts w:ascii="方正仿宋_GBK" w:hAnsi="方正仿宋_GBK" w:eastAsia="方正仿宋_GBK" w:cs="方正仿宋_GBK"/>
          <w:sz w:val="32"/>
          <w:szCs w:val="32"/>
          <w:shd w:val="clear" w:color="auto" w:fill="FFFFFF"/>
        </w:rPr>
        <w:t>，导致本年度年末结转和结余减少。</w:t>
      </w:r>
    </w:p>
    <w:p w14:paraId="6A46D20F">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2024年度一般公共预算财政拨款支出主要用于以下几个方面：</w:t>
      </w:r>
    </w:p>
    <w:p w14:paraId="4845A33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30.79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较年初预算数增加11.05万元，增长56.0%</w:t>
      </w:r>
      <w:r>
        <w:rPr>
          <w:rFonts w:ascii="方正仿宋_GBK" w:hAnsi="方正仿宋_GBK" w:eastAsia="方正仿宋_GBK" w:cs="方正仿宋_GBK"/>
          <w:sz w:val="32"/>
          <w:szCs w:val="32"/>
          <w:shd w:val="clear" w:color="auto" w:fill="FFFFFF"/>
        </w:rPr>
        <w:t>，主要原因是年中支付2023年离退休健康休养费11.3万元，</w:t>
      </w:r>
      <w:r>
        <w:rPr>
          <w:rFonts w:ascii="方正仿宋_GBK" w:eastAsia="方正仿宋_GBK"/>
          <w:sz w:val="32"/>
          <w:szCs w:val="32"/>
        </w:rPr>
        <w:t>相应增加支出</w:t>
      </w:r>
      <w:r>
        <w:rPr>
          <w:rFonts w:ascii="方正仿宋_GBK" w:hAnsi="方正仿宋_GBK" w:eastAsia="方正仿宋_GBK" w:cs="方正仿宋_GBK"/>
          <w:sz w:val="32"/>
          <w:szCs w:val="32"/>
          <w:shd w:val="clear" w:color="auto" w:fill="FFFFFF"/>
        </w:rPr>
        <w:t>。</w:t>
      </w:r>
    </w:p>
    <w:p w14:paraId="28EEB0A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10.48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较年初预算数减少0.11万元，下降1.0%</w:t>
      </w:r>
      <w:r>
        <w:rPr>
          <w:rFonts w:ascii="方正仿宋_GBK" w:hAnsi="方正仿宋_GBK" w:eastAsia="方正仿宋_GBK" w:cs="方正仿宋_GBK"/>
          <w:sz w:val="32"/>
          <w:szCs w:val="32"/>
          <w:shd w:val="clear" w:color="auto" w:fill="FFFFFF"/>
        </w:rPr>
        <w:t>，主要原因是今年11月在职人员退休1人，相应减少支出</w:t>
      </w:r>
      <w:r>
        <w:rPr>
          <w:rFonts w:ascii="方正仿宋_GBK" w:hAnsi="方正仿宋_GBK" w:eastAsia="方正仿宋_GBK" w:cs="方正仿宋_GBK"/>
          <w:color w:val="FF0000"/>
          <w:sz w:val="32"/>
          <w:szCs w:val="32"/>
          <w:shd w:val="clear" w:color="auto" w:fill="FFFFFF"/>
        </w:rPr>
        <w:t>。</w:t>
      </w:r>
    </w:p>
    <w:p w14:paraId="2561A73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134.47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较年初预算数增加5.24万元，增长4.1%</w:t>
      </w:r>
      <w:r>
        <w:rPr>
          <w:rFonts w:ascii="方正仿宋_GBK" w:hAnsi="方正仿宋_GBK" w:eastAsia="方正仿宋_GBK" w:cs="方正仿宋_GBK"/>
          <w:sz w:val="32"/>
          <w:szCs w:val="32"/>
          <w:shd w:val="clear" w:color="auto" w:fill="FFFFFF"/>
        </w:rPr>
        <w:t>，主要原因是年中支付人员增资、2023年度公务员年度考核奖和应休未休年休假报酬，相应增加支出。</w:t>
      </w:r>
    </w:p>
    <w:p w14:paraId="39DDCDCD">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11.24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较年初预算数减少0.31万元，下降2.7%</w:t>
      </w:r>
      <w:r>
        <w:rPr>
          <w:rFonts w:ascii="方正仿宋_GBK" w:hAnsi="方正仿宋_GBK" w:eastAsia="方正仿宋_GBK" w:cs="方正仿宋_GBK"/>
          <w:sz w:val="32"/>
          <w:szCs w:val="32"/>
          <w:shd w:val="clear" w:color="auto" w:fill="FFFFFF"/>
        </w:rPr>
        <w:t>，主要原因是今年11月在职人员退休1人，相应减少支出</w:t>
      </w:r>
    </w:p>
    <w:p w14:paraId="7A05D3F4">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（四）一般公共预算财政拨款基本支出决算情况说明</w:t>
      </w:r>
    </w:p>
    <w:p w14:paraId="24D5FAA1">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177.56</w:t>
      </w:r>
      <w:r>
        <w:rPr>
          <w:rFonts w:ascii="方正仿宋_GBK" w:hAnsi="方正仿宋_GBK" w:eastAsia="方正仿宋_GBK" w:cs="方正仿宋_GBK"/>
          <w:sz w:val="32"/>
          <w:szCs w:val="32"/>
          <w:shd w:val="clear" w:color="auto" w:fill="FFFFFF"/>
        </w:rPr>
        <w:t>万元。</w:t>
      </w:r>
    </w:p>
    <w:p w14:paraId="6AEF7D03">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6B9241C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152.85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与2023年度相比，减少15.74万元，下降9.3%</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今年在职人员比上年减少1人，工资福利支出相应减少</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基本工资、津贴补贴、奖金、社会保障缴费、住房公积金和其他工资福利支出。</w:t>
      </w:r>
    </w:p>
    <w:p w14:paraId="17D2AA6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24.71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与2023年度相比，增加2.53万元，增长11.4%</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今年在职人员比上年减少1人，日常公用经费支出相应减少</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sz w:val="32"/>
          <w:szCs w:val="32"/>
        </w:rPr>
        <w:t>办公费、邮电费、差旅费、公务接待费、委托业务费、工会经费、福利费、维护（修）费、其他交通费、其他商品和服务费等。</w:t>
      </w:r>
    </w:p>
    <w:p w14:paraId="4CCC7E0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02BDCC04">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万元，年末结转结余</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万元。本年收入</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本年支出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。本单位2024年度无政府性基金预算财政拨款收支。</w:t>
      </w:r>
    </w:p>
    <w:p w14:paraId="3557A971">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022FB256">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年度国有资本经营预算财政拨款支出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万元，基本支出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万元，项目支出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ascii="Times New Roman" w:hAnsi="Times New Roman" w:eastAsia="方正仿宋_GBK"/>
          <w:sz w:val="32"/>
          <w:szCs w:val="32"/>
          <w:shd w:val="clear" w:color="auto" w:fill="FFFFFF"/>
        </w:rPr>
        <w:t>本单</w:t>
      </w:r>
      <w:r>
        <w:rPr>
          <w:rFonts w:ascii="方正仿宋_GBK" w:hAnsi="方正仿宋_GBK" w:eastAsia="方正仿宋_GBK" w:cs="方正仿宋_GBK"/>
          <w:sz w:val="32"/>
          <w:szCs w:val="32"/>
          <w:shd w:val="clear" w:color="auto" w:fill="FFFFFF"/>
        </w:rPr>
        <w:t>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14:paraId="6FF4A1D1">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三、财政拨款“三公”经费情况说明</w:t>
      </w:r>
    </w:p>
    <w:p w14:paraId="56F43A5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78226F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较年初预算数减少0.1万元，下降100.0%</w:t>
      </w:r>
      <w:r>
        <w:rPr>
          <w:rFonts w:ascii="Times New Roman" w:hAnsi="Times New Roman" w:eastAsia="方正仿宋_GBK"/>
          <w:sz w:val="32"/>
          <w:szCs w:val="32"/>
          <w:shd w:val="clear" w:color="auto" w:fill="FFFFFF"/>
        </w:rPr>
        <w:t>，</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认真贯彻落实中央八项规定精神，按照只减不增的要求从严控制“三公”经费。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，与上年支出持平</w:t>
      </w:r>
      <w:r>
        <w:rPr>
          <w:rFonts w:ascii="方正仿宋_GBK" w:eastAsia="方正仿宋_GBK"/>
          <w:sz w:val="32"/>
          <w:szCs w:val="32"/>
        </w:rPr>
        <w:t>。</w:t>
      </w:r>
    </w:p>
    <w:p w14:paraId="6141D7F1">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31F33424">
      <w:pPr>
        <w:pStyle w:val="9"/>
        <w:shd w:val="clear" w:color="auto" w:fill="FFFFFF"/>
        <w:snapToGrid w:val="0"/>
        <w:spacing w:before="0" w:beforeAutospacing="0" w:after="0" w:afterAutospacing="0" w:line="560" w:lineRule="exact"/>
        <w:ind w:firstLine="640" w:firstLineChars="200"/>
        <w:jc w:val="both"/>
        <w:rPr>
          <w:rFonts w:hint="default" w:ascii="方正仿宋_GBK" w:eastAsia="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万元。费用支出较年初预算数和上年支出数</w:t>
      </w:r>
      <w:r>
        <w:rPr>
          <w:rFonts w:ascii="方正仿宋_GBK" w:eastAsia="方正仿宋_GBK"/>
          <w:sz w:val="32"/>
          <w:szCs w:val="32"/>
        </w:rPr>
        <w:t>均无增减。本单位2024年度未发生因公出国（境）费用。</w:t>
      </w:r>
    </w:p>
    <w:p w14:paraId="1049109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公务用车购置费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万元。费用支出较年初预算数和上年支出数</w:t>
      </w:r>
      <w:r>
        <w:rPr>
          <w:rFonts w:ascii="方正仿宋_GBK" w:eastAsia="方正仿宋_GBK"/>
          <w:sz w:val="32"/>
          <w:szCs w:val="32"/>
        </w:rPr>
        <w:t>均无增减。本单位2024年度未发生公务车购置费用。</w:t>
      </w:r>
    </w:p>
    <w:p w14:paraId="140005B5">
      <w:pPr>
        <w:pStyle w:val="9"/>
        <w:snapToGrid w:val="0"/>
        <w:spacing w:before="0" w:beforeAutospacing="0" w:after="0" w:afterAutospacing="0"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公务用车运行维护费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万元。费用支出较年初预算数和上年支出数均无增减。</w:t>
      </w:r>
      <w:r>
        <w:rPr>
          <w:rFonts w:ascii="方正仿宋_GBK" w:eastAsia="方正仿宋_GBK"/>
          <w:sz w:val="32"/>
          <w:szCs w:val="32"/>
        </w:rPr>
        <w:t>本单位2024年度未发生公务车运行维护费。</w:t>
      </w:r>
    </w:p>
    <w:p w14:paraId="7AB67BC0">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较年初预算数减少0.1万元，下降100.0%</w:t>
      </w:r>
      <w:r>
        <w:rPr>
          <w:rFonts w:ascii="方正仿宋_GBK" w:hAnsi="方正仿宋_GBK" w:eastAsia="方正仿宋_GBK" w:cs="方正仿宋_GBK"/>
          <w:sz w:val="32"/>
          <w:szCs w:val="32"/>
          <w:shd w:val="clear" w:color="auto" w:fill="FFFFFF"/>
        </w:rPr>
        <w:t>，主要原因是</w:t>
      </w:r>
      <w:r>
        <w:rPr>
          <w:rFonts w:ascii="方正仿宋_GBK" w:eastAsia="方正仿宋_GBK"/>
          <w:sz w:val="32"/>
          <w:szCs w:val="32"/>
        </w:rPr>
        <w:t>认真贯彻落实中央八项规定精神，按照只减不增的要求从严控制“三公”经费。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，与上年支出持平</w:t>
      </w:r>
      <w:r>
        <w:rPr>
          <w:rFonts w:ascii="方正仿宋_GBK" w:eastAsia="方正仿宋_GBK"/>
          <w:sz w:val="32"/>
          <w:szCs w:val="32"/>
        </w:rPr>
        <w:t>。本单位2024年度未发生公务接待费。</w:t>
      </w:r>
    </w:p>
    <w:p w14:paraId="39415755">
      <w:pPr>
        <w:pStyle w:val="9"/>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79ED9D7F">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363E9B5">
      <w:pPr>
        <w:pStyle w:val="9"/>
        <w:shd w:val="clear" w:color="auto" w:fill="FFFFFF"/>
        <w:spacing w:before="0" w:beforeAutospacing="0" w:after="0" w:afterAutospacing="0" w:line="596" w:lineRule="exact"/>
        <w:ind w:firstLine="643"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5D16C622">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C384D5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，与上年支出持平。本年度培训费支出</w:t>
      </w:r>
      <w:r>
        <w:rPr>
          <w:rFonts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ascii="方正仿宋_GBK" w:hAnsi="方正仿宋_GBK" w:eastAsia="方正仿宋_GBK" w:cs="方正仿宋_GBK"/>
          <w:sz w:val="32"/>
          <w:szCs w:val="32"/>
          <w:shd w:val="clear" w:color="auto" w:fill="FFFFFF"/>
        </w:rPr>
        <w:t>，与上年支出持平。本年度差旅费支出</w:t>
      </w:r>
      <w:r>
        <w:rPr>
          <w:rFonts w:hint="default" w:ascii="Times New Roman" w:hAnsi="Times New Roman" w:eastAsia="方正仿宋_GBK"/>
          <w:sz w:val="32"/>
          <w:szCs w:val="32"/>
          <w:shd w:val="clear" w:color="auto" w:fill="FFFFFF"/>
        </w:rPr>
        <w:t>3.42</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与2023年度相比，增加0.48万元，增长16.3%</w:t>
      </w:r>
      <w:r>
        <w:rPr>
          <w:rFonts w:ascii="方正仿宋_GBK" w:hAnsi="方正仿宋_GBK" w:eastAsia="方正仿宋_GBK" w:cs="方正仿宋_GBK"/>
          <w:sz w:val="32"/>
          <w:szCs w:val="32"/>
          <w:shd w:val="clear" w:color="auto" w:fill="FFFFFF"/>
        </w:rPr>
        <w:t>，主要原因是今年下乡检查渡口渡船情况次数比去年增加，导致安全检查差旅费增加。</w:t>
      </w:r>
    </w:p>
    <w:p w14:paraId="0B60179C">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DFB8E6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年度本单位机关运行经费支出</w:t>
      </w:r>
      <w:r>
        <w:rPr>
          <w:rFonts w:hint="default" w:ascii="Times New Roman" w:hAnsi="Times New Roman" w:eastAsia="方正仿宋_GBK"/>
          <w:sz w:val="32"/>
          <w:szCs w:val="32"/>
          <w:shd w:val="clear" w:color="auto" w:fill="FFFFFF"/>
        </w:rPr>
        <w:t>24.71</w:t>
      </w:r>
      <w:r>
        <w:rPr>
          <w:rFonts w:ascii="方正仿宋_GBK" w:hAnsi="方正仿宋_GBK" w:eastAsia="方正仿宋_GBK" w:cs="方正仿宋_GBK"/>
          <w:sz w:val="32"/>
          <w:szCs w:val="32"/>
          <w:shd w:val="clear" w:color="auto" w:fill="FFFFFF"/>
        </w:rPr>
        <w:t>万元，机关运行经费主要用于开支</w:t>
      </w:r>
      <w:r>
        <w:rPr>
          <w:rFonts w:ascii="方正仿宋_GBK" w:eastAsia="方正仿宋_GBK"/>
          <w:sz w:val="32"/>
          <w:szCs w:val="32"/>
        </w:rPr>
        <w:t>办公费、水电费、邮电费、差旅费、公务接待费、会议费、培训费、工会经费、福利费、维护（修）费、其他交通费、其他商品和服务费等。</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较上年支出数增加2.53万元，增长11.4%</w:t>
      </w:r>
      <w:r>
        <w:rPr>
          <w:rFonts w:ascii="方正仿宋_GBK" w:hAnsi="方正仿宋_GBK" w:eastAsia="方正仿宋_GBK" w:cs="方正仿宋_GBK"/>
          <w:sz w:val="32"/>
          <w:szCs w:val="32"/>
          <w:shd w:val="clear" w:color="auto" w:fill="FFFFFF"/>
        </w:rPr>
        <w:t>，主要原因是今年物业管理费支出比上年度增加</w:t>
      </w:r>
      <w:r>
        <w:rPr>
          <w:rFonts w:hint="default" w:ascii="方正仿宋_GBK" w:hAnsi="方正仿宋_GBK" w:eastAsia="方正仿宋_GBK" w:cs="方正仿宋_GBK"/>
          <w:sz w:val="32"/>
          <w:szCs w:val="32"/>
          <w:shd w:val="clear" w:color="auto" w:fill="FFFFFF"/>
        </w:rPr>
        <w:t>2.1万元</w:t>
      </w:r>
      <w:r>
        <w:rPr>
          <w:rFonts w:ascii="方正仿宋_GBK" w:hAnsi="方正仿宋_GBK" w:eastAsia="方正仿宋_GBK" w:cs="方正仿宋_GBK"/>
          <w:sz w:val="32"/>
          <w:szCs w:val="32"/>
          <w:shd w:val="clear" w:color="auto" w:fill="FFFFFF"/>
        </w:rPr>
        <w:t>。</w:t>
      </w:r>
    </w:p>
    <w:p w14:paraId="4291163D">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2E2E0F5C">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A56D7A4">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2B41583A">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bCs/>
          <w:sz w:val="32"/>
          <w:szCs w:val="32"/>
          <w:shd w:val="clear" w:color="auto" w:fill="FFFFFF"/>
        </w:rPr>
      </w:pPr>
      <w:r>
        <w:rPr>
          <w:rFonts w:ascii="Times New Roman" w:hAnsi="Times New Roman" w:eastAsia="方正仿宋_GBK"/>
          <w:bCs/>
          <w:sz w:val="32"/>
          <w:szCs w:val="32"/>
          <w:shd w:val="clear" w:color="auto" w:fill="FFFFFF"/>
        </w:rPr>
        <w:t>2024</w:t>
      </w:r>
      <w:r>
        <w:rPr>
          <w:rFonts w:ascii="方正仿宋_GBK" w:hAnsi="方正仿宋_GBK" w:eastAsia="方正仿宋_GBK" w:cs="方正仿宋_GBK"/>
          <w:bCs/>
          <w:sz w:val="32"/>
          <w:szCs w:val="32"/>
          <w:shd w:val="clear" w:color="auto" w:fill="FFFFFF"/>
        </w:rPr>
        <w:t>年度我单位未发生政府采购事项，无相关经费支出。</w:t>
      </w:r>
    </w:p>
    <w:p w14:paraId="5F118F94">
      <w:pPr>
        <w:pStyle w:val="9"/>
        <w:snapToGrid w:val="0"/>
        <w:spacing w:before="0" w:beforeAutospacing="0" w:after="0" w:afterAutospacing="0" w:line="596" w:lineRule="exact"/>
        <w:ind w:firstLine="964" w:firstLineChars="300"/>
        <w:jc w:val="both"/>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五、2024年度预算绩效管理情况说明</w:t>
      </w:r>
    </w:p>
    <w:p w14:paraId="2F754F98">
      <w:pPr>
        <w:pStyle w:val="15"/>
        <w:autoSpaceDE w:val="0"/>
        <w:spacing w:before="0" w:beforeAutospacing="0" w:after="0" w:afterAutospacing="0" w:line="596"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7F8D33D0">
      <w:pPr>
        <w:pStyle w:val="9"/>
        <w:shd w:val="clear" w:color="auto" w:fill="FFFFFF"/>
        <w:snapToGrid w:val="0"/>
        <w:spacing w:before="0" w:beforeAutospacing="0" w:after="0" w:afterAutospacing="0" w:line="56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根据预算绩效管理要求，我单位对1个项目开展了绩效自评。</w:t>
      </w:r>
    </w:p>
    <w:p w14:paraId="7E420973">
      <w:pPr>
        <w:ind w:firstLine="560"/>
        <w:rPr>
          <w:rFonts w:hint="default" w:ascii="方正仿宋_GBK" w:hAnsi="方正仿宋_GBK" w:eastAsia="方正仿宋_GBK" w:cs="方正仿宋_GBK"/>
          <w:sz w:val="28"/>
          <w:szCs w:val="28"/>
          <w:shd w:val="clear" w:color="auto" w:fill="FFFFFF"/>
        </w:rPr>
      </w:pPr>
      <w:r>
        <w:rPr>
          <w:rFonts w:ascii="方正仿宋_GBK" w:hAnsi="方正仿宋_GBK" w:eastAsia="方正仿宋_GBK" w:cs="方正仿宋_GBK"/>
          <w:sz w:val="28"/>
          <w:szCs w:val="28"/>
          <w:shd w:val="clear" w:color="auto" w:fill="FFFFFF"/>
        </w:rPr>
        <w:t>1.项目支出绩效自评汇总表</w:t>
      </w:r>
    </w:p>
    <w:tbl>
      <w:tblPr>
        <w:tblStyle w:val="10"/>
        <w:tblW w:w="7953" w:type="dxa"/>
        <w:tblInd w:w="93" w:type="dxa"/>
        <w:tblLayout w:type="autofit"/>
        <w:tblCellMar>
          <w:top w:w="0" w:type="dxa"/>
          <w:left w:w="108" w:type="dxa"/>
          <w:bottom w:w="0" w:type="dxa"/>
          <w:right w:w="108" w:type="dxa"/>
        </w:tblCellMar>
      </w:tblPr>
      <w:tblGrid>
        <w:gridCol w:w="580"/>
        <w:gridCol w:w="5672"/>
        <w:gridCol w:w="1701"/>
      </w:tblGrid>
      <w:tr w14:paraId="64C0E854">
        <w:tblPrEx>
          <w:tblCellMar>
            <w:top w:w="0" w:type="dxa"/>
            <w:left w:w="108" w:type="dxa"/>
            <w:bottom w:w="0" w:type="dxa"/>
            <w:right w:w="108" w:type="dxa"/>
          </w:tblCellMar>
        </w:tblPrEx>
        <w:trPr>
          <w:trHeight w:val="345" w:hRule="atLeast"/>
        </w:trPr>
        <w:tc>
          <w:tcPr>
            <w:tcW w:w="7953" w:type="dxa"/>
            <w:gridSpan w:val="3"/>
            <w:tcBorders>
              <w:top w:val="nil"/>
              <w:left w:val="nil"/>
              <w:bottom w:val="single" w:color="auto" w:sz="4" w:space="0"/>
              <w:right w:val="nil"/>
            </w:tcBorders>
            <w:shd w:val="clear" w:color="auto" w:fill="auto"/>
            <w:vAlign w:val="center"/>
          </w:tcPr>
          <w:p w14:paraId="669384EE">
            <w:pPr>
              <w:jc w:val="center"/>
              <w:rPr>
                <w:rFonts w:hint="default" w:ascii="方正仿宋_GBK" w:eastAsia="方正仿宋_GBK" w:cs="宋体"/>
                <w:b/>
                <w:color w:val="000000"/>
                <w:sz w:val="15"/>
                <w:szCs w:val="15"/>
              </w:rPr>
            </w:pPr>
          </w:p>
        </w:tc>
      </w:tr>
      <w:tr w14:paraId="21F43765">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33841C5E">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序号</w:t>
            </w:r>
          </w:p>
        </w:tc>
        <w:tc>
          <w:tcPr>
            <w:tcW w:w="5672" w:type="dxa"/>
            <w:tcBorders>
              <w:top w:val="nil"/>
              <w:left w:val="nil"/>
              <w:bottom w:val="single" w:color="auto" w:sz="4" w:space="0"/>
              <w:right w:val="single" w:color="auto" w:sz="4" w:space="0"/>
            </w:tcBorders>
            <w:shd w:val="clear" w:color="auto" w:fill="auto"/>
            <w:vAlign w:val="center"/>
          </w:tcPr>
          <w:p w14:paraId="36CD464C">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项目名称</w:t>
            </w:r>
          </w:p>
        </w:tc>
        <w:tc>
          <w:tcPr>
            <w:tcW w:w="1701" w:type="dxa"/>
            <w:tcBorders>
              <w:top w:val="nil"/>
              <w:left w:val="nil"/>
              <w:bottom w:val="single" w:color="auto" w:sz="4" w:space="0"/>
              <w:right w:val="single" w:color="auto" w:sz="4" w:space="0"/>
            </w:tcBorders>
            <w:shd w:val="clear" w:color="auto" w:fill="auto"/>
            <w:noWrap/>
            <w:vAlign w:val="center"/>
          </w:tcPr>
          <w:p w14:paraId="65B732C8">
            <w:pPr>
              <w:jc w:val="center"/>
              <w:rPr>
                <w:rFonts w:hint="default" w:ascii="方正仿宋_GBK" w:eastAsia="方正仿宋_GBK" w:cs="宋体"/>
                <w:b/>
                <w:color w:val="000000"/>
                <w:sz w:val="15"/>
                <w:szCs w:val="15"/>
              </w:rPr>
            </w:pPr>
            <w:r>
              <w:rPr>
                <w:rFonts w:ascii="方正仿宋_GBK" w:eastAsia="方正仿宋_GBK" w:cs="宋体"/>
                <w:b/>
                <w:color w:val="000000"/>
                <w:sz w:val="15"/>
                <w:szCs w:val="15"/>
              </w:rPr>
              <w:t>自评得分</w:t>
            </w:r>
          </w:p>
        </w:tc>
      </w:tr>
      <w:tr w14:paraId="6204A747">
        <w:tblPrEx>
          <w:tblCellMar>
            <w:top w:w="0" w:type="dxa"/>
            <w:left w:w="108" w:type="dxa"/>
            <w:bottom w:w="0" w:type="dxa"/>
            <w:right w:w="108" w:type="dxa"/>
          </w:tblCellMar>
        </w:tblPrEx>
        <w:trPr>
          <w:trHeight w:val="555" w:hRule="atLeast"/>
        </w:trPr>
        <w:tc>
          <w:tcPr>
            <w:tcW w:w="580" w:type="dxa"/>
            <w:tcBorders>
              <w:top w:val="nil"/>
              <w:left w:val="single" w:color="auto" w:sz="4" w:space="0"/>
              <w:bottom w:val="single" w:color="auto" w:sz="4" w:space="0"/>
              <w:right w:val="single" w:color="auto" w:sz="4" w:space="0"/>
            </w:tcBorders>
            <w:shd w:val="clear" w:color="auto" w:fill="auto"/>
            <w:vAlign w:val="center"/>
          </w:tcPr>
          <w:p w14:paraId="71F5982B">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w:t>
            </w:r>
          </w:p>
        </w:tc>
        <w:tc>
          <w:tcPr>
            <w:tcW w:w="5672" w:type="dxa"/>
            <w:tcBorders>
              <w:top w:val="nil"/>
              <w:left w:val="nil"/>
              <w:bottom w:val="single" w:color="auto" w:sz="4" w:space="0"/>
              <w:right w:val="single" w:color="auto" w:sz="4" w:space="0"/>
            </w:tcBorders>
            <w:shd w:val="clear" w:color="auto" w:fill="auto"/>
            <w:vAlign w:val="center"/>
          </w:tcPr>
          <w:p w14:paraId="68A314FF">
            <w:pPr>
              <w:jc w:val="center"/>
              <w:rPr>
                <w:rFonts w:hint="eastAsia" w:ascii="方正仿宋_GBK" w:hAnsi="Times New Roman" w:eastAsia="方正仿宋_GBK"/>
                <w:b/>
                <w:color w:val="000000"/>
                <w:sz w:val="15"/>
                <w:szCs w:val="15"/>
                <w:lang w:val="en-US" w:eastAsia="zh-CN"/>
              </w:rPr>
            </w:pPr>
            <w:r>
              <w:rPr>
                <w:rFonts w:ascii="方正仿宋_GBK" w:hAnsi="Times New Roman" w:eastAsia="方正仿宋_GBK"/>
                <w:b/>
                <w:color w:val="000000"/>
                <w:sz w:val="15"/>
                <w:szCs w:val="15"/>
              </w:rPr>
              <w:t>渡口渡船</w:t>
            </w:r>
            <w:r>
              <w:rPr>
                <w:rFonts w:hint="eastAsia" w:ascii="方正仿宋_GBK" w:hAnsi="Times New Roman" w:eastAsia="方正仿宋_GBK"/>
                <w:b/>
                <w:color w:val="000000"/>
                <w:sz w:val="15"/>
                <w:szCs w:val="15"/>
                <w:lang w:eastAsia="zh-CN"/>
              </w:rPr>
              <w:t>管理</w:t>
            </w:r>
          </w:p>
        </w:tc>
        <w:tc>
          <w:tcPr>
            <w:tcW w:w="1701" w:type="dxa"/>
            <w:tcBorders>
              <w:top w:val="nil"/>
              <w:left w:val="nil"/>
              <w:bottom w:val="single" w:color="auto" w:sz="4" w:space="0"/>
              <w:right w:val="single" w:color="auto" w:sz="4" w:space="0"/>
            </w:tcBorders>
            <w:shd w:val="clear" w:color="auto" w:fill="auto"/>
            <w:noWrap/>
            <w:vAlign w:val="center"/>
          </w:tcPr>
          <w:p w14:paraId="64A23649">
            <w:pPr>
              <w:jc w:val="center"/>
              <w:rPr>
                <w:rFonts w:hint="default" w:ascii="方正仿宋_GBK" w:hAnsi="Times New Roman" w:eastAsia="方正仿宋_GBK"/>
                <w:b/>
                <w:color w:val="000000"/>
                <w:sz w:val="15"/>
                <w:szCs w:val="15"/>
              </w:rPr>
            </w:pPr>
            <w:r>
              <w:rPr>
                <w:rFonts w:ascii="方正仿宋_GBK" w:hAnsi="Times New Roman" w:eastAsia="方正仿宋_GBK"/>
                <w:b/>
                <w:color w:val="000000"/>
                <w:sz w:val="15"/>
                <w:szCs w:val="15"/>
              </w:rPr>
              <w:t>100</w:t>
            </w:r>
          </w:p>
        </w:tc>
      </w:tr>
    </w:tbl>
    <w:p w14:paraId="7BD2C922">
      <w:pPr>
        <w:ind w:firstLine="560"/>
        <w:rPr>
          <w:rFonts w:hint="default" w:ascii="方正仿宋_GBK" w:hAnsi="方正仿宋_GBK" w:eastAsia="方正仿宋_GBK" w:cs="方正仿宋_GBK"/>
          <w:b/>
          <w:bCs/>
          <w:color w:val="FF0000"/>
          <w:sz w:val="32"/>
          <w:szCs w:val="32"/>
          <w:shd w:val="clear" w:color="auto" w:fill="FFFFFF"/>
        </w:rPr>
      </w:pPr>
      <w:r>
        <w:rPr>
          <w:rFonts w:ascii="方正仿宋_GBK" w:hAnsi="方正仿宋_GBK" w:eastAsia="方正仿宋_GBK" w:cs="方正仿宋_GBK"/>
          <w:sz w:val="28"/>
          <w:szCs w:val="28"/>
          <w:shd w:val="clear" w:color="auto" w:fill="FFFFFF"/>
        </w:rPr>
        <w:t>2.项目支出绩效自评表</w:t>
      </w:r>
    </w:p>
    <w:tbl>
      <w:tblPr>
        <w:tblStyle w:val="10"/>
        <w:tblW w:w="7954" w:type="dxa"/>
        <w:tblInd w:w="92" w:type="dxa"/>
        <w:tblLayout w:type="autofit"/>
        <w:tblCellMar>
          <w:top w:w="0" w:type="dxa"/>
          <w:left w:w="108" w:type="dxa"/>
          <w:bottom w:w="0" w:type="dxa"/>
          <w:right w:w="108" w:type="dxa"/>
        </w:tblCellMar>
      </w:tblPr>
      <w:tblGrid>
        <w:gridCol w:w="583"/>
        <w:gridCol w:w="453"/>
        <w:gridCol w:w="256"/>
        <w:gridCol w:w="709"/>
        <w:gridCol w:w="850"/>
        <w:gridCol w:w="63"/>
        <w:gridCol w:w="363"/>
        <w:gridCol w:w="850"/>
        <w:gridCol w:w="182"/>
        <w:gridCol w:w="669"/>
        <w:gridCol w:w="141"/>
        <w:gridCol w:w="709"/>
        <w:gridCol w:w="425"/>
        <w:gridCol w:w="284"/>
        <w:gridCol w:w="709"/>
        <w:gridCol w:w="708"/>
      </w:tblGrid>
      <w:tr w14:paraId="3BCBE2CE">
        <w:tblPrEx>
          <w:tblCellMar>
            <w:top w:w="0" w:type="dxa"/>
            <w:left w:w="108" w:type="dxa"/>
            <w:bottom w:w="0" w:type="dxa"/>
            <w:right w:w="108" w:type="dxa"/>
          </w:tblCellMar>
        </w:tblPrEx>
        <w:trPr>
          <w:trHeight w:val="540" w:hRule="atLeast"/>
        </w:trPr>
        <w:tc>
          <w:tcPr>
            <w:tcW w:w="103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0A97BB">
            <w:pPr>
              <w:jc w:val="center"/>
              <w:rPr>
                <w:rFonts w:hint="default" w:cs="宋体"/>
                <w:b/>
                <w:bCs/>
                <w:color w:val="000000"/>
                <w:sz w:val="18"/>
                <w:szCs w:val="18"/>
              </w:rPr>
            </w:pPr>
            <w:r>
              <w:rPr>
                <w:rFonts w:cs="宋体"/>
                <w:b/>
                <w:bCs/>
                <w:color w:val="000000"/>
                <w:sz w:val="18"/>
                <w:szCs w:val="18"/>
              </w:rPr>
              <w:t>项目名称：</w:t>
            </w:r>
          </w:p>
        </w:tc>
        <w:tc>
          <w:tcPr>
            <w:tcW w:w="1815" w:type="dxa"/>
            <w:gridSpan w:val="3"/>
            <w:tcBorders>
              <w:top w:val="single" w:color="auto" w:sz="4" w:space="0"/>
              <w:left w:val="nil"/>
              <w:bottom w:val="single" w:color="auto" w:sz="4" w:space="0"/>
              <w:right w:val="single" w:color="auto" w:sz="4" w:space="0"/>
            </w:tcBorders>
            <w:shd w:val="clear" w:color="auto" w:fill="auto"/>
            <w:vAlign w:val="center"/>
          </w:tcPr>
          <w:p w14:paraId="5A2C6653">
            <w:pPr>
              <w:jc w:val="center"/>
              <w:rPr>
                <w:rFonts w:hint="eastAsia" w:eastAsia="宋体" w:cs="宋体"/>
                <w:color w:val="000000"/>
                <w:sz w:val="18"/>
                <w:szCs w:val="18"/>
                <w:lang w:eastAsia="zh-CN"/>
              </w:rPr>
            </w:pPr>
            <w:r>
              <w:rPr>
                <w:rFonts w:cs="宋体"/>
                <w:color w:val="000000"/>
                <w:sz w:val="18"/>
                <w:szCs w:val="18"/>
              </w:rPr>
              <w:t>渡口渡船</w:t>
            </w:r>
            <w:r>
              <w:rPr>
                <w:rFonts w:hint="eastAsia" w:cs="宋体"/>
                <w:color w:val="000000"/>
                <w:sz w:val="18"/>
                <w:szCs w:val="18"/>
                <w:lang w:eastAsia="zh-CN"/>
              </w:rPr>
              <w:t>管理</w:t>
            </w:r>
          </w:p>
        </w:tc>
        <w:tc>
          <w:tcPr>
            <w:tcW w:w="1458" w:type="dxa"/>
            <w:gridSpan w:val="4"/>
            <w:tcBorders>
              <w:top w:val="single" w:color="auto" w:sz="4" w:space="0"/>
              <w:left w:val="nil"/>
              <w:bottom w:val="single" w:color="auto" w:sz="4" w:space="0"/>
              <w:right w:val="single" w:color="auto" w:sz="4" w:space="0"/>
            </w:tcBorders>
            <w:shd w:val="clear" w:color="auto" w:fill="auto"/>
            <w:vAlign w:val="center"/>
          </w:tcPr>
          <w:p w14:paraId="3B328FA7">
            <w:pPr>
              <w:jc w:val="center"/>
              <w:rPr>
                <w:rFonts w:hint="default" w:cs="宋体"/>
                <w:b/>
                <w:bCs/>
                <w:color w:val="000000"/>
                <w:sz w:val="18"/>
                <w:szCs w:val="18"/>
              </w:rPr>
            </w:pPr>
            <w:r>
              <w:rPr>
                <w:rFonts w:cs="宋体"/>
                <w:b/>
                <w:bCs/>
                <w:color w:val="000000"/>
                <w:sz w:val="18"/>
                <w:szCs w:val="18"/>
              </w:rPr>
              <w:t>执行率得分：</w:t>
            </w:r>
          </w:p>
        </w:tc>
        <w:tc>
          <w:tcPr>
            <w:tcW w:w="669" w:type="dxa"/>
            <w:tcBorders>
              <w:top w:val="single" w:color="auto" w:sz="4" w:space="0"/>
              <w:left w:val="nil"/>
              <w:bottom w:val="single" w:color="auto" w:sz="4" w:space="0"/>
              <w:right w:val="single" w:color="auto" w:sz="4" w:space="0"/>
            </w:tcBorders>
            <w:shd w:val="clear" w:color="auto" w:fill="auto"/>
            <w:vAlign w:val="center"/>
          </w:tcPr>
          <w:p w14:paraId="53A104B4">
            <w:pPr>
              <w:jc w:val="right"/>
              <w:rPr>
                <w:rFonts w:hint="default" w:cs="宋体"/>
                <w:b/>
                <w:bCs/>
                <w:color w:val="000000"/>
                <w:sz w:val="18"/>
                <w:szCs w:val="18"/>
              </w:rPr>
            </w:pPr>
            <w:r>
              <w:rPr>
                <w:rFonts w:cs="宋体"/>
                <w:b/>
                <w:bCs/>
                <w:color w:val="000000"/>
                <w:sz w:val="18"/>
                <w:szCs w:val="18"/>
              </w:rPr>
              <w:t>10</w:t>
            </w:r>
          </w:p>
        </w:tc>
        <w:tc>
          <w:tcPr>
            <w:tcW w:w="1275" w:type="dxa"/>
            <w:gridSpan w:val="3"/>
            <w:tcBorders>
              <w:top w:val="single" w:color="auto" w:sz="4" w:space="0"/>
              <w:left w:val="nil"/>
              <w:bottom w:val="single" w:color="auto" w:sz="4" w:space="0"/>
              <w:right w:val="single" w:color="auto" w:sz="4" w:space="0"/>
            </w:tcBorders>
            <w:shd w:val="clear" w:color="auto" w:fill="auto"/>
            <w:vAlign w:val="center"/>
          </w:tcPr>
          <w:p w14:paraId="7E010847">
            <w:pPr>
              <w:jc w:val="center"/>
              <w:rPr>
                <w:rFonts w:hint="default" w:cs="宋体"/>
                <w:b/>
                <w:bCs/>
                <w:color w:val="000000"/>
                <w:sz w:val="18"/>
                <w:szCs w:val="18"/>
              </w:rPr>
            </w:pPr>
            <w:r>
              <w:rPr>
                <w:rFonts w:cs="宋体"/>
                <w:b/>
                <w:bCs/>
                <w:color w:val="000000"/>
                <w:sz w:val="18"/>
                <w:szCs w:val="18"/>
              </w:rPr>
              <w:t>自评总分：</w:t>
            </w:r>
          </w:p>
        </w:tc>
        <w:tc>
          <w:tcPr>
            <w:tcW w:w="1701" w:type="dxa"/>
            <w:gridSpan w:val="3"/>
            <w:tcBorders>
              <w:top w:val="single" w:color="auto" w:sz="4" w:space="0"/>
              <w:left w:val="nil"/>
              <w:bottom w:val="single" w:color="auto" w:sz="4" w:space="0"/>
              <w:right w:val="single" w:color="auto" w:sz="4" w:space="0"/>
            </w:tcBorders>
            <w:shd w:val="clear" w:color="auto" w:fill="auto"/>
            <w:vAlign w:val="center"/>
          </w:tcPr>
          <w:p w14:paraId="639EFE4A">
            <w:pPr>
              <w:rPr>
                <w:rFonts w:hint="default" w:cs="宋体"/>
                <w:b/>
                <w:bCs/>
                <w:color w:val="000000"/>
                <w:sz w:val="18"/>
                <w:szCs w:val="18"/>
              </w:rPr>
            </w:pPr>
            <w:r>
              <w:rPr>
                <w:rFonts w:cs="宋体"/>
                <w:b/>
                <w:bCs/>
                <w:color w:val="000000"/>
                <w:sz w:val="18"/>
                <w:szCs w:val="18"/>
              </w:rPr>
              <w:t>　100</w:t>
            </w:r>
          </w:p>
        </w:tc>
      </w:tr>
      <w:tr w14:paraId="376525AE">
        <w:tblPrEx>
          <w:tblCellMar>
            <w:top w:w="0" w:type="dxa"/>
            <w:left w:w="108" w:type="dxa"/>
            <w:bottom w:w="0" w:type="dxa"/>
            <w:right w:w="108" w:type="dxa"/>
          </w:tblCellMar>
        </w:tblPrEx>
        <w:trPr>
          <w:trHeight w:val="435" w:hRule="atLeast"/>
        </w:trPr>
        <w:tc>
          <w:tcPr>
            <w:tcW w:w="7954"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4D0F4EDF">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绩效目标</w:t>
            </w:r>
          </w:p>
        </w:tc>
      </w:tr>
      <w:tr w14:paraId="4F16BAEB">
        <w:tblPrEx>
          <w:tblCellMar>
            <w:top w:w="0" w:type="dxa"/>
            <w:left w:w="108" w:type="dxa"/>
            <w:bottom w:w="0" w:type="dxa"/>
            <w:right w:w="108" w:type="dxa"/>
          </w:tblCellMar>
        </w:tblPrEx>
        <w:trPr>
          <w:trHeight w:val="435" w:hRule="atLeast"/>
        </w:trPr>
        <w:tc>
          <w:tcPr>
            <w:tcW w:w="291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FF44ABC">
            <w:pPr>
              <w:jc w:val="center"/>
              <w:rPr>
                <w:rFonts w:hint="default" w:cs="宋体"/>
                <w:b/>
                <w:bCs/>
                <w:sz w:val="18"/>
                <w:szCs w:val="18"/>
              </w:rPr>
            </w:pPr>
            <w:r>
              <w:rPr>
                <w:rFonts w:cs="宋体"/>
                <w:b/>
                <w:bCs/>
                <w:sz w:val="18"/>
                <w:szCs w:val="18"/>
              </w:rPr>
              <w:t>年初绩效目标</w:t>
            </w:r>
          </w:p>
        </w:tc>
        <w:tc>
          <w:tcPr>
            <w:tcW w:w="1395" w:type="dxa"/>
            <w:gridSpan w:val="3"/>
            <w:tcBorders>
              <w:top w:val="single" w:color="auto" w:sz="4" w:space="0"/>
              <w:left w:val="nil"/>
              <w:bottom w:val="single" w:color="auto" w:sz="4" w:space="0"/>
              <w:right w:val="single" w:color="auto" w:sz="4" w:space="0"/>
            </w:tcBorders>
            <w:shd w:val="clear" w:color="auto" w:fill="auto"/>
            <w:vAlign w:val="center"/>
          </w:tcPr>
          <w:p w14:paraId="7B7C9A3F">
            <w:pPr>
              <w:jc w:val="center"/>
              <w:rPr>
                <w:rFonts w:hint="default" w:cs="宋体"/>
                <w:b/>
                <w:bCs/>
                <w:sz w:val="18"/>
                <w:szCs w:val="18"/>
              </w:rPr>
            </w:pPr>
            <w:r>
              <w:rPr>
                <w:rFonts w:cs="宋体"/>
                <w:b/>
                <w:bCs/>
                <w:sz w:val="18"/>
                <w:szCs w:val="18"/>
              </w:rPr>
              <w:t>全年（调整）绩效目标</w:t>
            </w:r>
          </w:p>
        </w:tc>
        <w:tc>
          <w:tcPr>
            <w:tcW w:w="3645" w:type="dxa"/>
            <w:gridSpan w:val="7"/>
            <w:tcBorders>
              <w:top w:val="single" w:color="auto" w:sz="4" w:space="0"/>
              <w:left w:val="nil"/>
              <w:bottom w:val="single" w:color="auto" w:sz="4" w:space="0"/>
              <w:right w:val="single" w:color="auto" w:sz="4" w:space="0"/>
            </w:tcBorders>
            <w:shd w:val="clear" w:color="auto" w:fill="auto"/>
            <w:vAlign w:val="center"/>
          </w:tcPr>
          <w:p w14:paraId="438F3E2A">
            <w:pPr>
              <w:jc w:val="center"/>
              <w:rPr>
                <w:rFonts w:hint="default" w:cs="宋体"/>
                <w:b/>
                <w:bCs/>
                <w:sz w:val="18"/>
                <w:szCs w:val="18"/>
              </w:rPr>
            </w:pPr>
            <w:r>
              <w:rPr>
                <w:rFonts w:cs="宋体"/>
                <w:b/>
                <w:bCs/>
                <w:sz w:val="18"/>
                <w:szCs w:val="18"/>
              </w:rPr>
              <w:t>全年目标实际完成情况</w:t>
            </w:r>
          </w:p>
        </w:tc>
      </w:tr>
      <w:tr w14:paraId="02C9A5B4">
        <w:tblPrEx>
          <w:tblCellMar>
            <w:top w:w="0" w:type="dxa"/>
            <w:left w:w="108" w:type="dxa"/>
            <w:bottom w:w="0" w:type="dxa"/>
            <w:right w:w="108" w:type="dxa"/>
          </w:tblCellMar>
        </w:tblPrEx>
        <w:trPr>
          <w:trHeight w:val="975" w:hRule="atLeast"/>
        </w:trPr>
        <w:tc>
          <w:tcPr>
            <w:tcW w:w="2914" w:type="dxa"/>
            <w:gridSpan w:val="6"/>
            <w:tcBorders>
              <w:top w:val="single" w:color="auto" w:sz="4" w:space="0"/>
              <w:left w:val="single" w:color="auto" w:sz="4" w:space="0"/>
              <w:bottom w:val="single" w:color="auto" w:sz="4" w:space="0"/>
              <w:right w:val="single" w:color="auto" w:sz="4" w:space="0"/>
            </w:tcBorders>
            <w:shd w:val="clear" w:color="auto" w:fill="auto"/>
          </w:tcPr>
          <w:p w14:paraId="5510718D">
            <w:pPr>
              <w:rPr>
                <w:rFonts w:hint="default" w:cs="宋体"/>
                <w:sz w:val="18"/>
                <w:szCs w:val="18"/>
              </w:rPr>
            </w:pPr>
            <w:r>
              <w:rPr>
                <w:rFonts w:cs="宋体"/>
                <w:sz w:val="18"/>
                <w:szCs w:val="18"/>
              </w:rPr>
              <w:t>负责全区渡口渡船的行列检查指导，确保渡口渡船安全平稳运行，防止安全责任事故的发生，及时保障库区群众的正常生产 、生活及学生上学的需要.</w:t>
            </w:r>
          </w:p>
          <w:p w14:paraId="00F4B779">
            <w:pPr>
              <w:rPr>
                <w:rFonts w:hint="default" w:cs="宋体"/>
                <w:sz w:val="18"/>
                <w:szCs w:val="18"/>
              </w:rPr>
            </w:pPr>
            <w:r>
              <w:rPr>
                <w:rFonts w:cs="宋体"/>
                <w:sz w:val="18"/>
                <w:szCs w:val="18"/>
              </w:rPr>
              <w:t>　</w:t>
            </w:r>
          </w:p>
        </w:tc>
        <w:tc>
          <w:tcPr>
            <w:tcW w:w="1395" w:type="dxa"/>
            <w:gridSpan w:val="3"/>
            <w:tcBorders>
              <w:top w:val="single" w:color="auto" w:sz="4" w:space="0"/>
              <w:left w:val="nil"/>
              <w:bottom w:val="single" w:color="auto" w:sz="4" w:space="0"/>
              <w:right w:val="single" w:color="auto" w:sz="4" w:space="0"/>
            </w:tcBorders>
            <w:shd w:val="clear" w:color="auto" w:fill="auto"/>
          </w:tcPr>
          <w:p w14:paraId="7B47D0E3">
            <w:pPr>
              <w:rPr>
                <w:rFonts w:hint="default" w:cs="宋体"/>
                <w:sz w:val="18"/>
                <w:szCs w:val="18"/>
              </w:rPr>
            </w:pPr>
            <w:r>
              <w:rPr>
                <w:rFonts w:cs="宋体"/>
                <w:sz w:val="18"/>
                <w:szCs w:val="18"/>
              </w:rPr>
              <w:t>　</w:t>
            </w:r>
          </w:p>
        </w:tc>
        <w:tc>
          <w:tcPr>
            <w:tcW w:w="3645" w:type="dxa"/>
            <w:gridSpan w:val="7"/>
            <w:tcBorders>
              <w:top w:val="single" w:color="auto" w:sz="4" w:space="0"/>
              <w:left w:val="nil"/>
              <w:bottom w:val="single" w:color="auto" w:sz="4" w:space="0"/>
              <w:right w:val="single" w:color="auto" w:sz="4" w:space="0"/>
            </w:tcBorders>
            <w:shd w:val="clear" w:color="auto" w:fill="auto"/>
          </w:tcPr>
          <w:p w14:paraId="06681235">
            <w:pPr>
              <w:rPr>
                <w:rFonts w:hint="default" w:cs="宋体"/>
                <w:sz w:val="18"/>
                <w:szCs w:val="18"/>
              </w:rPr>
            </w:pPr>
            <w:r>
              <w:rPr>
                <w:rFonts w:cs="宋体"/>
                <w:sz w:val="18"/>
                <w:szCs w:val="18"/>
              </w:rPr>
              <w:t>全年按时按质按量完成了渡口渡船行列检查指导工作，无安全责任事故，及时保障库区群众的正常生产、生活的需要。　</w:t>
            </w:r>
          </w:p>
        </w:tc>
      </w:tr>
      <w:tr w14:paraId="02B7E892">
        <w:tblPrEx>
          <w:tblCellMar>
            <w:top w:w="0" w:type="dxa"/>
            <w:left w:w="108" w:type="dxa"/>
            <w:bottom w:w="0" w:type="dxa"/>
            <w:right w:w="108" w:type="dxa"/>
          </w:tblCellMar>
        </w:tblPrEx>
        <w:trPr>
          <w:trHeight w:val="435" w:hRule="atLeast"/>
        </w:trPr>
        <w:tc>
          <w:tcPr>
            <w:tcW w:w="7954" w:type="dxa"/>
            <w:gridSpan w:val="16"/>
            <w:tcBorders>
              <w:top w:val="single" w:color="auto" w:sz="4" w:space="0"/>
              <w:left w:val="single" w:color="auto" w:sz="4" w:space="0"/>
              <w:bottom w:val="single" w:color="auto" w:sz="4" w:space="0"/>
              <w:right w:val="single" w:color="auto" w:sz="4" w:space="0"/>
            </w:tcBorders>
            <w:shd w:val="clear" w:color="auto" w:fill="auto"/>
            <w:vAlign w:val="center"/>
          </w:tcPr>
          <w:p w14:paraId="24A9F99A">
            <w:pPr>
              <w:jc w:val="center"/>
              <w:rPr>
                <w:rFonts w:hint="default" w:ascii="微软雅黑" w:hAnsi="微软雅黑" w:eastAsia="微软雅黑" w:cs="宋体"/>
                <w:b/>
                <w:bCs/>
                <w:sz w:val="18"/>
                <w:szCs w:val="18"/>
              </w:rPr>
            </w:pPr>
            <w:r>
              <w:rPr>
                <w:rFonts w:ascii="微软雅黑" w:hAnsi="微软雅黑" w:eastAsia="微软雅黑" w:cs="宋体"/>
                <w:b/>
                <w:bCs/>
                <w:sz w:val="18"/>
                <w:szCs w:val="18"/>
              </w:rPr>
              <w:t>绩效指标</w:t>
            </w:r>
          </w:p>
        </w:tc>
      </w:tr>
      <w:tr w14:paraId="20F79FA2">
        <w:tblPrEx>
          <w:tblCellMar>
            <w:top w:w="0" w:type="dxa"/>
            <w:left w:w="108" w:type="dxa"/>
            <w:bottom w:w="0" w:type="dxa"/>
            <w:right w:w="108" w:type="dxa"/>
          </w:tblCellMar>
        </w:tblPrEx>
        <w:trPr>
          <w:trHeight w:val="1080" w:hRule="atLeast"/>
        </w:trPr>
        <w:tc>
          <w:tcPr>
            <w:tcW w:w="583" w:type="dxa"/>
            <w:tcBorders>
              <w:top w:val="nil"/>
              <w:left w:val="single" w:color="auto" w:sz="4" w:space="0"/>
              <w:bottom w:val="single" w:color="auto" w:sz="4" w:space="0"/>
              <w:right w:val="single" w:color="auto" w:sz="4" w:space="0"/>
            </w:tcBorders>
            <w:shd w:val="clear" w:color="auto" w:fill="auto"/>
            <w:vAlign w:val="center"/>
          </w:tcPr>
          <w:p w14:paraId="1F8DC4A1">
            <w:pPr>
              <w:jc w:val="center"/>
              <w:rPr>
                <w:rFonts w:hint="default" w:cs="宋体"/>
                <w:b/>
                <w:bCs/>
                <w:color w:val="000000"/>
                <w:sz w:val="18"/>
                <w:szCs w:val="18"/>
              </w:rPr>
            </w:pPr>
            <w:r>
              <w:rPr>
                <w:rFonts w:cs="宋体"/>
                <w:b/>
                <w:bCs/>
                <w:color w:val="000000"/>
                <w:sz w:val="18"/>
                <w:szCs w:val="18"/>
              </w:rPr>
              <w:t>指标名称</w:t>
            </w:r>
          </w:p>
        </w:tc>
        <w:tc>
          <w:tcPr>
            <w:tcW w:w="709" w:type="dxa"/>
            <w:gridSpan w:val="2"/>
            <w:tcBorders>
              <w:top w:val="nil"/>
              <w:left w:val="nil"/>
              <w:bottom w:val="single" w:color="auto" w:sz="4" w:space="0"/>
              <w:right w:val="single" w:color="auto" w:sz="4" w:space="0"/>
            </w:tcBorders>
            <w:shd w:val="clear" w:color="auto" w:fill="auto"/>
            <w:vAlign w:val="center"/>
          </w:tcPr>
          <w:p w14:paraId="7FFAC6FD">
            <w:pPr>
              <w:jc w:val="center"/>
              <w:rPr>
                <w:rFonts w:hint="default" w:cs="宋体"/>
                <w:b/>
                <w:bCs/>
                <w:color w:val="000000"/>
                <w:sz w:val="18"/>
                <w:szCs w:val="18"/>
              </w:rPr>
            </w:pPr>
            <w:r>
              <w:rPr>
                <w:rFonts w:cs="宋体"/>
                <w:b/>
                <w:bCs/>
                <w:color w:val="000000"/>
                <w:sz w:val="18"/>
                <w:szCs w:val="18"/>
              </w:rPr>
              <w:t>计量单位</w:t>
            </w:r>
          </w:p>
        </w:tc>
        <w:tc>
          <w:tcPr>
            <w:tcW w:w="709" w:type="dxa"/>
            <w:tcBorders>
              <w:top w:val="nil"/>
              <w:left w:val="nil"/>
              <w:bottom w:val="single" w:color="auto" w:sz="4" w:space="0"/>
              <w:right w:val="single" w:color="auto" w:sz="4" w:space="0"/>
            </w:tcBorders>
            <w:shd w:val="clear" w:color="auto" w:fill="auto"/>
            <w:vAlign w:val="center"/>
          </w:tcPr>
          <w:p w14:paraId="363AEF96">
            <w:pPr>
              <w:jc w:val="center"/>
              <w:rPr>
                <w:rFonts w:hint="default" w:cs="宋体"/>
                <w:b/>
                <w:bCs/>
                <w:color w:val="000000"/>
                <w:sz w:val="18"/>
                <w:szCs w:val="18"/>
              </w:rPr>
            </w:pPr>
            <w:r>
              <w:rPr>
                <w:rFonts w:cs="宋体"/>
                <w:b/>
                <w:bCs/>
                <w:color w:val="000000"/>
                <w:sz w:val="18"/>
                <w:szCs w:val="18"/>
              </w:rPr>
              <w:t>指标性质</w:t>
            </w:r>
          </w:p>
        </w:tc>
        <w:tc>
          <w:tcPr>
            <w:tcW w:w="850" w:type="dxa"/>
            <w:tcBorders>
              <w:top w:val="nil"/>
              <w:left w:val="nil"/>
              <w:bottom w:val="single" w:color="auto" w:sz="4" w:space="0"/>
              <w:right w:val="single" w:color="auto" w:sz="4" w:space="0"/>
            </w:tcBorders>
            <w:shd w:val="clear" w:color="auto" w:fill="auto"/>
            <w:vAlign w:val="center"/>
          </w:tcPr>
          <w:p w14:paraId="7D40ED59">
            <w:pPr>
              <w:jc w:val="center"/>
              <w:rPr>
                <w:rFonts w:hint="default" w:cs="宋体"/>
                <w:b/>
                <w:bCs/>
                <w:color w:val="000000"/>
                <w:sz w:val="18"/>
                <w:szCs w:val="18"/>
              </w:rPr>
            </w:pPr>
            <w:r>
              <w:rPr>
                <w:rFonts w:cs="宋体"/>
                <w:b/>
                <w:bCs/>
                <w:color w:val="000000"/>
                <w:sz w:val="18"/>
                <w:szCs w:val="18"/>
              </w:rPr>
              <w:t>指标值</w:t>
            </w:r>
          </w:p>
        </w:tc>
        <w:tc>
          <w:tcPr>
            <w:tcW w:w="426" w:type="dxa"/>
            <w:gridSpan w:val="2"/>
            <w:tcBorders>
              <w:top w:val="nil"/>
              <w:left w:val="nil"/>
              <w:bottom w:val="single" w:color="auto" w:sz="4" w:space="0"/>
              <w:right w:val="single" w:color="auto" w:sz="4" w:space="0"/>
            </w:tcBorders>
            <w:shd w:val="clear" w:color="auto" w:fill="auto"/>
            <w:vAlign w:val="center"/>
          </w:tcPr>
          <w:p w14:paraId="79E30F8C">
            <w:pPr>
              <w:jc w:val="center"/>
              <w:rPr>
                <w:rFonts w:hint="default" w:cs="宋体"/>
                <w:b/>
                <w:bCs/>
                <w:color w:val="000000"/>
                <w:sz w:val="18"/>
                <w:szCs w:val="18"/>
              </w:rPr>
            </w:pPr>
            <w:r>
              <w:rPr>
                <w:rFonts w:cs="宋体"/>
                <w:b/>
                <w:bCs/>
                <w:color w:val="000000"/>
                <w:sz w:val="18"/>
                <w:szCs w:val="18"/>
              </w:rPr>
              <w:t>全年完成值</w:t>
            </w:r>
          </w:p>
        </w:tc>
        <w:tc>
          <w:tcPr>
            <w:tcW w:w="850" w:type="dxa"/>
            <w:tcBorders>
              <w:top w:val="nil"/>
              <w:left w:val="nil"/>
              <w:bottom w:val="single" w:color="auto" w:sz="4" w:space="0"/>
              <w:right w:val="single" w:color="auto" w:sz="4" w:space="0"/>
            </w:tcBorders>
            <w:shd w:val="clear" w:color="auto" w:fill="auto"/>
            <w:vAlign w:val="center"/>
          </w:tcPr>
          <w:p w14:paraId="24E6FABB">
            <w:pPr>
              <w:jc w:val="center"/>
              <w:rPr>
                <w:rFonts w:hint="default" w:cs="宋体"/>
                <w:b/>
                <w:bCs/>
                <w:color w:val="000000"/>
                <w:sz w:val="18"/>
                <w:szCs w:val="18"/>
              </w:rPr>
            </w:pPr>
            <w:r>
              <w:rPr>
                <w:rFonts w:cs="宋体"/>
                <w:b/>
                <w:bCs/>
                <w:color w:val="000000"/>
                <w:sz w:val="18"/>
                <w:szCs w:val="18"/>
              </w:rPr>
              <w:t>偏离度（%）</w:t>
            </w:r>
          </w:p>
        </w:tc>
        <w:tc>
          <w:tcPr>
            <w:tcW w:w="992" w:type="dxa"/>
            <w:gridSpan w:val="3"/>
            <w:tcBorders>
              <w:top w:val="nil"/>
              <w:left w:val="nil"/>
              <w:bottom w:val="single" w:color="auto" w:sz="4" w:space="0"/>
              <w:right w:val="single" w:color="auto" w:sz="4" w:space="0"/>
            </w:tcBorders>
            <w:shd w:val="clear" w:color="auto" w:fill="auto"/>
            <w:vAlign w:val="center"/>
          </w:tcPr>
          <w:p w14:paraId="6F30803E">
            <w:pPr>
              <w:jc w:val="center"/>
              <w:rPr>
                <w:rFonts w:hint="default" w:cs="宋体"/>
                <w:b/>
                <w:bCs/>
                <w:color w:val="000000"/>
                <w:sz w:val="18"/>
                <w:szCs w:val="18"/>
              </w:rPr>
            </w:pPr>
            <w:r>
              <w:rPr>
                <w:rFonts w:cs="宋体"/>
                <w:b/>
                <w:bCs/>
                <w:color w:val="000000"/>
                <w:sz w:val="18"/>
                <w:szCs w:val="18"/>
              </w:rPr>
              <w:t>得分系数（%）</w:t>
            </w:r>
          </w:p>
        </w:tc>
        <w:tc>
          <w:tcPr>
            <w:tcW w:w="709" w:type="dxa"/>
            <w:tcBorders>
              <w:top w:val="nil"/>
              <w:left w:val="nil"/>
              <w:bottom w:val="single" w:color="auto" w:sz="4" w:space="0"/>
              <w:right w:val="single" w:color="auto" w:sz="4" w:space="0"/>
            </w:tcBorders>
            <w:shd w:val="clear" w:color="auto" w:fill="auto"/>
            <w:vAlign w:val="center"/>
          </w:tcPr>
          <w:p w14:paraId="7A7ECA18">
            <w:pPr>
              <w:jc w:val="center"/>
              <w:rPr>
                <w:rFonts w:hint="default" w:cs="宋体"/>
                <w:b/>
                <w:bCs/>
                <w:color w:val="000000"/>
                <w:sz w:val="18"/>
                <w:szCs w:val="18"/>
              </w:rPr>
            </w:pPr>
            <w:r>
              <w:rPr>
                <w:rFonts w:cs="宋体"/>
                <w:b/>
                <w:bCs/>
                <w:color w:val="000000"/>
                <w:sz w:val="18"/>
                <w:szCs w:val="18"/>
              </w:rPr>
              <w:t>指标权重</w:t>
            </w:r>
          </w:p>
        </w:tc>
        <w:tc>
          <w:tcPr>
            <w:tcW w:w="709" w:type="dxa"/>
            <w:gridSpan w:val="2"/>
            <w:tcBorders>
              <w:top w:val="nil"/>
              <w:left w:val="nil"/>
              <w:bottom w:val="single" w:color="auto" w:sz="4" w:space="0"/>
              <w:right w:val="single" w:color="auto" w:sz="4" w:space="0"/>
            </w:tcBorders>
            <w:shd w:val="clear" w:color="auto" w:fill="auto"/>
            <w:vAlign w:val="center"/>
          </w:tcPr>
          <w:p w14:paraId="3B6AD9D9">
            <w:pPr>
              <w:jc w:val="center"/>
              <w:rPr>
                <w:rFonts w:hint="default" w:cs="宋体"/>
                <w:b/>
                <w:bCs/>
                <w:color w:val="000000"/>
                <w:sz w:val="18"/>
                <w:szCs w:val="18"/>
              </w:rPr>
            </w:pPr>
            <w:r>
              <w:rPr>
                <w:rFonts w:cs="宋体"/>
                <w:b/>
                <w:bCs/>
                <w:color w:val="000000"/>
                <w:sz w:val="18"/>
                <w:szCs w:val="18"/>
              </w:rPr>
              <w:t>指标得分</w:t>
            </w:r>
          </w:p>
        </w:tc>
        <w:tc>
          <w:tcPr>
            <w:tcW w:w="709" w:type="dxa"/>
            <w:tcBorders>
              <w:top w:val="nil"/>
              <w:left w:val="nil"/>
              <w:bottom w:val="single" w:color="auto" w:sz="4" w:space="0"/>
              <w:right w:val="single" w:color="auto" w:sz="4" w:space="0"/>
            </w:tcBorders>
            <w:shd w:val="clear" w:color="auto" w:fill="auto"/>
            <w:vAlign w:val="center"/>
          </w:tcPr>
          <w:p w14:paraId="305E47F1">
            <w:pPr>
              <w:jc w:val="center"/>
              <w:rPr>
                <w:rFonts w:hint="default" w:cs="宋体"/>
                <w:b/>
                <w:bCs/>
                <w:color w:val="000000"/>
                <w:sz w:val="18"/>
                <w:szCs w:val="18"/>
              </w:rPr>
            </w:pPr>
            <w:r>
              <w:rPr>
                <w:rFonts w:cs="宋体"/>
                <w:b/>
                <w:bCs/>
                <w:color w:val="000000"/>
                <w:sz w:val="18"/>
                <w:szCs w:val="18"/>
              </w:rPr>
              <w:t>是否核心指标</w:t>
            </w:r>
          </w:p>
        </w:tc>
        <w:tc>
          <w:tcPr>
            <w:tcW w:w="708" w:type="dxa"/>
            <w:tcBorders>
              <w:top w:val="nil"/>
              <w:left w:val="nil"/>
              <w:bottom w:val="single" w:color="auto" w:sz="4" w:space="0"/>
              <w:right w:val="single" w:color="auto" w:sz="4" w:space="0"/>
            </w:tcBorders>
            <w:shd w:val="clear" w:color="auto" w:fill="auto"/>
            <w:vAlign w:val="center"/>
          </w:tcPr>
          <w:p w14:paraId="5861B63C">
            <w:pPr>
              <w:jc w:val="center"/>
              <w:rPr>
                <w:rFonts w:hint="default" w:cs="宋体"/>
                <w:b/>
                <w:bCs/>
                <w:color w:val="000000"/>
                <w:sz w:val="18"/>
                <w:szCs w:val="18"/>
              </w:rPr>
            </w:pPr>
            <w:r>
              <w:rPr>
                <w:rFonts w:cs="宋体"/>
                <w:b/>
                <w:bCs/>
                <w:color w:val="000000"/>
                <w:sz w:val="18"/>
                <w:szCs w:val="18"/>
              </w:rPr>
              <w:t>说明</w:t>
            </w:r>
          </w:p>
        </w:tc>
      </w:tr>
      <w:tr w14:paraId="7255779A">
        <w:tblPrEx>
          <w:tblCellMar>
            <w:top w:w="0" w:type="dxa"/>
            <w:left w:w="108" w:type="dxa"/>
            <w:bottom w:w="0" w:type="dxa"/>
            <w:right w:w="108" w:type="dxa"/>
          </w:tblCellMar>
        </w:tblPrEx>
        <w:trPr>
          <w:trHeight w:val="435" w:hRule="atLeast"/>
        </w:trPr>
        <w:tc>
          <w:tcPr>
            <w:tcW w:w="583" w:type="dxa"/>
            <w:tcBorders>
              <w:top w:val="nil"/>
              <w:left w:val="single" w:color="auto" w:sz="4" w:space="0"/>
              <w:bottom w:val="single" w:color="auto" w:sz="4" w:space="0"/>
              <w:right w:val="single" w:color="auto" w:sz="4" w:space="0"/>
            </w:tcBorders>
            <w:shd w:val="clear" w:color="auto" w:fill="auto"/>
            <w:vAlign w:val="center"/>
          </w:tcPr>
          <w:p w14:paraId="151B1D0B">
            <w:pPr>
              <w:rPr>
                <w:rFonts w:hint="default" w:cs="宋体"/>
                <w:color w:val="000000"/>
                <w:sz w:val="18"/>
                <w:szCs w:val="18"/>
              </w:rPr>
            </w:pPr>
            <w:r>
              <w:rPr>
                <w:rFonts w:cs="宋体"/>
                <w:color w:val="000000"/>
                <w:sz w:val="18"/>
                <w:szCs w:val="18"/>
              </w:rPr>
              <w:t>安全船只数量　</w:t>
            </w:r>
          </w:p>
        </w:tc>
        <w:tc>
          <w:tcPr>
            <w:tcW w:w="709" w:type="dxa"/>
            <w:gridSpan w:val="2"/>
            <w:tcBorders>
              <w:top w:val="nil"/>
              <w:left w:val="nil"/>
              <w:bottom w:val="single" w:color="auto" w:sz="4" w:space="0"/>
              <w:right w:val="single" w:color="auto" w:sz="4" w:space="0"/>
            </w:tcBorders>
            <w:shd w:val="clear" w:color="auto" w:fill="auto"/>
            <w:vAlign w:val="center"/>
          </w:tcPr>
          <w:p w14:paraId="1476F481">
            <w:pPr>
              <w:rPr>
                <w:rFonts w:hint="default" w:cs="宋体"/>
                <w:color w:val="000000"/>
                <w:sz w:val="18"/>
                <w:szCs w:val="18"/>
              </w:rPr>
            </w:pPr>
            <w:r>
              <w:rPr>
                <w:rFonts w:cs="宋体"/>
                <w:color w:val="000000"/>
                <w:sz w:val="18"/>
                <w:szCs w:val="18"/>
              </w:rPr>
              <w:t>　艘</w:t>
            </w:r>
          </w:p>
        </w:tc>
        <w:tc>
          <w:tcPr>
            <w:tcW w:w="709" w:type="dxa"/>
            <w:tcBorders>
              <w:top w:val="nil"/>
              <w:left w:val="nil"/>
              <w:bottom w:val="single" w:color="auto" w:sz="4" w:space="0"/>
              <w:right w:val="single" w:color="auto" w:sz="4" w:space="0"/>
            </w:tcBorders>
            <w:shd w:val="clear" w:color="auto" w:fill="auto"/>
            <w:vAlign w:val="center"/>
          </w:tcPr>
          <w:p w14:paraId="574ACDC9">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850" w:type="dxa"/>
            <w:tcBorders>
              <w:top w:val="nil"/>
              <w:left w:val="nil"/>
              <w:bottom w:val="single" w:color="auto" w:sz="4" w:space="0"/>
              <w:right w:val="single" w:color="auto" w:sz="4" w:space="0"/>
            </w:tcBorders>
            <w:shd w:val="clear" w:color="auto" w:fill="auto"/>
            <w:vAlign w:val="center"/>
          </w:tcPr>
          <w:p w14:paraId="0C7A497F">
            <w:pPr>
              <w:keepNext w:val="0"/>
              <w:keepLines w:val="0"/>
              <w:widowControl/>
              <w:suppressLineNumbers w:val="0"/>
              <w:jc w:val="center"/>
              <w:textAlignment w:val="center"/>
              <w:rPr>
                <w:rFonts w:hint="default" w:cs="宋体"/>
                <w:color w:val="000000"/>
                <w:sz w:val="18"/>
                <w:szCs w:val="18"/>
                <w:highlight w:val="yellow"/>
              </w:rPr>
            </w:pPr>
            <w:r>
              <w:rPr>
                <w:rFonts w:hint="eastAsia" w:ascii="宋体" w:hAnsi="宋体" w:eastAsia="宋体" w:cs="宋体"/>
                <w:i w:val="0"/>
                <w:color w:val="000000"/>
                <w:kern w:val="0"/>
                <w:sz w:val="18"/>
                <w:szCs w:val="18"/>
                <w:u w:val="none"/>
                <w:lang w:val="en-US" w:eastAsia="zh-CN" w:bidi="ar"/>
              </w:rPr>
              <w:t>25</w:t>
            </w:r>
          </w:p>
        </w:tc>
        <w:tc>
          <w:tcPr>
            <w:tcW w:w="426" w:type="dxa"/>
            <w:gridSpan w:val="2"/>
            <w:tcBorders>
              <w:top w:val="nil"/>
              <w:left w:val="nil"/>
              <w:bottom w:val="single" w:color="auto" w:sz="4" w:space="0"/>
              <w:right w:val="single" w:color="auto" w:sz="4" w:space="0"/>
            </w:tcBorders>
            <w:shd w:val="clear" w:color="auto" w:fill="auto"/>
            <w:vAlign w:val="center"/>
          </w:tcPr>
          <w:p w14:paraId="1A6FF6AA">
            <w:pPr>
              <w:keepNext w:val="0"/>
              <w:keepLines w:val="0"/>
              <w:widowControl/>
              <w:suppressLineNumbers w:val="0"/>
              <w:jc w:val="center"/>
              <w:textAlignment w:val="center"/>
              <w:rPr>
                <w:rFonts w:hint="default" w:cs="宋体"/>
                <w:color w:val="000000"/>
                <w:sz w:val="18"/>
                <w:szCs w:val="18"/>
                <w:highlight w:val="yellow"/>
              </w:rPr>
            </w:pPr>
            <w:r>
              <w:rPr>
                <w:rFonts w:hint="eastAsia" w:ascii="宋体" w:hAnsi="宋体" w:eastAsia="宋体" w:cs="宋体"/>
                <w:i w:val="0"/>
                <w:color w:val="000000"/>
                <w:kern w:val="0"/>
                <w:sz w:val="18"/>
                <w:szCs w:val="18"/>
                <w:u w:val="none"/>
                <w:lang w:val="en-US" w:eastAsia="zh-CN" w:bidi="ar"/>
              </w:rPr>
              <w:t>25</w:t>
            </w:r>
          </w:p>
        </w:tc>
        <w:tc>
          <w:tcPr>
            <w:tcW w:w="850" w:type="dxa"/>
            <w:tcBorders>
              <w:top w:val="nil"/>
              <w:left w:val="nil"/>
              <w:bottom w:val="single" w:color="auto" w:sz="4" w:space="0"/>
              <w:right w:val="single" w:color="auto" w:sz="4" w:space="0"/>
            </w:tcBorders>
            <w:shd w:val="clear" w:color="auto" w:fill="auto"/>
            <w:vAlign w:val="center"/>
          </w:tcPr>
          <w:p w14:paraId="6AE4148E">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0</w:t>
            </w:r>
          </w:p>
        </w:tc>
        <w:tc>
          <w:tcPr>
            <w:tcW w:w="992" w:type="dxa"/>
            <w:gridSpan w:val="3"/>
            <w:tcBorders>
              <w:top w:val="nil"/>
              <w:left w:val="nil"/>
              <w:bottom w:val="single" w:color="auto" w:sz="4" w:space="0"/>
              <w:right w:val="single" w:color="auto" w:sz="4" w:space="0"/>
            </w:tcBorders>
            <w:shd w:val="clear" w:color="auto" w:fill="auto"/>
            <w:vAlign w:val="center"/>
          </w:tcPr>
          <w:p w14:paraId="705E7F05">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100</w:t>
            </w:r>
          </w:p>
        </w:tc>
        <w:tc>
          <w:tcPr>
            <w:tcW w:w="709" w:type="dxa"/>
            <w:tcBorders>
              <w:top w:val="nil"/>
              <w:left w:val="nil"/>
              <w:bottom w:val="single" w:color="auto" w:sz="4" w:space="0"/>
              <w:right w:val="single" w:color="auto" w:sz="4" w:space="0"/>
            </w:tcBorders>
            <w:shd w:val="clear" w:color="auto" w:fill="auto"/>
            <w:vAlign w:val="center"/>
          </w:tcPr>
          <w:p w14:paraId="551B353F">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30</w:t>
            </w:r>
          </w:p>
        </w:tc>
        <w:tc>
          <w:tcPr>
            <w:tcW w:w="709" w:type="dxa"/>
            <w:gridSpan w:val="2"/>
            <w:tcBorders>
              <w:top w:val="nil"/>
              <w:left w:val="nil"/>
              <w:bottom w:val="single" w:color="auto" w:sz="4" w:space="0"/>
              <w:right w:val="single" w:color="auto" w:sz="4" w:space="0"/>
            </w:tcBorders>
            <w:shd w:val="clear" w:color="auto" w:fill="auto"/>
            <w:vAlign w:val="center"/>
          </w:tcPr>
          <w:p w14:paraId="0A8978E5">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30</w:t>
            </w:r>
          </w:p>
        </w:tc>
        <w:tc>
          <w:tcPr>
            <w:tcW w:w="709" w:type="dxa"/>
            <w:tcBorders>
              <w:top w:val="nil"/>
              <w:left w:val="nil"/>
              <w:bottom w:val="single" w:color="auto" w:sz="4" w:space="0"/>
              <w:right w:val="single" w:color="auto" w:sz="4" w:space="0"/>
            </w:tcBorders>
            <w:shd w:val="clear" w:color="auto" w:fill="auto"/>
            <w:vAlign w:val="center"/>
          </w:tcPr>
          <w:p w14:paraId="18E85575">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是</w:t>
            </w:r>
          </w:p>
        </w:tc>
        <w:tc>
          <w:tcPr>
            <w:tcW w:w="708" w:type="dxa"/>
            <w:tcBorders>
              <w:top w:val="nil"/>
              <w:left w:val="nil"/>
              <w:bottom w:val="single" w:color="auto" w:sz="4" w:space="0"/>
              <w:right w:val="single" w:color="auto" w:sz="4" w:space="0"/>
            </w:tcBorders>
            <w:shd w:val="clear" w:color="auto" w:fill="auto"/>
            <w:vAlign w:val="center"/>
          </w:tcPr>
          <w:p w14:paraId="4BD580C2">
            <w:pPr>
              <w:rPr>
                <w:rFonts w:hint="default" w:cs="宋体"/>
                <w:color w:val="000000"/>
                <w:sz w:val="18"/>
                <w:szCs w:val="18"/>
              </w:rPr>
            </w:pPr>
            <w:r>
              <w:rPr>
                <w:rFonts w:cs="宋体"/>
                <w:color w:val="000000"/>
                <w:sz w:val="18"/>
                <w:szCs w:val="18"/>
              </w:rPr>
              <w:t>　</w:t>
            </w:r>
          </w:p>
        </w:tc>
      </w:tr>
      <w:tr w14:paraId="38AF11C8">
        <w:tblPrEx>
          <w:tblCellMar>
            <w:top w:w="0" w:type="dxa"/>
            <w:left w:w="108" w:type="dxa"/>
            <w:bottom w:w="0" w:type="dxa"/>
            <w:right w:w="108" w:type="dxa"/>
          </w:tblCellMar>
        </w:tblPrEx>
        <w:trPr>
          <w:trHeight w:val="435" w:hRule="atLeast"/>
        </w:trPr>
        <w:tc>
          <w:tcPr>
            <w:tcW w:w="583" w:type="dxa"/>
            <w:tcBorders>
              <w:top w:val="nil"/>
              <w:left w:val="single" w:color="auto" w:sz="4" w:space="0"/>
              <w:bottom w:val="single" w:color="auto" w:sz="4" w:space="0"/>
              <w:right w:val="single" w:color="auto" w:sz="4" w:space="0"/>
            </w:tcBorders>
            <w:shd w:val="clear" w:color="auto" w:fill="auto"/>
            <w:vAlign w:val="center"/>
          </w:tcPr>
          <w:p w14:paraId="116BE86E">
            <w:pPr>
              <w:rPr>
                <w:rFonts w:hint="default" w:cs="宋体"/>
                <w:color w:val="000000"/>
                <w:sz w:val="18"/>
                <w:szCs w:val="18"/>
              </w:rPr>
            </w:pPr>
            <w:r>
              <w:rPr>
                <w:rFonts w:cs="宋体"/>
                <w:color w:val="000000"/>
                <w:sz w:val="18"/>
                <w:szCs w:val="18"/>
              </w:rPr>
              <w:t>渡口数量　</w:t>
            </w:r>
          </w:p>
        </w:tc>
        <w:tc>
          <w:tcPr>
            <w:tcW w:w="709" w:type="dxa"/>
            <w:gridSpan w:val="2"/>
            <w:tcBorders>
              <w:top w:val="nil"/>
              <w:left w:val="nil"/>
              <w:bottom w:val="single" w:color="auto" w:sz="4" w:space="0"/>
              <w:right w:val="single" w:color="auto" w:sz="4" w:space="0"/>
            </w:tcBorders>
            <w:shd w:val="clear" w:color="auto" w:fill="auto"/>
            <w:vAlign w:val="center"/>
          </w:tcPr>
          <w:p w14:paraId="41944FDB">
            <w:pPr>
              <w:rPr>
                <w:rFonts w:hint="default" w:cs="宋体"/>
                <w:color w:val="000000"/>
                <w:sz w:val="18"/>
                <w:szCs w:val="18"/>
              </w:rPr>
            </w:pPr>
            <w:r>
              <w:rPr>
                <w:rFonts w:cs="宋体"/>
                <w:color w:val="000000"/>
                <w:sz w:val="18"/>
                <w:szCs w:val="18"/>
              </w:rPr>
              <w:t>　个</w:t>
            </w:r>
          </w:p>
        </w:tc>
        <w:tc>
          <w:tcPr>
            <w:tcW w:w="709" w:type="dxa"/>
            <w:tcBorders>
              <w:top w:val="nil"/>
              <w:left w:val="nil"/>
              <w:bottom w:val="single" w:color="auto" w:sz="4" w:space="0"/>
              <w:right w:val="single" w:color="auto" w:sz="4" w:space="0"/>
            </w:tcBorders>
            <w:shd w:val="clear" w:color="auto" w:fill="auto"/>
            <w:vAlign w:val="center"/>
          </w:tcPr>
          <w:p w14:paraId="4B38FE8B">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850" w:type="dxa"/>
            <w:tcBorders>
              <w:top w:val="nil"/>
              <w:left w:val="nil"/>
              <w:bottom w:val="single" w:color="auto" w:sz="4" w:space="0"/>
              <w:right w:val="single" w:color="auto" w:sz="4" w:space="0"/>
            </w:tcBorders>
            <w:shd w:val="clear" w:color="auto" w:fill="auto"/>
            <w:vAlign w:val="center"/>
          </w:tcPr>
          <w:p w14:paraId="6FE45374">
            <w:pPr>
              <w:keepNext w:val="0"/>
              <w:keepLines w:val="0"/>
              <w:widowControl/>
              <w:suppressLineNumbers w:val="0"/>
              <w:jc w:val="center"/>
              <w:textAlignment w:val="center"/>
              <w:rPr>
                <w:rFonts w:hint="default" w:cs="宋体"/>
                <w:color w:val="000000"/>
                <w:sz w:val="18"/>
                <w:szCs w:val="18"/>
                <w:highlight w:val="yellow"/>
              </w:rPr>
            </w:pPr>
            <w:r>
              <w:rPr>
                <w:rFonts w:hint="eastAsia" w:ascii="宋体" w:hAnsi="宋体" w:eastAsia="宋体" w:cs="宋体"/>
                <w:i w:val="0"/>
                <w:color w:val="000000"/>
                <w:kern w:val="0"/>
                <w:sz w:val="18"/>
                <w:szCs w:val="18"/>
                <w:u w:val="none"/>
                <w:lang w:val="en-US" w:eastAsia="zh-CN" w:bidi="ar"/>
              </w:rPr>
              <w:t>50</w:t>
            </w:r>
          </w:p>
        </w:tc>
        <w:tc>
          <w:tcPr>
            <w:tcW w:w="426" w:type="dxa"/>
            <w:gridSpan w:val="2"/>
            <w:tcBorders>
              <w:top w:val="nil"/>
              <w:left w:val="nil"/>
              <w:bottom w:val="single" w:color="auto" w:sz="4" w:space="0"/>
              <w:right w:val="single" w:color="auto" w:sz="4" w:space="0"/>
            </w:tcBorders>
            <w:shd w:val="clear" w:color="auto" w:fill="auto"/>
            <w:vAlign w:val="center"/>
          </w:tcPr>
          <w:p w14:paraId="5EA7BAE3">
            <w:pPr>
              <w:keepNext w:val="0"/>
              <w:keepLines w:val="0"/>
              <w:widowControl/>
              <w:suppressLineNumbers w:val="0"/>
              <w:jc w:val="center"/>
              <w:textAlignment w:val="center"/>
              <w:rPr>
                <w:rFonts w:hint="default" w:cs="宋体"/>
                <w:color w:val="000000"/>
                <w:sz w:val="18"/>
                <w:szCs w:val="18"/>
                <w:highlight w:val="yellow"/>
              </w:rPr>
            </w:pPr>
            <w:r>
              <w:rPr>
                <w:rFonts w:hint="eastAsia" w:ascii="宋体" w:hAnsi="宋体" w:eastAsia="宋体" w:cs="宋体"/>
                <w:i w:val="0"/>
                <w:color w:val="000000"/>
                <w:kern w:val="0"/>
                <w:sz w:val="18"/>
                <w:szCs w:val="18"/>
                <w:u w:val="none"/>
                <w:lang w:val="en-US" w:eastAsia="zh-CN" w:bidi="ar"/>
              </w:rPr>
              <w:t>50</w:t>
            </w:r>
          </w:p>
        </w:tc>
        <w:tc>
          <w:tcPr>
            <w:tcW w:w="850" w:type="dxa"/>
            <w:tcBorders>
              <w:top w:val="nil"/>
              <w:left w:val="nil"/>
              <w:bottom w:val="single" w:color="auto" w:sz="4" w:space="0"/>
              <w:right w:val="single" w:color="auto" w:sz="4" w:space="0"/>
            </w:tcBorders>
            <w:shd w:val="clear" w:color="auto" w:fill="auto"/>
            <w:vAlign w:val="center"/>
          </w:tcPr>
          <w:p w14:paraId="6F51913B">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0</w:t>
            </w:r>
          </w:p>
        </w:tc>
        <w:tc>
          <w:tcPr>
            <w:tcW w:w="992" w:type="dxa"/>
            <w:gridSpan w:val="3"/>
            <w:tcBorders>
              <w:top w:val="nil"/>
              <w:left w:val="nil"/>
              <w:bottom w:val="single" w:color="auto" w:sz="4" w:space="0"/>
              <w:right w:val="single" w:color="auto" w:sz="4" w:space="0"/>
            </w:tcBorders>
            <w:shd w:val="clear" w:color="auto" w:fill="auto"/>
            <w:vAlign w:val="center"/>
          </w:tcPr>
          <w:p w14:paraId="410F4610">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100</w:t>
            </w:r>
          </w:p>
        </w:tc>
        <w:tc>
          <w:tcPr>
            <w:tcW w:w="709" w:type="dxa"/>
            <w:tcBorders>
              <w:top w:val="nil"/>
              <w:left w:val="nil"/>
              <w:bottom w:val="single" w:color="auto" w:sz="4" w:space="0"/>
              <w:right w:val="single" w:color="auto" w:sz="4" w:space="0"/>
            </w:tcBorders>
            <w:shd w:val="clear" w:color="auto" w:fill="auto"/>
            <w:vAlign w:val="center"/>
          </w:tcPr>
          <w:p w14:paraId="52886355">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30</w:t>
            </w:r>
          </w:p>
        </w:tc>
        <w:tc>
          <w:tcPr>
            <w:tcW w:w="709" w:type="dxa"/>
            <w:gridSpan w:val="2"/>
            <w:tcBorders>
              <w:top w:val="nil"/>
              <w:left w:val="nil"/>
              <w:bottom w:val="single" w:color="auto" w:sz="4" w:space="0"/>
              <w:right w:val="single" w:color="auto" w:sz="4" w:space="0"/>
            </w:tcBorders>
            <w:shd w:val="clear" w:color="auto" w:fill="auto"/>
            <w:vAlign w:val="center"/>
          </w:tcPr>
          <w:p w14:paraId="570C3A60">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30</w:t>
            </w:r>
          </w:p>
        </w:tc>
        <w:tc>
          <w:tcPr>
            <w:tcW w:w="709" w:type="dxa"/>
            <w:tcBorders>
              <w:top w:val="nil"/>
              <w:left w:val="nil"/>
              <w:bottom w:val="single" w:color="auto" w:sz="4" w:space="0"/>
              <w:right w:val="single" w:color="auto" w:sz="4" w:space="0"/>
            </w:tcBorders>
            <w:shd w:val="clear" w:color="auto" w:fill="auto"/>
            <w:vAlign w:val="center"/>
          </w:tcPr>
          <w:p w14:paraId="3786A27A">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是</w:t>
            </w:r>
          </w:p>
        </w:tc>
        <w:tc>
          <w:tcPr>
            <w:tcW w:w="708" w:type="dxa"/>
            <w:tcBorders>
              <w:top w:val="nil"/>
              <w:left w:val="nil"/>
              <w:bottom w:val="single" w:color="auto" w:sz="4" w:space="0"/>
              <w:right w:val="single" w:color="auto" w:sz="4" w:space="0"/>
            </w:tcBorders>
            <w:shd w:val="clear" w:color="auto" w:fill="auto"/>
            <w:vAlign w:val="center"/>
          </w:tcPr>
          <w:p w14:paraId="7D7BCC38">
            <w:pPr>
              <w:rPr>
                <w:rFonts w:hint="default" w:cs="宋体"/>
                <w:color w:val="000000"/>
                <w:sz w:val="18"/>
                <w:szCs w:val="18"/>
              </w:rPr>
            </w:pPr>
            <w:r>
              <w:rPr>
                <w:rFonts w:cs="宋体"/>
                <w:color w:val="000000"/>
                <w:sz w:val="18"/>
                <w:szCs w:val="18"/>
              </w:rPr>
              <w:t>　</w:t>
            </w:r>
          </w:p>
        </w:tc>
      </w:tr>
      <w:tr w14:paraId="54E51044">
        <w:tblPrEx>
          <w:tblCellMar>
            <w:top w:w="0" w:type="dxa"/>
            <w:left w:w="108" w:type="dxa"/>
            <w:bottom w:w="0" w:type="dxa"/>
            <w:right w:w="108" w:type="dxa"/>
          </w:tblCellMar>
        </w:tblPrEx>
        <w:trPr>
          <w:trHeight w:val="906" w:hRule="atLeast"/>
        </w:trPr>
        <w:tc>
          <w:tcPr>
            <w:tcW w:w="583" w:type="dxa"/>
            <w:tcBorders>
              <w:top w:val="nil"/>
              <w:left w:val="single" w:color="auto" w:sz="4" w:space="0"/>
              <w:bottom w:val="single" w:color="auto" w:sz="4" w:space="0"/>
              <w:right w:val="single" w:color="auto" w:sz="4" w:space="0"/>
            </w:tcBorders>
            <w:shd w:val="clear" w:color="auto" w:fill="auto"/>
            <w:vAlign w:val="center"/>
          </w:tcPr>
          <w:p w14:paraId="5B85E0DB">
            <w:pPr>
              <w:rPr>
                <w:rFonts w:hint="default" w:cs="宋体"/>
                <w:color w:val="000000"/>
                <w:sz w:val="18"/>
                <w:szCs w:val="18"/>
              </w:rPr>
            </w:pPr>
            <w:r>
              <w:rPr>
                <w:rFonts w:cs="宋体"/>
                <w:color w:val="000000"/>
                <w:sz w:val="18"/>
                <w:szCs w:val="18"/>
              </w:rPr>
              <w:t>受益出行人数　</w:t>
            </w:r>
          </w:p>
        </w:tc>
        <w:tc>
          <w:tcPr>
            <w:tcW w:w="709" w:type="dxa"/>
            <w:gridSpan w:val="2"/>
            <w:tcBorders>
              <w:top w:val="nil"/>
              <w:left w:val="nil"/>
              <w:bottom w:val="single" w:color="auto" w:sz="4" w:space="0"/>
              <w:right w:val="single" w:color="auto" w:sz="4" w:space="0"/>
            </w:tcBorders>
            <w:shd w:val="clear" w:color="auto" w:fill="auto"/>
            <w:vAlign w:val="center"/>
          </w:tcPr>
          <w:p w14:paraId="5267EF4A">
            <w:pPr>
              <w:rPr>
                <w:rFonts w:hint="default" w:cs="宋体"/>
                <w:color w:val="000000"/>
                <w:sz w:val="18"/>
                <w:szCs w:val="18"/>
              </w:rPr>
            </w:pPr>
            <w:r>
              <w:rPr>
                <w:sz w:val="18"/>
                <w:szCs w:val="18"/>
              </w:rPr>
              <w:t>万人次</w:t>
            </w:r>
          </w:p>
        </w:tc>
        <w:tc>
          <w:tcPr>
            <w:tcW w:w="709" w:type="dxa"/>
            <w:tcBorders>
              <w:top w:val="nil"/>
              <w:left w:val="nil"/>
              <w:bottom w:val="single" w:color="auto" w:sz="4" w:space="0"/>
              <w:right w:val="single" w:color="auto" w:sz="4" w:space="0"/>
            </w:tcBorders>
            <w:shd w:val="clear" w:color="auto" w:fill="auto"/>
            <w:vAlign w:val="center"/>
          </w:tcPr>
          <w:p w14:paraId="74C4ED68">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850" w:type="dxa"/>
            <w:tcBorders>
              <w:top w:val="nil"/>
              <w:left w:val="nil"/>
              <w:bottom w:val="single" w:color="auto" w:sz="4" w:space="0"/>
              <w:right w:val="single" w:color="auto" w:sz="4" w:space="0"/>
            </w:tcBorders>
            <w:shd w:val="clear" w:color="auto" w:fill="auto"/>
            <w:vAlign w:val="center"/>
          </w:tcPr>
          <w:p w14:paraId="777A9D73">
            <w:pPr>
              <w:keepNext w:val="0"/>
              <w:keepLines w:val="0"/>
              <w:widowControl/>
              <w:suppressLineNumbers w:val="0"/>
              <w:jc w:val="center"/>
              <w:textAlignment w:val="center"/>
              <w:rPr>
                <w:rFonts w:hint="default" w:cs="宋体"/>
                <w:color w:val="000000"/>
                <w:sz w:val="18"/>
                <w:szCs w:val="18"/>
                <w:highlight w:val="yellow"/>
              </w:rPr>
            </w:pPr>
            <w:r>
              <w:rPr>
                <w:rFonts w:hint="eastAsia" w:ascii="宋体" w:hAnsi="宋体" w:eastAsia="宋体" w:cs="宋体"/>
                <w:i w:val="0"/>
                <w:color w:val="000000"/>
                <w:kern w:val="0"/>
                <w:sz w:val="18"/>
                <w:szCs w:val="18"/>
                <w:u w:val="none"/>
                <w:lang w:val="en-US" w:eastAsia="zh-CN" w:bidi="ar"/>
              </w:rPr>
              <w:t>20</w:t>
            </w:r>
          </w:p>
        </w:tc>
        <w:tc>
          <w:tcPr>
            <w:tcW w:w="426" w:type="dxa"/>
            <w:gridSpan w:val="2"/>
            <w:tcBorders>
              <w:top w:val="nil"/>
              <w:left w:val="nil"/>
              <w:bottom w:val="single" w:color="auto" w:sz="4" w:space="0"/>
              <w:right w:val="single" w:color="auto" w:sz="4" w:space="0"/>
            </w:tcBorders>
            <w:shd w:val="clear" w:color="auto" w:fill="auto"/>
            <w:vAlign w:val="center"/>
          </w:tcPr>
          <w:p w14:paraId="42944F86">
            <w:pPr>
              <w:keepNext w:val="0"/>
              <w:keepLines w:val="0"/>
              <w:widowControl/>
              <w:suppressLineNumbers w:val="0"/>
              <w:jc w:val="center"/>
              <w:textAlignment w:val="center"/>
              <w:rPr>
                <w:rFonts w:hint="default" w:cs="宋体"/>
                <w:color w:val="000000"/>
                <w:sz w:val="18"/>
                <w:szCs w:val="18"/>
                <w:highlight w:val="yellow"/>
              </w:rPr>
            </w:pPr>
            <w:r>
              <w:rPr>
                <w:rFonts w:hint="eastAsia" w:ascii="宋体" w:hAnsi="宋体" w:eastAsia="宋体" w:cs="宋体"/>
                <w:i w:val="0"/>
                <w:color w:val="000000"/>
                <w:kern w:val="0"/>
                <w:sz w:val="18"/>
                <w:szCs w:val="18"/>
                <w:u w:val="none"/>
                <w:lang w:val="en-US" w:eastAsia="zh-CN" w:bidi="ar"/>
              </w:rPr>
              <w:t>20</w:t>
            </w:r>
          </w:p>
        </w:tc>
        <w:tc>
          <w:tcPr>
            <w:tcW w:w="850" w:type="dxa"/>
            <w:tcBorders>
              <w:top w:val="nil"/>
              <w:left w:val="nil"/>
              <w:bottom w:val="single" w:color="auto" w:sz="4" w:space="0"/>
              <w:right w:val="single" w:color="auto" w:sz="4" w:space="0"/>
            </w:tcBorders>
            <w:shd w:val="clear" w:color="auto" w:fill="auto"/>
            <w:vAlign w:val="center"/>
          </w:tcPr>
          <w:p w14:paraId="309A6540">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0</w:t>
            </w:r>
          </w:p>
        </w:tc>
        <w:tc>
          <w:tcPr>
            <w:tcW w:w="992" w:type="dxa"/>
            <w:gridSpan w:val="3"/>
            <w:tcBorders>
              <w:top w:val="nil"/>
              <w:left w:val="nil"/>
              <w:bottom w:val="single" w:color="auto" w:sz="4" w:space="0"/>
              <w:right w:val="single" w:color="auto" w:sz="4" w:space="0"/>
            </w:tcBorders>
            <w:shd w:val="clear" w:color="auto" w:fill="auto"/>
            <w:vAlign w:val="center"/>
          </w:tcPr>
          <w:p w14:paraId="493160C3">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100</w:t>
            </w:r>
          </w:p>
        </w:tc>
        <w:tc>
          <w:tcPr>
            <w:tcW w:w="709" w:type="dxa"/>
            <w:tcBorders>
              <w:top w:val="nil"/>
              <w:left w:val="nil"/>
              <w:bottom w:val="single" w:color="auto" w:sz="4" w:space="0"/>
              <w:right w:val="single" w:color="auto" w:sz="4" w:space="0"/>
            </w:tcBorders>
            <w:shd w:val="clear" w:color="auto" w:fill="auto"/>
            <w:vAlign w:val="center"/>
          </w:tcPr>
          <w:p w14:paraId="6E1D1DD3">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20</w:t>
            </w:r>
          </w:p>
        </w:tc>
        <w:tc>
          <w:tcPr>
            <w:tcW w:w="709" w:type="dxa"/>
            <w:gridSpan w:val="2"/>
            <w:tcBorders>
              <w:top w:val="nil"/>
              <w:left w:val="nil"/>
              <w:bottom w:val="single" w:color="auto" w:sz="4" w:space="0"/>
              <w:right w:val="single" w:color="auto" w:sz="4" w:space="0"/>
            </w:tcBorders>
            <w:shd w:val="clear" w:color="auto" w:fill="auto"/>
            <w:vAlign w:val="center"/>
          </w:tcPr>
          <w:p w14:paraId="220494BC">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20</w:t>
            </w:r>
          </w:p>
        </w:tc>
        <w:tc>
          <w:tcPr>
            <w:tcW w:w="709" w:type="dxa"/>
            <w:tcBorders>
              <w:top w:val="nil"/>
              <w:left w:val="nil"/>
              <w:bottom w:val="single" w:color="auto" w:sz="4" w:space="0"/>
              <w:right w:val="single" w:color="auto" w:sz="4" w:space="0"/>
            </w:tcBorders>
            <w:shd w:val="clear" w:color="auto" w:fill="auto"/>
            <w:vAlign w:val="center"/>
          </w:tcPr>
          <w:p w14:paraId="2D10B736">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否</w:t>
            </w:r>
          </w:p>
        </w:tc>
        <w:tc>
          <w:tcPr>
            <w:tcW w:w="708" w:type="dxa"/>
            <w:tcBorders>
              <w:top w:val="nil"/>
              <w:left w:val="nil"/>
              <w:bottom w:val="single" w:color="auto" w:sz="4" w:space="0"/>
              <w:right w:val="single" w:color="auto" w:sz="4" w:space="0"/>
            </w:tcBorders>
            <w:shd w:val="clear" w:color="auto" w:fill="auto"/>
            <w:vAlign w:val="center"/>
          </w:tcPr>
          <w:p w14:paraId="26FAA83B">
            <w:pPr>
              <w:rPr>
                <w:rFonts w:hint="default" w:cs="宋体"/>
                <w:color w:val="000000"/>
                <w:sz w:val="18"/>
                <w:szCs w:val="18"/>
              </w:rPr>
            </w:pPr>
          </w:p>
        </w:tc>
      </w:tr>
      <w:tr w14:paraId="42A6FBCA">
        <w:tblPrEx>
          <w:tblCellMar>
            <w:top w:w="0" w:type="dxa"/>
            <w:left w:w="108" w:type="dxa"/>
            <w:bottom w:w="0" w:type="dxa"/>
            <w:right w:w="108" w:type="dxa"/>
          </w:tblCellMar>
        </w:tblPrEx>
        <w:trPr>
          <w:trHeight w:val="435" w:hRule="atLeast"/>
        </w:trPr>
        <w:tc>
          <w:tcPr>
            <w:tcW w:w="583" w:type="dxa"/>
            <w:tcBorders>
              <w:top w:val="nil"/>
              <w:left w:val="single" w:color="auto" w:sz="4" w:space="0"/>
              <w:bottom w:val="single" w:color="auto" w:sz="4" w:space="0"/>
              <w:right w:val="single" w:color="auto" w:sz="4" w:space="0"/>
            </w:tcBorders>
            <w:shd w:val="clear" w:color="auto" w:fill="auto"/>
            <w:vAlign w:val="center"/>
          </w:tcPr>
          <w:p w14:paraId="63376083">
            <w:pPr>
              <w:rPr>
                <w:rFonts w:hint="default" w:cs="宋体"/>
                <w:color w:val="000000"/>
                <w:sz w:val="18"/>
                <w:szCs w:val="18"/>
              </w:rPr>
            </w:pPr>
            <w:r>
              <w:rPr>
                <w:rFonts w:cs="宋体"/>
                <w:color w:val="000000"/>
                <w:sz w:val="18"/>
                <w:szCs w:val="18"/>
              </w:rPr>
              <w:t>受益群众满意率　</w:t>
            </w:r>
          </w:p>
        </w:tc>
        <w:tc>
          <w:tcPr>
            <w:tcW w:w="709" w:type="dxa"/>
            <w:gridSpan w:val="2"/>
            <w:tcBorders>
              <w:top w:val="nil"/>
              <w:left w:val="nil"/>
              <w:bottom w:val="single" w:color="auto" w:sz="4" w:space="0"/>
              <w:right w:val="single" w:color="auto" w:sz="4" w:space="0"/>
            </w:tcBorders>
            <w:shd w:val="clear" w:color="auto" w:fill="auto"/>
            <w:vAlign w:val="center"/>
          </w:tcPr>
          <w:p w14:paraId="34E63FA2">
            <w:pPr>
              <w:rPr>
                <w:rFonts w:hint="default" w:cs="宋体"/>
                <w:color w:val="000000"/>
                <w:sz w:val="18"/>
                <w:szCs w:val="18"/>
              </w:rPr>
            </w:pPr>
            <w:r>
              <w:rPr>
                <w:rFonts w:cs="宋体"/>
                <w:color w:val="000000"/>
                <w:sz w:val="18"/>
                <w:szCs w:val="18"/>
              </w:rPr>
              <w:t>　%</w:t>
            </w:r>
          </w:p>
        </w:tc>
        <w:tc>
          <w:tcPr>
            <w:tcW w:w="709" w:type="dxa"/>
            <w:tcBorders>
              <w:top w:val="nil"/>
              <w:left w:val="nil"/>
              <w:bottom w:val="single" w:color="auto" w:sz="4" w:space="0"/>
              <w:right w:val="single" w:color="auto" w:sz="4" w:space="0"/>
            </w:tcBorders>
            <w:shd w:val="clear" w:color="auto" w:fill="auto"/>
            <w:vAlign w:val="center"/>
          </w:tcPr>
          <w:p w14:paraId="5922E77A">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w:t>
            </w:r>
          </w:p>
        </w:tc>
        <w:tc>
          <w:tcPr>
            <w:tcW w:w="850" w:type="dxa"/>
            <w:tcBorders>
              <w:top w:val="nil"/>
              <w:left w:val="nil"/>
              <w:bottom w:val="single" w:color="auto" w:sz="4" w:space="0"/>
              <w:right w:val="single" w:color="auto" w:sz="4" w:space="0"/>
            </w:tcBorders>
            <w:shd w:val="clear" w:color="auto" w:fill="auto"/>
            <w:vAlign w:val="center"/>
          </w:tcPr>
          <w:p w14:paraId="2AF20F76">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93</w:t>
            </w:r>
          </w:p>
        </w:tc>
        <w:tc>
          <w:tcPr>
            <w:tcW w:w="426" w:type="dxa"/>
            <w:gridSpan w:val="2"/>
            <w:tcBorders>
              <w:top w:val="nil"/>
              <w:left w:val="nil"/>
              <w:bottom w:val="single" w:color="auto" w:sz="4" w:space="0"/>
              <w:right w:val="single" w:color="auto" w:sz="4" w:space="0"/>
            </w:tcBorders>
            <w:shd w:val="clear" w:color="auto" w:fill="auto"/>
            <w:vAlign w:val="center"/>
          </w:tcPr>
          <w:p w14:paraId="7A8C361F">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94</w:t>
            </w:r>
          </w:p>
        </w:tc>
        <w:tc>
          <w:tcPr>
            <w:tcW w:w="850" w:type="dxa"/>
            <w:tcBorders>
              <w:top w:val="nil"/>
              <w:left w:val="nil"/>
              <w:bottom w:val="single" w:color="auto" w:sz="4" w:space="0"/>
              <w:right w:val="single" w:color="auto" w:sz="4" w:space="0"/>
            </w:tcBorders>
            <w:shd w:val="clear" w:color="auto" w:fill="auto"/>
            <w:vAlign w:val="center"/>
          </w:tcPr>
          <w:p w14:paraId="63083BA3">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1.08</w:t>
            </w:r>
          </w:p>
        </w:tc>
        <w:tc>
          <w:tcPr>
            <w:tcW w:w="992" w:type="dxa"/>
            <w:gridSpan w:val="3"/>
            <w:tcBorders>
              <w:top w:val="nil"/>
              <w:left w:val="nil"/>
              <w:bottom w:val="single" w:color="auto" w:sz="4" w:space="0"/>
              <w:right w:val="single" w:color="auto" w:sz="4" w:space="0"/>
            </w:tcBorders>
            <w:shd w:val="clear" w:color="auto" w:fill="auto"/>
            <w:vAlign w:val="center"/>
          </w:tcPr>
          <w:p w14:paraId="3B3809E5">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100</w:t>
            </w:r>
          </w:p>
        </w:tc>
        <w:tc>
          <w:tcPr>
            <w:tcW w:w="709" w:type="dxa"/>
            <w:tcBorders>
              <w:top w:val="nil"/>
              <w:left w:val="nil"/>
              <w:bottom w:val="single" w:color="auto" w:sz="4" w:space="0"/>
              <w:right w:val="single" w:color="auto" w:sz="4" w:space="0"/>
            </w:tcBorders>
            <w:shd w:val="clear" w:color="auto" w:fill="auto"/>
            <w:vAlign w:val="center"/>
          </w:tcPr>
          <w:p w14:paraId="10EB2657">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w:t>
            </w:r>
          </w:p>
        </w:tc>
        <w:tc>
          <w:tcPr>
            <w:tcW w:w="709" w:type="dxa"/>
            <w:gridSpan w:val="2"/>
            <w:tcBorders>
              <w:top w:val="nil"/>
              <w:left w:val="nil"/>
              <w:bottom w:val="single" w:color="auto" w:sz="4" w:space="0"/>
              <w:right w:val="single" w:color="auto" w:sz="4" w:space="0"/>
            </w:tcBorders>
            <w:shd w:val="clear" w:color="auto" w:fill="auto"/>
            <w:vAlign w:val="center"/>
          </w:tcPr>
          <w:p w14:paraId="08B94EB0">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10</w:t>
            </w:r>
          </w:p>
        </w:tc>
        <w:tc>
          <w:tcPr>
            <w:tcW w:w="709" w:type="dxa"/>
            <w:tcBorders>
              <w:top w:val="nil"/>
              <w:left w:val="nil"/>
              <w:bottom w:val="single" w:color="auto" w:sz="4" w:space="0"/>
              <w:right w:val="single" w:color="auto" w:sz="4" w:space="0"/>
            </w:tcBorders>
            <w:shd w:val="clear" w:color="auto" w:fill="auto"/>
            <w:vAlign w:val="center"/>
          </w:tcPr>
          <w:p w14:paraId="768F51CB">
            <w:pPr>
              <w:keepNext w:val="0"/>
              <w:keepLines w:val="0"/>
              <w:widowControl/>
              <w:suppressLineNumbers w:val="0"/>
              <w:jc w:val="center"/>
              <w:textAlignment w:val="center"/>
              <w:rPr>
                <w:rFonts w:hint="default" w:cs="宋体"/>
                <w:color w:val="000000"/>
                <w:sz w:val="18"/>
                <w:szCs w:val="18"/>
              </w:rPr>
            </w:pPr>
            <w:r>
              <w:rPr>
                <w:rFonts w:hint="eastAsia" w:ascii="宋体" w:hAnsi="宋体" w:eastAsia="宋体" w:cs="宋体"/>
                <w:i w:val="0"/>
                <w:color w:val="000000"/>
                <w:kern w:val="0"/>
                <w:sz w:val="18"/>
                <w:szCs w:val="18"/>
                <w:u w:val="none"/>
                <w:lang w:val="en-US" w:eastAsia="zh-CN" w:bidi="ar"/>
              </w:rPr>
              <w:t>否</w:t>
            </w:r>
          </w:p>
        </w:tc>
        <w:tc>
          <w:tcPr>
            <w:tcW w:w="708" w:type="dxa"/>
            <w:tcBorders>
              <w:top w:val="nil"/>
              <w:left w:val="nil"/>
              <w:bottom w:val="single" w:color="auto" w:sz="4" w:space="0"/>
              <w:right w:val="single" w:color="auto" w:sz="4" w:space="0"/>
            </w:tcBorders>
            <w:shd w:val="clear" w:color="auto" w:fill="auto"/>
            <w:vAlign w:val="center"/>
          </w:tcPr>
          <w:p w14:paraId="5C8F673A">
            <w:pPr>
              <w:rPr>
                <w:rFonts w:hint="default" w:cs="宋体"/>
                <w:color w:val="000000"/>
                <w:sz w:val="18"/>
                <w:szCs w:val="18"/>
              </w:rPr>
            </w:pPr>
            <w:r>
              <w:rPr>
                <w:rFonts w:cs="宋体"/>
                <w:color w:val="000000"/>
                <w:sz w:val="18"/>
                <w:szCs w:val="18"/>
              </w:rPr>
              <w:t>　</w:t>
            </w:r>
          </w:p>
        </w:tc>
      </w:tr>
    </w:tbl>
    <w:p w14:paraId="1EB0EDD3">
      <w:pPr>
        <w:autoSpaceDE w:val="0"/>
        <w:ind w:firstLine="643" w:firstLineChars="200"/>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（二）单位绩效评价情况</w:t>
      </w:r>
    </w:p>
    <w:p w14:paraId="6A30024D">
      <w:pPr>
        <w:widowControl w:val="0"/>
        <w:tabs>
          <w:tab w:val="center" w:pos="4153"/>
          <w:tab w:val="left" w:pos="7275"/>
        </w:tabs>
        <w:spacing w:line="600" w:lineRule="exact"/>
        <w:ind w:firstLine="640" w:firstLineChars="200"/>
        <w:jc w:val="both"/>
        <w:rPr>
          <w:rFonts w:hint="default" w:ascii="Times New Roman" w:hAnsi="Times New Roman" w:eastAsia="方正仿宋_GBK" w:cs="宋体"/>
          <w:color w:val="000000"/>
          <w:sz w:val="32"/>
          <w:szCs w:val="32"/>
        </w:rPr>
      </w:pPr>
      <w:r>
        <w:rPr>
          <w:rFonts w:ascii="方正仿宋_GBK" w:hAnsi="Times New Roman" w:eastAsia="方正仿宋_GBK"/>
          <w:kern w:val="2"/>
          <w:sz w:val="32"/>
          <w:szCs w:val="32"/>
        </w:rPr>
        <w:t>本单位2024年没有委托第三方开展绩效评价。</w:t>
      </w:r>
    </w:p>
    <w:p w14:paraId="5AACEC39">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14:paraId="54C4F516">
      <w:pPr>
        <w:pStyle w:val="14"/>
        <w:autoSpaceDE w:val="0"/>
        <w:ind w:firstLine="640"/>
        <w:rPr>
          <w:rFonts w:ascii="方正仿宋_GBK" w:hAnsi="Times New Roman" w:eastAsia="方正仿宋_GBK"/>
          <w:kern w:val="2"/>
          <w:sz w:val="32"/>
          <w:szCs w:val="32"/>
        </w:rPr>
      </w:pPr>
      <w:r>
        <w:rPr>
          <w:rFonts w:hint="eastAsia" w:ascii="方正仿宋_GBK" w:hAnsi="Times New Roman" w:eastAsia="方正仿宋_GBK"/>
          <w:kern w:val="2"/>
          <w:sz w:val="32"/>
          <w:szCs w:val="32"/>
        </w:rPr>
        <w:t>2024年区财政局未委托第三方对我单位开展绩效评价。</w:t>
      </w:r>
    </w:p>
    <w:p w14:paraId="57DC7C25">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14:paraId="0BB66675">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201A349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3B9706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DF8CE81">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F85A1E7">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4E5457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B666C62">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CB4A5F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FC41E8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1EDBA5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2F3045FB">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148B3BBC">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9E0DF43">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A02BA6D">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E15C19F">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24CE1CA">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3224936">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F1EF634">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14:paraId="2011FED0">
      <w:pPr>
        <w:pStyle w:val="9"/>
        <w:snapToGrid w:val="0"/>
        <w:spacing w:before="0" w:beforeAutospacing="0" w:after="0" w:afterAutospacing="0" w:line="600"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14:paraId="07634BC2">
      <w:pPr>
        <w:pStyle w:val="9"/>
        <w:snapToGrid w:val="0"/>
        <w:spacing w:before="0" w:beforeAutospacing="0" w:after="0" w:afterAutospacing="0" w:line="600" w:lineRule="exact"/>
        <w:ind w:firstLine="640" w:firstLineChars="200"/>
        <w:jc w:val="both"/>
        <w:rPr>
          <w:rStyle w:val="13"/>
          <w:rFonts w:hint="eastAsia" w:ascii="方正仿宋_GBK" w:hAnsi="方正仿宋_GBK" w:eastAsia="方正仿宋_GBK" w:cs="方正仿宋_GBK"/>
          <w:sz w:val="32"/>
          <w:szCs w:val="32"/>
          <w:shd w:val="clear" w:color="auto" w:fill="FFFF00"/>
          <w:lang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王玉兰</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023-72807089</w:t>
      </w:r>
      <w:r>
        <w:rPr>
          <w:rFonts w:hint="eastAsia" w:ascii="方正仿宋_GBK" w:hAnsi="方正仿宋_GBK" w:eastAsia="方正仿宋_GBK" w:cs="方正仿宋_GBK"/>
          <w:sz w:val="32"/>
          <w:szCs w:val="32"/>
          <w:shd w:val="clear" w:color="auto" w:fill="FFFFFF"/>
          <w:lang w:eastAsia="zh-CN"/>
        </w:rPr>
        <w:t>。</w:t>
      </w:r>
    </w:p>
    <w:p w14:paraId="70AEB611">
      <w:pPr>
        <w:rPr>
          <w:rFonts w:hint="default"/>
          <w:sz w:val="18"/>
          <w:szCs w:val="18"/>
        </w:rPr>
      </w:pPr>
      <w:bookmarkStart w:id="0" w:name="_GoBack"/>
      <w:bookmarkEnd w:id="0"/>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8353">
    <w:pPr>
      <w:pStyle w:val="6"/>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A7BF13">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40A7BF13">
                    <w:pPr>
                      <w:pStyle w:val="6"/>
                      <w:rPr>
                        <w:rFonts w:hint="default"/>
                      </w:rPr>
                    </w:pPr>
                    <w:r>
                      <w:fldChar w:fldCharType="begin"/>
                    </w:r>
                    <w:r>
                      <w:instrText xml:space="preserve"> PAGE  \* MERGEFORMAT </w:instrText>
                    </w:r>
                    <w:r>
                      <w:fldChar w:fldCharType="separate"/>
                    </w:r>
                    <w:r>
                      <w:rPr>
                        <w:rFonts w:hint="default"/>
                      </w:rPr>
                      <w:t>- 8 -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DF211">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069DE4F">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R8u/9NIBAACiAwAADgAAAAAAAAABACAAAAAfAQAA&#10;ZHJzL2Uyb0RvYy54bWxQSwUGAAAAAAYABgBZAQAAYwUAAAAA&#10;">
              <v:fill on="f" focussize="0,0"/>
              <v:stroke on="f" weight="0.5pt"/>
              <v:imagedata o:title=""/>
              <o:lock v:ext="edit" aspectratio="f"/>
              <v:textbox inset="0mm,0mm,0mm,0mm" style="mso-fit-shape-to-text:t;">
                <w:txbxContent>
                  <w:p w14:paraId="2069DE4F">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19 -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wps:spPr>
                    <wps:txbx>
                      <w:txbxContent>
                        <w:p w14:paraId="2AF090B9">
                          <w:pPr>
                            <w:pStyle w:val="6"/>
                            <w:jc w:val="both"/>
                            <w:rPr>
                              <w:rFonts w:hint="default" w:cs="宋体"/>
                            </w:rPr>
                          </w:pPr>
                          <w:r>
                            <w:rPr>
                              <w:rFonts w:cs="宋体"/>
                            </w:rPr>
                            <w:t>— 27.1 —</w:t>
                          </w:r>
                        </w:p>
                      </w:txbxContent>
                    </wps:txbx>
                    <wps:bodyPr wrap="none" lIns="0" tIns="0" rIns="0" bIns="0" upright="1"/>
                  </wps:wsp>
                </a:graphicData>
              </a:graphic>
            </wp:anchor>
          </w:drawing>
        </mc:Choice>
        <mc:Fallback>
          <w:pict>
            <v:shape id="文本框 7"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4DVRU2AAAAAoBAAAPAAAAAAAAAAEAIAAAACIAAABkcnMv&#10;ZG93bnJldi54bWxQSwECFAAUAAAACACHTuJAAxY288oBAACHAwAADgAAAAAAAAABACAAAAAnAQAA&#10;ZHJzL2Uyb0RvYy54bWxQSwUGAAAAAAYABgBZAQAAYwUAAAAA&#10;">
              <v:fill on="f" focussize="0,0"/>
              <v:stroke on="f" weight="0.5pt"/>
              <v:imagedata o:title=""/>
              <o:lock v:ext="edit" aspectratio="f"/>
              <v:textbox inset="0mm,0mm,0mm,0mm">
                <w:txbxContent>
                  <w:p w14:paraId="2AF090B9">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2043">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CAFA8A"/>
    <w:multiLevelType w:val="singleLevel"/>
    <w:tmpl w:val="4ACAFA8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37921"/>
    <w:rsid w:val="000A6184"/>
    <w:rsid w:val="001D3BB7"/>
    <w:rsid w:val="00206B93"/>
    <w:rsid w:val="00210A10"/>
    <w:rsid w:val="002218E8"/>
    <w:rsid w:val="00264CCD"/>
    <w:rsid w:val="002A5B63"/>
    <w:rsid w:val="002B254B"/>
    <w:rsid w:val="0034050A"/>
    <w:rsid w:val="00367546"/>
    <w:rsid w:val="003B7288"/>
    <w:rsid w:val="0044504F"/>
    <w:rsid w:val="00445B9D"/>
    <w:rsid w:val="00466C9B"/>
    <w:rsid w:val="00486CFC"/>
    <w:rsid w:val="00491DDD"/>
    <w:rsid w:val="004E4EA7"/>
    <w:rsid w:val="00541622"/>
    <w:rsid w:val="00550ABE"/>
    <w:rsid w:val="005823C2"/>
    <w:rsid w:val="005C35BC"/>
    <w:rsid w:val="00623A85"/>
    <w:rsid w:val="00642C2F"/>
    <w:rsid w:val="006A7530"/>
    <w:rsid w:val="006D434B"/>
    <w:rsid w:val="006D77FE"/>
    <w:rsid w:val="006F085F"/>
    <w:rsid w:val="00770383"/>
    <w:rsid w:val="007819D4"/>
    <w:rsid w:val="007B419D"/>
    <w:rsid w:val="007B7C4B"/>
    <w:rsid w:val="007D3D39"/>
    <w:rsid w:val="00845705"/>
    <w:rsid w:val="00984C6A"/>
    <w:rsid w:val="00994AF7"/>
    <w:rsid w:val="009B67B8"/>
    <w:rsid w:val="009C14C9"/>
    <w:rsid w:val="009D2B67"/>
    <w:rsid w:val="009E1452"/>
    <w:rsid w:val="00A2663E"/>
    <w:rsid w:val="00A405E0"/>
    <w:rsid w:val="00A566F9"/>
    <w:rsid w:val="00A932EF"/>
    <w:rsid w:val="00AC4359"/>
    <w:rsid w:val="00AF2751"/>
    <w:rsid w:val="00B035A6"/>
    <w:rsid w:val="00B03CCD"/>
    <w:rsid w:val="00B539A4"/>
    <w:rsid w:val="00BB5418"/>
    <w:rsid w:val="00BB5E2C"/>
    <w:rsid w:val="00BE2B89"/>
    <w:rsid w:val="00BF0D89"/>
    <w:rsid w:val="00C10E9E"/>
    <w:rsid w:val="00C20C3E"/>
    <w:rsid w:val="00C5163E"/>
    <w:rsid w:val="00CF2ACF"/>
    <w:rsid w:val="00D03AAF"/>
    <w:rsid w:val="00D708BC"/>
    <w:rsid w:val="00DD0539"/>
    <w:rsid w:val="00DE1747"/>
    <w:rsid w:val="00E026CA"/>
    <w:rsid w:val="00E02BEE"/>
    <w:rsid w:val="00E07662"/>
    <w:rsid w:val="00E368E9"/>
    <w:rsid w:val="00EB2013"/>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9D0289"/>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0D5F46"/>
    <w:rsid w:val="191C433B"/>
    <w:rsid w:val="194A1770"/>
    <w:rsid w:val="19B906A4"/>
    <w:rsid w:val="1AEA7931"/>
    <w:rsid w:val="1B6F15B6"/>
    <w:rsid w:val="1BAA2EDC"/>
    <w:rsid w:val="1CA55E64"/>
    <w:rsid w:val="1D014A01"/>
    <w:rsid w:val="1D022362"/>
    <w:rsid w:val="1D1B04B0"/>
    <w:rsid w:val="1DA52501"/>
    <w:rsid w:val="1DB01D1E"/>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1D2CBE"/>
    <w:rsid w:val="2FCA4B37"/>
    <w:rsid w:val="2FE029D7"/>
    <w:rsid w:val="2FF06E00"/>
    <w:rsid w:val="30586FEC"/>
    <w:rsid w:val="315F0B22"/>
    <w:rsid w:val="31723383"/>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75A7C"/>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5FC76E80"/>
    <w:rsid w:val="60C74F6C"/>
    <w:rsid w:val="61015958"/>
    <w:rsid w:val="61025A59"/>
    <w:rsid w:val="613D5BBC"/>
    <w:rsid w:val="61536C39"/>
    <w:rsid w:val="62944DD7"/>
    <w:rsid w:val="62FF6656"/>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AB0EA2"/>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 w:type="character" w:customStyle="1" w:styleId="20">
    <w:name w:val="15"/>
    <w:basedOn w:val="12"/>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5366</Words>
  <Characters>5914</Characters>
  <Lines>43</Lines>
  <Paragraphs>28</Paragraphs>
  <TotalTime>0</TotalTime>
  <ScaleCrop>false</ScaleCrop>
  <LinksUpToDate>false</LinksUpToDate>
  <CharactersWithSpaces>5975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葉苓筠#七</cp:lastModifiedBy>
  <dcterms:modified xsi:type="dcterms:W3CDTF">2025-11-04T06:22:00Z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56ADAEC5A3F84D55A9CD272FA991EB23_13</vt:lpwstr>
  </property>
  <property fmtid="{D5CDD505-2E9C-101B-9397-08002B2CF9AE}" pid="4" name="KSOTemplateDocerSaveRecord">
    <vt:lpwstr>eyJoZGlkIjoiMWJjZmNlZWJjN2M3NThlZTk0YjZlMjVmYmVmNTU1ZjkiLCJ1c2VySWQiOiIyNzM5NjM1NjQifQ==</vt:lpwstr>
  </property>
</Properties>
</file>