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line="600"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重庆市涪陵区道路运输事务中心</w:t>
      </w:r>
    </w:p>
    <w:p>
      <w:pPr>
        <w:pStyle w:val="6"/>
        <w:spacing w:before="0" w:beforeAutospacing="0" w:after="0" w:afterAutospacing="0" w:line="360" w:lineRule="auto"/>
        <w:jc w:val="center"/>
        <w:rPr>
          <w:rFonts w:hint="default" w:ascii="方正小标宋_GBK" w:hAnsi="方正小标宋_GBK" w:eastAsia="方正小标宋_GBK" w:cs="方正小标宋_GBK"/>
          <w:sz w:val="44"/>
          <w:szCs w:val="44"/>
          <w:shd w:val="clear" w:color="auto" w:fill="FFFFFF"/>
        </w:rPr>
      </w:pPr>
      <w:r>
        <w:rPr>
          <w:rFonts w:ascii="方正小标宋_GBK" w:hAnsi="方正小标宋_GBK" w:eastAsia="方正小标宋_GBK" w:cs="方正小标宋_GBK"/>
          <w:sz w:val="44"/>
          <w:szCs w:val="44"/>
          <w:shd w:val="clear" w:color="auto" w:fill="FFFFFF"/>
        </w:rPr>
        <w:t>2024年度决算公开说明</w:t>
      </w:r>
    </w:p>
    <w:p>
      <w:pPr>
        <w:pStyle w:val="6"/>
        <w:shd w:val="clear" w:color="auto" w:fill="FFFFFF"/>
        <w:spacing w:before="0" w:beforeAutospacing="0" w:after="0" w:afterAutospacing="0" w:line="560" w:lineRule="exact"/>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pPr>
        <w:pStyle w:val="6"/>
        <w:shd w:val="clear" w:color="auto" w:fill="FFFFFF"/>
        <w:spacing w:before="0" w:beforeAutospacing="0" w:after="0" w:afterAutospacing="0" w:line="560" w:lineRule="exact"/>
        <w:ind w:firstLine="643" w:firstLineChars="200"/>
        <w:rPr>
          <w:rStyle w:val="10"/>
          <w:rFonts w:hint="default" w:ascii="方正楷体_GBK" w:hAnsi="楷体" w:eastAsia="方正楷体_GBK" w:cs="楷体"/>
          <w:sz w:val="32"/>
          <w:szCs w:val="32"/>
          <w:shd w:val="clear" w:color="auto" w:fill="FFFFFF"/>
        </w:rPr>
      </w:pPr>
      <w:r>
        <w:rPr>
          <w:rStyle w:val="10"/>
          <w:rFonts w:ascii="方正楷体_GBK" w:hAnsi="楷体" w:eastAsia="方正楷体_GBK" w:cs="楷体"/>
          <w:sz w:val="32"/>
          <w:szCs w:val="32"/>
          <w:shd w:val="clear" w:color="auto" w:fill="FFFFFF"/>
        </w:rPr>
        <w:t>（一）职能职责</w:t>
      </w:r>
    </w:p>
    <w:p>
      <w:pPr>
        <w:pStyle w:val="6"/>
        <w:shd w:val="clear" w:color="auto" w:fill="FFFFFF"/>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主要职责是承担道路运输管理相关辅助性、事务性、技术性等具体工作。</w:t>
      </w:r>
    </w:p>
    <w:p>
      <w:pPr>
        <w:pStyle w:val="6"/>
        <w:shd w:val="clear" w:color="auto" w:fill="FFFFFF"/>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1.宣传贯彻执行道路运输政策、制度、技术标准、运营规范。承担行业发展研究，以及有关规划编制和组织实施的事务工作。</w:t>
      </w:r>
    </w:p>
    <w:p>
      <w:pPr>
        <w:pStyle w:val="6"/>
        <w:shd w:val="clear" w:color="auto" w:fill="FFFFFF"/>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2.承担道路运输管理的事务工作。</w:t>
      </w:r>
    </w:p>
    <w:p>
      <w:pPr>
        <w:pStyle w:val="6"/>
        <w:shd w:val="clear" w:color="auto" w:fill="FFFFFF"/>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3.承担道路运输从业人员、汽车租赁、道路运输站（场）机动车维修、机动车驾驶员培训等相关业务管理的事务工作。</w:t>
      </w:r>
    </w:p>
    <w:p>
      <w:pPr>
        <w:pStyle w:val="6"/>
        <w:shd w:val="clear" w:color="auto" w:fill="FFFFFF"/>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4.承</w:t>
      </w:r>
      <w:r>
        <w:rPr>
          <w:rFonts w:hint="eastAsia" w:ascii="方正仿宋_GBK" w:hAnsi="方正仿宋_GBK" w:eastAsia="方正仿宋_GBK" w:cs="方正仿宋_GBK"/>
          <w:sz w:val="32"/>
          <w:szCs w:val="32"/>
          <w:shd w:val="clear" w:color="auto" w:fill="FFFFFF"/>
          <w:lang w:val="en-US" w:eastAsia="zh-CN"/>
        </w:rPr>
        <w:t>担</w:t>
      </w:r>
      <w:bookmarkStart w:id="0" w:name="_GoBack"/>
      <w:bookmarkEnd w:id="0"/>
      <w:r>
        <w:rPr>
          <w:rFonts w:ascii="方正仿宋_GBK" w:hAnsi="方正仿宋_GBK" w:eastAsia="方正仿宋_GBK" w:cs="方正仿宋_GBK"/>
          <w:sz w:val="32"/>
          <w:szCs w:val="32"/>
          <w:shd w:val="clear" w:color="auto" w:fill="FFFFFF"/>
        </w:rPr>
        <w:t>道路运输行业安全和应急管理的事务工作，参与行业安全事故调查。</w:t>
      </w:r>
    </w:p>
    <w:p>
      <w:pPr>
        <w:pStyle w:val="6"/>
        <w:shd w:val="clear" w:color="auto" w:fill="FFFFFF"/>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5.承担道路运输行业有关重点物资、紧急客货运输和高峰客运组织的事务工作；承担道路运输战备事务工作。</w:t>
      </w:r>
    </w:p>
    <w:p>
      <w:pPr>
        <w:pStyle w:val="6"/>
        <w:shd w:val="clear" w:color="auto" w:fill="FFFFFF"/>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6.承担道路运输行业安全服务质量考核和信用体系建设、道路运输政务服务、行业统计的事务工作。</w:t>
      </w:r>
    </w:p>
    <w:p>
      <w:pPr>
        <w:pStyle w:val="6"/>
        <w:shd w:val="clear" w:color="auto" w:fill="FFFFFF"/>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7.承担道路运输行业运行监测、生态环境保护和节能减排，以及智慧运输体系、信息化和数字化建设管理的事务工作。</w:t>
      </w:r>
    </w:p>
    <w:p>
      <w:pPr>
        <w:pStyle w:val="6"/>
        <w:shd w:val="clear" w:color="auto" w:fill="FFFFFF"/>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8.承担行业精神文明建设工作。</w:t>
      </w:r>
    </w:p>
    <w:p>
      <w:pPr>
        <w:pStyle w:val="6"/>
        <w:shd w:val="clear" w:color="auto" w:fill="FFFFFF"/>
        <w:spacing w:before="0" w:beforeAutospacing="0" w:after="0" w:afterAutospacing="0" w:line="560"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9.完成区委、区政府和区交通运输委交办的其他工作。</w:t>
      </w:r>
    </w:p>
    <w:p>
      <w:pPr>
        <w:pStyle w:val="6"/>
        <w:shd w:val="clear" w:color="auto" w:fill="FFFFFF"/>
        <w:spacing w:before="0" w:beforeAutospacing="0" w:after="0" w:afterAutospacing="0" w:line="560" w:lineRule="exact"/>
        <w:ind w:firstLine="643" w:firstLineChars="200"/>
        <w:rPr>
          <w:rStyle w:val="10"/>
          <w:rFonts w:hint="default" w:ascii="方正楷体_GBK" w:eastAsia="方正楷体_GBK"/>
          <w:shd w:val="clear" w:color="auto" w:fill="FFFFFF"/>
        </w:rPr>
      </w:pPr>
      <w:r>
        <w:rPr>
          <w:rStyle w:val="10"/>
          <w:rFonts w:ascii="方正楷体_GBK" w:hAnsi="楷体" w:eastAsia="方正楷体_GBK" w:cs="楷体"/>
          <w:sz w:val="32"/>
          <w:szCs w:val="32"/>
          <w:shd w:val="clear" w:color="auto" w:fill="FFFFFF"/>
        </w:rPr>
        <w:t>（二）机构设置</w:t>
      </w:r>
    </w:p>
    <w:p>
      <w:pPr>
        <w:pStyle w:val="6"/>
        <w:shd w:val="clear" w:color="auto" w:fill="FFFFFF"/>
        <w:spacing w:before="0" w:beforeAutospacing="0" w:after="0" w:afterAutospacing="0" w:line="560" w:lineRule="exact"/>
        <w:ind w:firstLine="640" w:firstLineChars="200"/>
        <w:rPr>
          <w:rStyle w:val="10"/>
          <w:rFonts w:hint="default" w:ascii="方正仿宋_GBK" w:hAnsi="楷体" w:eastAsia="方正仿宋_GBK" w:cs="楷体"/>
          <w:sz w:val="32"/>
          <w:szCs w:val="32"/>
        </w:rPr>
      </w:pPr>
      <w:r>
        <w:rPr>
          <w:rFonts w:ascii="方正仿宋_GBK" w:hAnsi="方正仿宋_GBK" w:eastAsia="方正仿宋_GBK" w:cs="方正仿宋_GBK"/>
          <w:sz w:val="32"/>
          <w:szCs w:val="32"/>
          <w:shd w:val="clear" w:color="auto" w:fill="FFFFFF"/>
        </w:rPr>
        <w:t>重庆市涪陵区道路运输事务中心隶属重庆市涪陵区交通运输委员会管理的副处级公益一类全额拨款事业单位，无下属单位。内设办公室、财务科、客运科、货运科、车辆维修驾培科、安全应急科、科技信息科等7个科室。</w:t>
      </w:r>
    </w:p>
    <w:p>
      <w:pPr>
        <w:pStyle w:val="6"/>
        <w:shd w:val="clear" w:color="auto" w:fill="FFFFFF"/>
        <w:spacing w:before="0" w:beforeAutospacing="0" w:after="0" w:afterAutospacing="0" w:line="560" w:lineRule="exact"/>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（一）收入支出决算总体情况说明</w:t>
      </w:r>
    </w:p>
    <w:p>
      <w:pPr>
        <w:pStyle w:val="6"/>
        <w:shd w:val="clear" w:color="auto" w:fill="FFFFFF"/>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2024年度收入总计1866.57万元，支出总计</w:t>
      </w:r>
      <w:r>
        <w:rPr>
          <w:rFonts w:ascii="方正仿宋_GBK" w:hAnsi="方正仿宋_GBK" w:eastAsia="方正仿宋_GBK" w:cs="方正仿宋_GBK"/>
          <w:sz w:val="32"/>
          <w:szCs w:val="32"/>
        </w:rPr>
        <w:t>1866.57</w:t>
      </w:r>
      <w:r>
        <w:rPr>
          <w:rFonts w:ascii="方正仿宋_GBK" w:hAnsi="方正仿宋_GBK" w:eastAsia="方正仿宋_GBK" w:cs="方正仿宋_GBK"/>
          <w:sz w:val="32"/>
          <w:szCs w:val="32"/>
          <w:shd w:val="clear" w:color="auto" w:fill="FFFFFF"/>
        </w:rPr>
        <w:t>万元。收支较上年决算数减少642.27万元，下降 25.60%，主要原因是年初结转和结余减少，本年未发放农村客运车辆燃油补贴项目资金，项目资金减少。</w:t>
      </w:r>
    </w:p>
    <w:p>
      <w:pPr>
        <w:pStyle w:val="6"/>
        <w:shd w:val="clear" w:color="auto" w:fill="FFFFFF"/>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2024年度收入合计1864.33万元，较上年决算数减少613.46，下降24.76%，主要原因是本年未发放农村客运车辆燃油补贴项目资金，项目资金收入减少。其中：财政拨款收入</w:t>
      </w:r>
      <w:r>
        <w:rPr>
          <w:rFonts w:ascii="方正仿宋_GBK" w:hAnsi="方正仿宋_GBK" w:eastAsia="方正仿宋_GBK" w:cs="方正仿宋_GBK"/>
          <w:sz w:val="32"/>
          <w:szCs w:val="32"/>
        </w:rPr>
        <w:t>1864.33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。此外，年初结转和结余</w:t>
      </w:r>
      <w:r>
        <w:rPr>
          <w:rFonts w:ascii="方正仿宋_GBK" w:hAnsi="方正仿宋_GBK" w:eastAsia="方正仿宋_GBK" w:cs="方正仿宋_GBK"/>
          <w:sz w:val="32"/>
          <w:szCs w:val="32"/>
        </w:rPr>
        <w:t>2.24</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1866.57</w:t>
      </w:r>
      <w:r>
        <w:rPr>
          <w:rFonts w:ascii="方正仿宋_GBK" w:hAnsi="方正仿宋_GBK" w:eastAsia="方正仿宋_GBK" w:cs="方正仿宋_GBK"/>
          <w:sz w:val="32"/>
          <w:szCs w:val="32"/>
          <w:shd w:val="clear" w:color="auto" w:fill="FFFFFF"/>
        </w:rPr>
        <w:t>万元，较上年决算数减少640.03万元，下降25.54%，主要原因是本年未发放农村客运车辆燃油补贴项目资金，项目资金支出减少。其中：基本支出</w:t>
      </w:r>
      <w:r>
        <w:rPr>
          <w:rFonts w:ascii="方正仿宋_GBK" w:hAnsi="方正仿宋_GBK" w:eastAsia="方正仿宋_GBK" w:cs="方正仿宋_GBK"/>
          <w:sz w:val="32"/>
          <w:szCs w:val="32"/>
        </w:rPr>
        <w:t>833.17</w:t>
      </w:r>
      <w:r>
        <w:rPr>
          <w:rFonts w:ascii="方正仿宋_GBK" w:hAnsi="方正仿宋_GBK" w:eastAsia="方正仿宋_GBK" w:cs="方正仿宋_GBK"/>
          <w:sz w:val="32"/>
          <w:szCs w:val="32"/>
          <w:shd w:val="clear" w:color="auto" w:fill="FFFFFF"/>
        </w:rPr>
        <w:t>万元，占44.64%；项目支出</w:t>
      </w:r>
      <w:r>
        <w:rPr>
          <w:rFonts w:ascii="方正仿宋_GBK" w:hAnsi="方正仿宋_GBK" w:eastAsia="方正仿宋_GBK" w:cs="方正仿宋_GBK"/>
          <w:sz w:val="32"/>
          <w:szCs w:val="32"/>
        </w:rPr>
        <w:t>1033.40</w:t>
      </w:r>
      <w:r>
        <w:rPr>
          <w:rFonts w:ascii="方正仿宋_GBK" w:hAnsi="方正仿宋_GBK" w:eastAsia="方正仿宋_GBK" w:cs="方正仿宋_GBK"/>
          <w:sz w:val="32"/>
          <w:szCs w:val="32"/>
          <w:shd w:val="clear" w:color="auto" w:fill="FFFFFF"/>
        </w:rPr>
        <w:t>万元，占55.36%。</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万元，较上年决算数减少2.24万元，下降100.00%，主要原因是按预算数列支费用，本年无结转和结余。</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（二）财政拨款收入支出决算总体情况说明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2024年度财政拨款收、支总计1866.57万元。与2023年相比，财政拨款收、支总计各减少642.27万元，下降25.60%，主要原因是年初结转和结余减少，本年未发放农村客运车辆燃油补贴项目资金，项目资金减少。</w:t>
      </w:r>
    </w:p>
    <w:p>
      <w:pPr>
        <w:pStyle w:val="12"/>
        <w:autoSpaceDE w:val="0"/>
        <w:spacing w:line="560" w:lineRule="exact"/>
        <w:ind w:firstLine="643"/>
        <w:jc w:val="both"/>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（三）一般公共预算财政拨款收入支出决算情况说明</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1864.33</w:t>
      </w:r>
      <w:r>
        <w:rPr>
          <w:rFonts w:ascii="方正仿宋_GBK" w:hAnsi="方正仿宋_GBK" w:eastAsia="方正仿宋_GBK" w:cs="方正仿宋_GBK"/>
          <w:sz w:val="32"/>
          <w:szCs w:val="32"/>
          <w:shd w:val="clear" w:color="auto" w:fill="FFFFFF"/>
        </w:rPr>
        <w:t>万元，较上年决算数减少613.46万元，下降24.76%。主要原因是本年未发放农村客运车辆燃油补贴项目资金，项目资金收入减少。较年初预算数减少153.76万元，下降7.62%，主要原因是农村客运车辆燃油补贴、农村客运车辆运营补贴、农村客运车辆保险等部分项目资金调剂收回，收入相应减少。此外，年初财政拨款结转和结余2.24万元。</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1866.57</w:t>
      </w:r>
      <w:r>
        <w:rPr>
          <w:rFonts w:ascii="方正仿宋_GBK" w:hAnsi="方正仿宋_GBK" w:eastAsia="方正仿宋_GBK" w:cs="方正仿宋_GBK"/>
          <w:sz w:val="32"/>
          <w:szCs w:val="32"/>
          <w:shd w:val="clear" w:color="auto" w:fill="FFFFFF"/>
        </w:rPr>
        <w:t>万元，较上年决算数减少640.03万元，下降25.54%。主要原因是本年未发放农村客运车辆燃油补贴项目资金，项目资金支出减少。较年初预算数减少151.52万元，下降7.51%。主要原因是农村客运车辆燃油补贴、农村客运车辆运营补贴、农村客运车辆保险等部分项目资金调剂收回，支出相应减少。</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万元，较上年决算数减少2.24万元，下降100.00%。主要原因是按预算数列支费用，本年无结转和结余。</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highlight w:val="yellow"/>
          <w:shd w:val="clear" w:color="auto" w:fill="FFFFFF"/>
        </w:rPr>
      </w:pPr>
      <w:r>
        <w:rPr>
          <w:rStyle w:val="10"/>
          <w:rFonts w:ascii="方正仿宋_GBK" w:hAnsi="方正仿宋_GBK" w:eastAsia="方正仿宋_GBK" w:cs="方正仿宋_GBK"/>
          <w:sz w:val="32"/>
          <w:szCs w:val="32"/>
          <w:shd w:val="clear" w:color="auto" w:fill="FFFFFF"/>
        </w:rPr>
        <w:t>4.比较情况。</w:t>
      </w:r>
      <w:r>
        <w:rPr>
          <w:rFonts w:ascii="方正仿宋_GBK" w:hAnsi="方正仿宋_GBK" w:eastAsia="方正仿宋_GBK" w:cs="方正仿宋_GBK"/>
          <w:sz w:val="32"/>
          <w:szCs w:val="32"/>
          <w:shd w:val="clear" w:color="auto" w:fill="FFFFFF"/>
        </w:rPr>
        <w:t>本部门2024年度一般公共预算财政拨款支出主要用于以下几个方面：</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（1）社会保障与就业支出</w:t>
      </w:r>
      <w:r>
        <w:rPr>
          <w:rFonts w:ascii="方正仿宋_GBK" w:hAnsi="方正仿宋_GBK" w:eastAsia="方正仿宋_GBK" w:cs="方正仿宋_GBK"/>
          <w:sz w:val="32"/>
          <w:szCs w:val="32"/>
        </w:rPr>
        <w:t>232.14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12.43%</w:t>
      </w:r>
      <w:r>
        <w:rPr>
          <w:rFonts w:ascii="方正仿宋_GBK" w:hAnsi="方正仿宋_GBK" w:eastAsia="方正仿宋_GBK" w:cs="方正仿宋_GBK"/>
          <w:sz w:val="32"/>
          <w:szCs w:val="32"/>
          <w:shd w:val="clear" w:color="auto" w:fill="FFFFFF"/>
        </w:rPr>
        <w:t>，较年初预算数增加169.99万元，增长273.51%。主要原因是</w:t>
      </w:r>
      <w:r>
        <w:rPr>
          <w:rFonts w:ascii="方正仿宋_GBK" w:eastAsia="方正仿宋_GBK"/>
          <w:sz w:val="32"/>
          <w:szCs w:val="32"/>
        </w:rPr>
        <w:t>财政追加退休职工健康疗养费，在职转退休一次性补贴等，相应支出增加</w:t>
      </w:r>
      <w:r>
        <w:rPr>
          <w:rFonts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（2）卫生健康支出</w:t>
      </w:r>
      <w:r>
        <w:rPr>
          <w:rFonts w:ascii="方正仿宋_GBK" w:hAnsi="方正仿宋_GBK" w:eastAsia="方正仿宋_GBK" w:cs="方正仿宋_GBK"/>
          <w:sz w:val="32"/>
          <w:szCs w:val="32"/>
        </w:rPr>
        <w:t>39.13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2.09%</w:t>
      </w:r>
      <w:r>
        <w:rPr>
          <w:rFonts w:ascii="方正仿宋_GBK" w:hAnsi="方正仿宋_GBK" w:eastAsia="方正仿宋_GBK" w:cs="方正仿宋_GBK"/>
          <w:sz w:val="32"/>
          <w:szCs w:val="32"/>
          <w:shd w:val="clear" w:color="auto" w:fill="FFFFFF"/>
        </w:rPr>
        <w:t>，较年初预算数减少2.26万元，下降5.46%。主要原因是</w:t>
      </w:r>
      <w:r>
        <w:rPr>
          <w:rFonts w:ascii="方正仿宋_GBK" w:eastAsia="方正仿宋_GBK"/>
          <w:sz w:val="32"/>
          <w:szCs w:val="32"/>
        </w:rPr>
        <w:t>在职转退休、减人减资等，相应减少支出。</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（3）交通运输支出</w:t>
      </w:r>
      <w:r>
        <w:rPr>
          <w:rFonts w:ascii="方正仿宋_GBK" w:hAnsi="方正仿宋_GBK" w:eastAsia="方正仿宋_GBK" w:cs="方正仿宋_GBK"/>
          <w:sz w:val="32"/>
          <w:szCs w:val="32"/>
        </w:rPr>
        <w:t>1566.86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83.95%</w:t>
      </w:r>
      <w:r>
        <w:rPr>
          <w:rFonts w:ascii="方正仿宋_GBK" w:hAnsi="方正仿宋_GBK" w:eastAsia="方正仿宋_GBK" w:cs="方正仿宋_GBK"/>
          <w:sz w:val="32"/>
          <w:szCs w:val="32"/>
          <w:shd w:val="clear" w:color="auto" w:fill="FFFFFF"/>
        </w:rPr>
        <w:t>，较年初预算数减少316.62万元，下降16.81%。主要原因是农村客运车辆燃油补贴、农村客运车辆运营补贴、农村客运车辆保险等部分项目资金调剂收回，相应减少支出。</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rPr>
        <w:t>住房保障支出28.44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1.53%</w:t>
      </w:r>
      <w:r>
        <w:rPr>
          <w:rFonts w:ascii="方正仿宋_GBK" w:hAnsi="方正仿宋_GBK" w:eastAsia="方正仿宋_GBK" w:cs="方正仿宋_GBK"/>
          <w:sz w:val="32"/>
          <w:szCs w:val="32"/>
          <w:shd w:val="clear" w:color="auto" w:fill="FFFFFF"/>
        </w:rPr>
        <w:t>，较年初预算数减少2.63万元，下降8.46%。主要原因是</w:t>
      </w:r>
      <w:r>
        <w:rPr>
          <w:rFonts w:ascii="方正仿宋_GBK" w:eastAsia="方正仿宋_GBK"/>
          <w:sz w:val="32"/>
          <w:szCs w:val="32"/>
        </w:rPr>
        <w:t>在职转退休、减人减资等，相应减少支出。</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（四）一般公共预算财政拨款基本支出决算情况说明</w:t>
      </w:r>
    </w:p>
    <w:p>
      <w:pPr>
        <w:pStyle w:val="6"/>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2024年度一般公共财政拨款基本支出</w:t>
      </w:r>
      <w:r>
        <w:rPr>
          <w:rFonts w:ascii="方正仿宋_GBK" w:hAnsi="方正仿宋_GBK" w:eastAsia="方正仿宋_GBK" w:cs="方正仿宋_GBK"/>
          <w:sz w:val="32"/>
          <w:szCs w:val="32"/>
        </w:rPr>
        <w:t>833.17</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763.08</w:t>
      </w:r>
      <w:r>
        <w:rPr>
          <w:rFonts w:ascii="方正仿宋_GBK" w:hAnsi="方正仿宋_GBK" w:eastAsia="方正仿宋_GBK" w:cs="方正仿宋_GBK"/>
          <w:sz w:val="32"/>
          <w:szCs w:val="32"/>
          <w:shd w:val="clear" w:color="auto" w:fill="FFFFFF"/>
        </w:rPr>
        <w:t>万元，较上年决算数增加15.70万元，增长2.10%，主要原因是基本工资、养老保险、职业年金等基数调整，</w:t>
      </w:r>
      <w:r>
        <w:rPr>
          <w:rFonts w:ascii="方正仿宋_GBK" w:eastAsia="方正仿宋_GBK"/>
          <w:sz w:val="32"/>
          <w:szCs w:val="32"/>
        </w:rPr>
        <w:t>相应支出增加。</w:t>
      </w:r>
      <w:r>
        <w:rPr>
          <w:rFonts w:ascii="方正仿宋_GBK" w:hAnsi="方正仿宋_GBK" w:eastAsia="方正仿宋_GBK" w:cs="方正仿宋_GBK"/>
          <w:sz w:val="32"/>
          <w:szCs w:val="32"/>
          <w:shd w:val="clear" w:color="auto" w:fill="FFFFFF"/>
        </w:rPr>
        <w:t>人员经费用途主要包括</w:t>
      </w:r>
      <w:r>
        <w:rPr>
          <w:rFonts w:ascii="方正仿宋_GBK" w:eastAsia="方正仿宋_GBK"/>
          <w:sz w:val="32"/>
          <w:szCs w:val="32"/>
        </w:rPr>
        <w:t>基本工资、津贴补贴、绩效工资、机关事业单位基本养老保险缴费、职业年金缴费、职工基本医疗保险缴费、其他社会保障缴费、住房公积金、医疗费、其他工资福利支出等。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70.08</w:t>
      </w:r>
      <w:r>
        <w:rPr>
          <w:rFonts w:ascii="方正仿宋_GBK" w:hAnsi="方正仿宋_GBK" w:eastAsia="方正仿宋_GBK" w:cs="方正仿宋_GBK"/>
          <w:sz w:val="32"/>
          <w:szCs w:val="32"/>
          <w:shd w:val="clear" w:color="auto" w:fill="FFFFFF"/>
        </w:rPr>
        <w:t>万元，较上年决算数减少5.58万元，下降7.37%，主要原因是本年严格按照预算资金列支，在职转退休，减人减资，支出相应减少。公用经费用途主要包括</w:t>
      </w:r>
      <w:r>
        <w:rPr>
          <w:rFonts w:ascii="方正仿宋_GBK" w:eastAsia="方正仿宋_GBK"/>
          <w:sz w:val="32"/>
          <w:szCs w:val="32"/>
        </w:rPr>
        <w:t>办公费、印刷费、电费、气费、水费、邮电费、物业管理费、差旅费、维修维护费、租赁费、培训费、劳务费、工会经费、福利费、公务用车运行维修费、专项业务费、其他商品和服务支出等。</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（五）政府性基金预算收支决算情况说明</w:t>
      </w:r>
    </w:p>
    <w:p>
      <w:pPr>
        <w:pStyle w:val="6"/>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本单位2024年度无政府性基金预算财政拨款收支。</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（六）国有资本经营预算财政拨款支出决算情况说明</w:t>
      </w:r>
    </w:p>
    <w:p>
      <w:pPr>
        <w:pStyle w:val="6"/>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本单位2024年度无国有资本经营预算财政拨款支出。</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三、“三公”经费情况说明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（一）“三公”经费支出总体情况说明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11.71</w:t>
      </w:r>
      <w:r>
        <w:rPr>
          <w:rFonts w:ascii="方正仿宋_GBK" w:hAnsi="方正仿宋_GBK" w:eastAsia="方正仿宋_GBK" w:cs="方正仿宋_GBK"/>
          <w:sz w:val="32"/>
          <w:szCs w:val="32"/>
          <w:shd w:val="clear" w:color="auto" w:fill="FFFFFF"/>
        </w:rPr>
        <w:t>万元，较年初预算数减少1.29万元，下降9.92%，主要原因是按年初预算数列支、</w:t>
      </w:r>
      <w:r>
        <w:rPr>
          <w:rFonts w:ascii="方正仿宋_GBK" w:eastAsia="方正仿宋_GBK"/>
          <w:sz w:val="32"/>
          <w:szCs w:val="32"/>
        </w:rPr>
        <w:t>厉行节约。</w:t>
      </w:r>
      <w:r>
        <w:rPr>
          <w:rFonts w:ascii="方正仿宋_GBK" w:hAnsi="方正仿宋_GBK" w:eastAsia="方正仿宋_GBK" w:cs="方正仿宋_GBK"/>
          <w:sz w:val="32"/>
          <w:szCs w:val="32"/>
          <w:shd w:val="clear" w:color="auto" w:fill="FFFFFF"/>
        </w:rPr>
        <w:t>较上年支出数减少0.12万元，下降1.01%，主要原因是按年初预算数列支、</w:t>
      </w:r>
      <w:r>
        <w:rPr>
          <w:rFonts w:ascii="方正仿宋_GBK" w:eastAsia="方正仿宋_GBK"/>
          <w:sz w:val="32"/>
          <w:szCs w:val="32"/>
        </w:rPr>
        <w:t>厉行节约</w:t>
      </w:r>
      <w:r>
        <w:rPr>
          <w:rFonts w:ascii="方正仿宋_GBK" w:hAnsi="方正仿宋_GBK" w:eastAsia="方正仿宋_GBK" w:cs="方正仿宋_GBK"/>
          <w:sz w:val="32"/>
          <w:szCs w:val="32"/>
          <w:shd w:val="clear" w:color="auto" w:fill="FFFFFF"/>
        </w:rPr>
        <w:t>。</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（二）“三公”经费分项支出情况</w:t>
      </w:r>
    </w:p>
    <w:p>
      <w:pPr>
        <w:widowControl w:val="0"/>
        <w:adjustRightInd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w:t>
      </w:r>
      <w:r>
        <w:rPr>
          <w:rFonts w:ascii="方正仿宋_GBK" w:eastAsia="方正仿宋_GBK"/>
          <w:sz w:val="32"/>
          <w:szCs w:val="32"/>
        </w:rPr>
        <w:t>增加0.00万元，增长0.00%，</w:t>
      </w:r>
      <w:r>
        <w:rPr>
          <w:rFonts w:ascii="方正仿宋_GBK" w:hAnsi="方正仿宋_GBK" w:eastAsia="方正仿宋_GBK" w:cs="方正仿宋_GBK"/>
          <w:sz w:val="32"/>
          <w:szCs w:val="32"/>
          <w:shd w:val="clear" w:color="auto" w:fill="FFFFFF"/>
        </w:rPr>
        <w:t>较上年支出数</w:t>
      </w:r>
      <w:r>
        <w:rPr>
          <w:rFonts w:ascii="方正仿宋_GBK" w:eastAsia="方正仿宋_GBK"/>
          <w:sz w:val="32"/>
          <w:szCs w:val="32"/>
        </w:rPr>
        <w:t>增加0.00万元，增长0.00%</w:t>
      </w:r>
      <w:r>
        <w:rPr>
          <w:rFonts w:ascii="方正仿宋_GBK" w:hAnsi="方正仿宋_GBK" w:eastAsia="方正仿宋_GBK" w:cs="方正仿宋_GBK"/>
          <w:sz w:val="32"/>
          <w:szCs w:val="32"/>
          <w:shd w:val="clear" w:color="auto" w:fill="FFFFFF"/>
        </w:rPr>
        <w:t>，</w:t>
      </w:r>
      <w:r>
        <w:rPr>
          <w:rFonts w:ascii="方正仿宋_GBK" w:eastAsia="方正仿宋_GBK"/>
          <w:sz w:val="32"/>
          <w:szCs w:val="32"/>
        </w:rPr>
        <w:t>与年初预算数和上年支出数持平。本单位2024年度未发生因公出国（境）费用。</w:t>
      </w:r>
    </w:p>
    <w:p>
      <w:pPr>
        <w:pStyle w:val="6"/>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万元，较年初预算数</w:t>
      </w:r>
      <w:r>
        <w:rPr>
          <w:rFonts w:ascii="方正仿宋_GBK" w:eastAsia="方正仿宋_GBK"/>
          <w:sz w:val="32"/>
          <w:szCs w:val="32"/>
        </w:rPr>
        <w:t>增加0.00万元，增长0.00%万元，</w:t>
      </w:r>
      <w:r>
        <w:rPr>
          <w:rFonts w:ascii="方正仿宋_GBK" w:hAnsi="方正仿宋_GBK" w:eastAsia="方正仿宋_GBK" w:cs="方正仿宋_GBK"/>
          <w:sz w:val="32"/>
          <w:szCs w:val="32"/>
          <w:shd w:val="clear" w:color="auto" w:fill="FFFFFF"/>
        </w:rPr>
        <w:t>较上年支出数增加</w:t>
      </w:r>
      <w:r>
        <w:rPr>
          <w:rFonts w:ascii="方正仿宋_GBK" w:eastAsia="方正仿宋_GBK"/>
          <w:sz w:val="32"/>
          <w:szCs w:val="32"/>
        </w:rPr>
        <w:t>0.00万元，增长0.00%</w:t>
      </w:r>
      <w:r>
        <w:rPr>
          <w:rFonts w:ascii="方正仿宋_GBK" w:hAnsi="方正仿宋_GBK" w:eastAsia="方正仿宋_GBK" w:cs="方正仿宋_GBK"/>
          <w:sz w:val="32"/>
          <w:szCs w:val="32"/>
          <w:shd w:val="clear" w:color="auto" w:fill="FFFFFF"/>
        </w:rPr>
        <w:t>，</w:t>
      </w:r>
      <w:r>
        <w:rPr>
          <w:rFonts w:ascii="方正仿宋_GBK" w:eastAsia="方正仿宋_GBK"/>
          <w:sz w:val="32"/>
          <w:szCs w:val="32"/>
        </w:rPr>
        <w:t>与年初预算数和上年支出数持平。本单位2024年度未发生</w:t>
      </w:r>
      <w:r>
        <w:rPr>
          <w:rFonts w:ascii="方正仿宋_GBK" w:hAnsi="方正仿宋_GBK" w:eastAsia="方正仿宋_GBK" w:cs="方正仿宋_GBK"/>
          <w:sz w:val="32"/>
          <w:szCs w:val="32"/>
          <w:shd w:val="clear" w:color="auto" w:fill="FFFFFF"/>
        </w:rPr>
        <w:t>车辆购置费用。</w:t>
      </w:r>
    </w:p>
    <w:p>
      <w:pPr>
        <w:widowControl w:val="0"/>
        <w:adjustRightInd w:val="0"/>
        <w:snapToGrid w:val="0"/>
        <w:spacing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公务车运行维护费</w:t>
      </w:r>
      <w:r>
        <w:rPr>
          <w:rFonts w:ascii="方正仿宋_GBK" w:hAnsi="方正仿宋_GBK" w:eastAsia="方正仿宋_GBK" w:cs="方正仿宋_GBK"/>
          <w:sz w:val="32"/>
          <w:szCs w:val="32"/>
        </w:rPr>
        <w:t>11.26</w:t>
      </w:r>
      <w:r>
        <w:rPr>
          <w:rFonts w:ascii="方正仿宋_GBK" w:hAnsi="方正仿宋_GBK" w:eastAsia="方正仿宋_GBK" w:cs="方正仿宋_GBK"/>
          <w:sz w:val="32"/>
          <w:szCs w:val="32"/>
          <w:shd w:val="clear" w:color="auto" w:fill="FFFFFF"/>
        </w:rPr>
        <w:t>万元，主要用于</w:t>
      </w:r>
      <w:r>
        <w:rPr>
          <w:rFonts w:ascii="方正仿宋_GBK" w:eastAsia="方正仿宋_GBK"/>
          <w:sz w:val="32"/>
          <w:szCs w:val="32"/>
        </w:rPr>
        <w:t>企业指导、安全检查，区内区外因公出行等所需燃料费、维修费、过路过桥费、车辆保险费等。</w:t>
      </w:r>
      <w:r>
        <w:rPr>
          <w:rFonts w:ascii="方正仿宋_GBK" w:hAnsi="方正仿宋_GBK" w:eastAsia="方正仿宋_GBK" w:cs="方正仿宋_GBK"/>
          <w:sz w:val="32"/>
          <w:szCs w:val="32"/>
          <w:shd w:val="clear" w:color="auto" w:fill="FFFFFF"/>
        </w:rPr>
        <w:t>较年初预算数减少0.74万元，下降5.69%，主要原因是</w:t>
      </w:r>
      <w:r>
        <w:rPr>
          <w:rFonts w:ascii="方正仿宋_GBK" w:eastAsia="方正仿宋_GBK"/>
          <w:sz w:val="32"/>
          <w:szCs w:val="32"/>
        </w:rPr>
        <w:t>严格执行公务车管理规定，厉行节约。</w:t>
      </w:r>
      <w:r>
        <w:rPr>
          <w:rFonts w:ascii="方正仿宋_GBK" w:hAnsi="方正仿宋_GBK" w:eastAsia="方正仿宋_GBK" w:cs="方正仿宋_GBK"/>
          <w:sz w:val="32"/>
          <w:szCs w:val="32"/>
          <w:shd w:val="clear" w:color="auto" w:fill="FFFFFF"/>
        </w:rPr>
        <w:t>较上年支出数增加0.07万元，增长0.62%，主要原因是车辆老化以及偏远乡镇企业检查和线路勘探等出行偏多，</w:t>
      </w:r>
      <w:r>
        <w:rPr>
          <w:rFonts w:ascii="方正仿宋_GBK" w:eastAsia="方正仿宋_GBK"/>
          <w:sz w:val="32"/>
          <w:szCs w:val="32"/>
        </w:rPr>
        <w:t>燃料费、维修费、过路过桥费相应增加。</w:t>
      </w:r>
    </w:p>
    <w:p>
      <w:pPr>
        <w:pStyle w:val="6"/>
        <w:snapToGrid w:val="0"/>
        <w:spacing w:before="0" w:beforeAutospacing="0" w:after="0" w:afterAutospacing="0" w:line="560"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公务接待费</w:t>
      </w:r>
      <w:r>
        <w:rPr>
          <w:rFonts w:ascii="方正仿宋_GBK" w:hAnsi="方正仿宋_GBK" w:eastAsia="方正仿宋_GBK" w:cs="方正仿宋_GBK"/>
          <w:sz w:val="32"/>
          <w:szCs w:val="32"/>
        </w:rPr>
        <w:t>0.45</w:t>
      </w:r>
      <w:r>
        <w:rPr>
          <w:rFonts w:ascii="方正仿宋_GBK" w:hAnsi="方正仿宋_GBK" w:eastAsia="方正仿宋_GBK" w:cs="方正仿宋_GBK"/>
          <w:sz w:val="32"/>
          <w:szCs w:val="32"/>
          <w:shd w:val="clear" w:color="auto" w:fill="FFFFFF"/>
        </w:rPr>
        <w:t>万元，</w:t>
      </w:r>
      <w:r>
        <w:rPr>
          <w:rFonts w:ascii="方正仿宋_GBK" w:eastAsia="方正仿宋_GBK"/>
          <w:sz w:val="32"/>
          <w:szCs w:val="32"/>
        </w:rPr>
        <w:t>主要用于接待其他区县相关单位到我单位学习调研道路运输工作、接受相关部门检查指导工作发生的接待支出。</w:t>
      </w:r>
      <w:r>
        <w:rPr>
          <w:rFonts w:ascii="方正仿宋_GBK" w:hAnsi="方正仿宋_GBK" w:eastAsia="方正仿宋_GBK" w:cs="方正仿宋_GBK"/>
          <w:sz w:val="32"/>
          <w:szCs w:val="32"/>
          <w:shd w:val="clear" w:color="auto" w:fill="FFFFFF"/>
        </w:rPr>
        <w:t>较年初预算数减少0.55万元，下降55.00%，主要原因是强化公务接待支出管理，严格遵守公务接待开支范围和开支标准，严格控制陪餐人数，应由接待对象承担的费用一律由接待对象自行支付。较上年支出数减少0.19万元，下降29.68%，主要原因是</w:t>
      </w:r>
      <w:r>
        <w:rPr>
          <w:rFonts w:ascii="方正仿宋_GBK" w:eastAsia="方正仿宋_GBK"/>
          <w:sz w:val="32"/>
          <w:szCs w:val="32"/>
        </w:rPr>
        <w:t>厉行节约，</w:t>
      </w:r>
      <w:r>
        <w:rPr>
          <w:rFonts w:ascii="方正仿宋_GBK" w:hAnsi="方正仿宋_GBK" w:eastAsia="方正仿宋_GBK" w:cs="方正仿宋_GBK"/>
          <w:sz w:val="32"/>
          <w:szCs w:val="32"/>
          <w:shd w:val="clear" w:color="auto" w:fill="FFFFFF"/>
        </w:rPr>
        <w:t>强化公务接待支出管理，严格遵守公务接待开支范围和开支标准，严格控制陪餐人数</w:t>
      </w:r>
      <w:r>
        <w:rPr>
          <w:rFonts w:ascii="方正仿宋_GBK" w:eastAsia="方正仿宋_GBK"/>
          <w:sz w:val="32"/>
          <w:szCs w:val="32"/>
        </w:rPr>
        <w:t>，</w:t>
      </w:r>
      <w:r>
        <w:rPr>
          <w:rFonts w:ascii="方正仿宋_GBK" w:hAnsi="方正仿宋_GBK" w:eastAsia="方正仿宋_GBK" w:cs="方正仿宋_GBK"/>
          <w:sz w:val="32"/>
          <w:szCs w:val="32"/>
          <w:shd w:val="clear" w:color="auto" w:fill="FFFFFF"/>
        </w:rPr>
        <w:t>应由接待对象承担的费用一律由接待对象自行支付。</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（三）“三公”经费实物量情况</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50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人。2024年本部门人均接待费</w:t>
      </w:r>
      <w:r>
        <w:rPr>
          <w:rFonts w:ascii="方正仿宋_GBK" w:hAnsi="方正仿宋_GBK" w:eastAsia="方正仿宋_GBK" w:cs="方正仿宋_GBK"/>
          <w:sz w:val="32"/>
          <w:szCs w:val="32"/>
        </w:rPr>
        <w:t>90.76</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1.87</w:t>
      </w:r>
      <w:r>
        <w:rPr>
          <w:rFonts w:ascii="方正仿宋_GBK" w:hAnsi="方正仿宋_GBK" w:eastAsia="方正仿宋_GBK" w:cs="方正仿宋_GBK"/>
          <w:sz w:val="32"/>
          <w:szCs w:val="32"/>
          <w:shd w:val="clear" w:color="auto" w:fill="FFFFFF"/>
        </w:rPr>
        <w:t>万元。</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（一）财政拨款会议费和培训费情况说明</w:t>
      </w:r>
    </w:p>
    <w:p>
      <w:pPr>
        <w:widowControl w:val="0"/>
        <w:adjustRightInd w:val="0"/>
        <w:snapToGrid w:val="0"/>
        <w:spacing w:line="600" w:lineRule="exact"/>
        <w:ind w:firstLine="640" w:firstLineChars="200"/>
        <w:jc w:val="both"/>
        <w:rPr>
          <w:rFonts w:hint="default" w:ascii="方正仿宋_GBK" w:eastAsia="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万元，较上年决算数无增减，主要原因是本年未发生会议费支出。本年度培训费支出</w:t>
      </w:r>
      <w:r>
        <w:rPr>
          <w:rFonts w:ascii="方正仿宋_GBK" w:hAnsi="方正仿宋_GBK" w:eastAsia="方正仿宋_GBK" w:cs="方正仿宋_GBK"/>
          <w:sz w:val="32"/>
          <w:szCs w:val="32"/>
        </w:rPr>
        <w:t>0.10</w:t>
      </w:r>
      <w:r>
        <w:rPr>
          <w:rFonts w:ascii="方正仿宋_GBK" w:hAnsi="方正仿宋_GBK" w:eastAsia="方正仿宋_GBK" w:cs="方正仿宋_GBK"/>
          <w:sz w:val="32"/>
          <w:szCs w:val="32"/>
          <w:shd w:val="clear" w:color="auto" w:fill="FFFFFF"/>
        </w:rPr>
        <w:t>万元，较上年决算数减少0.55万元，下降84.62%，主要原因是本年</w:t>
      </w:r>
      <w:r>
        <w:rPr>
          <w:rFonts w:ascii="方正仿宋_GBK" w:eastAsia="方正仿宋_GBK"/>
          <w:sz w:val="32"/>
          <w:szCs w:val="32"/>
        </w:rPr>
        <w:t>培训事项减少，培训费用支出相应减少。</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（二）机关运行经费情况说明</w:t>
      </w:r>
    </w:p>
    <w:p>
      <w:pPr>
        <w:pStyle w:val="6"/>
        <w:adjustRightInd w:val="0"/>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（三）国有资产占用情况说明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截至2024年12月31日，本部门共有车辆</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（四）政府采购支出情况说明</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2024年度本部门政府采购支出总额</w:t>
      </w:r>
      <w:r>
        <w:rPr>
          <w:rFonts w:ascii="方正仿宋_GBK" w:hAnsi="方正仿宋_GBK" w:eastAsia="方正仿宋_GBK" w:cs="方正仿宋_GBK"/>
          <w:sz w:val="32"/>
          <w:szCs w:val="32"/>
        </w:rPr>
        <w:t>374.40</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374.40</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374.40万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374.40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。主要用于</w:t>
      </w:r>
      <w:r>
        <w:rPr>
          <w:rFonts w:ascii="方正仿宋_GBK" w:hAnsi="方正仿宋_GBK" w:eastAsia="方正仿宋_GBK" w:cs="方正仿宋_GBK"/>
          <w:sz w:val="32"/>
          <w:szCs w:val="32"/>
        </w:rPr>
        <w:t>涪陵区公共交通人脸识别系统建设项目。</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五、预算绩效管理情况说明</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（一）单位自评情况</w:t>
      </w:r>
    </w:p>
    <w:p>
      <w:pPr>
        <w:pStyle w:val="13"/>
        <w:autoSpaceDE w:val="0"/>
        <w:spacing w:before="0" w:beforeAutospacing="0" w:after="0" w:afterAutospacing="0" w:line="560" w:lineRule="exact"/>
        <w:ind w:firstLine="640"/>
        <w:rPr>
          <w:rFonts w:ascii="方正仿宋_GBK" w:eastAsia="方正仿宋_GBK" w:cs="宋体"/>
          <w:sz w:val="32"/>
          <w:szCs w:val="32"/>
          <w:highlight w:val="yellow"/>
        </w:rPr>
      </w:pPr>
      <w:r>
        <w:rPr>
          <w:rFonts w:hint="eastAsia" w:ascii="方正仿宋_GBK" w:hAnsi="方正仿宋_GBK" w:eastAsia="方正仿宋_GBK" w:cs="方正仿宋_GBK"/>
          <w:sz w:val="32"/>
          <w:szCs w:val="32"/>
          <w:shd w:val="clear" w:color="auto" w:fill="FFFFFF"/>
        </w:rPr>
        <w:t>根据预算绩效管理要求，我单位对10个项目开展了绩效评价。</w:t>
      </w:r>
    </w:p>
    <w:p>
      <w:pPr>
        <w:pStyle w:val="13"/>
        <w:keepNext w:val="0"/>
        <w:keepLines w:val="0"/>
        <w:pageBreakBefore w:val="0"/>
        <w:widowControl/>
        <w:kinsoku/>
        <w:wordWrap/>
        <w:overflowPunct/>
        <w:topLinePunct w:val="0"/>
        <w:autoSpaceDE w:val="0"/>
        <w:autoSpaceDN/>
        <w:bidi w:val="0"/>
        <w:adjustRightInd/>
        <w:snapToGrid/>
        <w:spacing w:before="0" w:beforeAutospacing="0" w:after="0" w:afterAutospacing="0" w:line="560" w:lineRule="exact"/>
        <w:ind w:firstLine="640" w:firstLineChars="200"/>
        <w:textAlignment w:val="auto"/>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1.项目支出绩效自评汇总表</w:t>
      </w:r>
    </w:p>
    <w:tbl>
      <w:tblPr>
        <w:tblStyle w:val="7"/>
        <w:tblW w:w="5438" w:type="pct"/>
        <w:tblInd w:w="-176" w:type="dxa"/>
        <w:tblLayout w:type="fixed"/>
        <w:tblCellMar>
          <w:top w:w="0" w:type="dxa"/>
          <w:left w:w="108" w:type="dxa"/>
          <w:bottom w:w="0" w:type="dxa"/>
          <w:right w:w="108" w:type="dxa"/>
        </w:tblCellMar>
      </w:tblPr>
      <w:tblGrid>
        <w:gridCol w:w="996"/>
        <w:gridCol w:w="6368"/>
        <w:gridCol w:w="1844"/>
      </w:tblGrid>
      <w:tr>
        <w:tblPrEx>
          <w:tblCellMar>
            <w:top w:w="0" w:type="dxa"/>
            <w:left w:w="108" w:type="dxa"/>
            <w:bottom w:w="0" w:type="dxa"/>
            <w:right w:w="108" w:type="dxa"/>
          </w:tblCellMar>
        </w:tblPrEx>
        <w:trPr>
          <w:trHeight w:val="559" w:hRule="atLeast"/>
        </w:trPr>
        <w:tc>
          <w:tcPr>
            <w:tcW w:w="540" w:type="pct"/>
            <w:tcBorders>
              <w:top w:val="single" w:color="auto" w:sz="4" w:space="0"/>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序号</w:t>
            </w:r>
          </w:p>
        </w:tc>
        <w:tc>
          <w:tcPr>
            <w:tcW w:w="3457"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项目名称</w:t>
            </w:r>
          </w:p>
        </w:tc>
        <w:tc>
          <w:tcPr>
            <w:tcW w:w="1001" w:type="pct"/>
            <w:tcBorders>
              <w:top w:val="single" w:color="auto" w:sz="4" w:space="0"/>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自评得分（分）</w:t>
            </w:r>
          </w:p>
        </w:tc>
      </w:tr>
      <w:tr>
        <w:tblPrEx>
          <w:tblCellMar>
            <w:top w:w="0" w:type="dxa"/>
            <w:left w:w="108" w:type="dxa"/>
            <w:bottom w:w="0" w:type="dxa"/>
            <w:right w:w="108" w:type="dxa"/>
          </w:tblCellMar>
        </w:tblPrEx>
        <w:trPr>
          <w:trHeight w:val="559" w:hRule="atLeast"/>
        </w:trPr>
        <w:tc>
          <w:tcPr>
            <w:tcW w:w="540"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1</w:t>
            </w:r>
          </w:p>
        </w:tc>
        <w:tc>
          <w:tcPr>
            <w:tcW w:w="3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道路运输事务机构专项转移支付</w:t>
            </w:r>
          </w:p>
        </w:tc>
        <w:tc>
          <w:tcPr>
            <w:tcW w:w="100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100</w:t>
            </w:r>
          </w:p>
        </w:tc>
      </w:tr>
      <w:tr>
        <w:tblPrEx>
          <w:tblCellMar>
            <w:top w:w="0" w:type="dxa"/>
            <w:left w:w="108" w:type="dxa"/>
            <w:bottom w:w="0" w:type="dxa"/>
            <w:right w:w="108" w:type="dxa"/>
          </w:tblCellMar>
        </w:tblPrEx>
        <w:trPr>
          <w:trHeight w:val="559" w:hRule="atLeast"/>
        </w:trPr>
        <w:tc>
          <w:tcPr>
            <w:tcW w:w="540"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2</w:t>
            </w:r>
          </w:p>
        </w:tc>
        <w:tc>
          <w:tcPr>
            <w:tcW w:w="3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道路运输事务中心遗属生活补助</w:t>
            </w:r>
          </w:p>
        </w:tc>
        <w:tc>
          <w:tcPr>
            <w:tcW w:w="100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100</w:t>
            </w:r>
          </w:p>
        </w:tc>
      </w:tr>
      <w:tr>
        <w:tblPrEx>
          <w:tblCellMar>
            <w:top w:w="0" w:type="dxa"/>
            <w:left w:w="108" w:type="dxa"/>
            <w:bottom w:w="0" w:type="dxa"/>
            <w:right w:w="108" w:type="dxa"/>
          </w:tblCellMar>
        </w:tblPrEx>
        <w:trPr>
          <w:trHeight w:val="559" w:hRule="atLeast"/>
        </w:trPr>
        <w:tc>
          <w:tcPr>
            <w:tcW w:w="540"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3</w:t>
            </w:r>
          </w:p>
        </w:tc>
        <w:tc>
          <w:tcPr>
            <w:tcW w:w="3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农村客运车辆运营补贴</w:t>
            </w:r>
          </w:p>
        </w:tc>
        <w:tc>
          <w:tcPr>
            <w:tcW w:w="100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100</w:t>
            </w:r>
          </w:p>
        </w:tc>
      </w:tr>
      <w:tr>
        <w:tblPrEx>
          <w:tblCellMar>
            <w:top w:w="0" w:type="dxa"/>
            <w:left w:w="108" w:type="dxa"/>
            <w:bottom w:w="0" w:type="dxa"/>
            <w:right w:w="108" w:type="dxa"/>
          </w:tblCellMar>
        </w:tblPrEx>
        <w:trPr>
          <w:trHeight w:val="559" w:hRule="atLeast"/>
        </w:trPr>
        <w:tc>
          <w:tcPr>
            <w:tcW w:w="540"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4</w:t>
            </w:r>
          </w:p>
        </w:tc>
        <w:tc>
          <w:tcPr>
            <w:tcW w:w="3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道路运输安全服务中心运行</w:t>
            </w:r>
          </w:p>
        </w:tc>
        <w:tc>
          <w:tcPr>
            <w:tcW w:w="100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100</w:t>
            </w:r>
          </w:p>
        </w:tc>
      </w:tr>
      <w:tr>
        <w:trPr>
          <w:trHeight w:val="559" w:hRule="atLeast"/>
        </w:trPr>
        <w:tc>
          <w:tcPr>
            <w:tcW w:w="540"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5</w:t>
            </w:r>
          </w:p>
        </w:tc>
        <w:tc>
          <w:tcPr>
            <w:tcW w:w="3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农村客运车辆保险</w:t>
            </w:r>
          </w:p>
        </w:tc>
        <w:tc>
          <w:tcPr>
            <w:tcW w:w="100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100</w:t>
            </w:r>
          </w:p>
        </w:tc>
      </w:tr>
      <w:tr>
        <w:tblPrEx>
          <w:tblCellMar>
            <w:top w:w="0" w:type="dxa"/>
            <w:left w:w="108" w:type="dxa"/>
            <w:bottom w:w="0" w:type="dxa"/>
            <w:right w:w="108" w:type="dxa"/>
          </w:tblCellMar>
        </w:tblPrEx>
        <w:trPr>
          <w:trHeight w:val="559" w:hRule="atLeast"/>
        </w:trPr>
        <w:tc>
          <w:tcPr>
            <w:tcW w:w="540"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6</w:t>
            </w:r>
          </w:p>
        </w:tc>
        <w:tc>
          <w:tcPr>
            <w:tcW w:w="3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道路运输行业管理</w:t>
            </w:r>
          </w:p>
        </w:tc>
        <w:tc>
          <w:tcPr>
            <w:tcW w:w="100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100</w:t>
            </w:r>
          </w:p>
        </w:tc>
      </w:tr>
      <w:tr>
        <w:trPr>
          <w:trHeight w:val="559" w:hRule="atLeast"/>
        </w:trPr>
        <w:tc>
          <w:tcPr>
            <w:tcW w:w="540"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7</w:t>
            </w:r>
          </w:p>
        </w:tc>
        <w:tc>
          <w:tcPr>
            <w:tcW w:w="3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从业人员考试工作经费</w:t>
            </w:r>
          </w:p>
        </w:tc>
        <w:tc>
          <w:tcPr>
            <w:tcW w:w="100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100</w:t>
            </w:r>
          </w:p>
        </w:tc>
      </w:tr>
      <w:tr>
        <w:tblPrEx>
          <w:tblCellMar>
            <w:top w:w="0" w:type="dxa"/>
            <w:left w:w="108" w:type="dxa"/>
            <w:bottom w:w="0" w:type="dxa"/>
            <w:right w:w="108" w:type="dxa"/>
          </w:tblCellMar>
        </w:tblPrEx>
        <w:trPr>
          <w:trHeight w:val="559" w:hRule="atLeast"/>
        </w:trPr>
        <w:tc>
          <w:tcPr>
            <w:tcW w:w="540"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8</w:t>
            </w:r>
          </w:p>
        </w:tc>
        <w:tc>
          <w:tcPr>
            <w:tcW w:w="3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出租车行业管理</w:t>
            </w:r>
          </w:p>
        </w:tc>
        <w:tc>
          <w:tcPr>
            <w:tcW w:w="100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100</w:t>
            </w:r>
          </w:p>
        </w:tc>
      </w:tr>
      <w:tr>
        <w:tblPrEx>
          <w:tblCellMar>
            <w:top w:w="0" w:type="dxa"/>
            <w:left w:w="108" w:type="dxa"/>
            <w:bottom w:w="0" w:type="dxa"/>
            <w:right w:w="108" w:type="dxa"/>
          </w:tblCellMar>
        </w:tblPrEx>
        <w:trPr>
          <w:trHeight w:val="559" w:hRule="atLeast"/>
        </w:trPr>
        <w:tc>
          <w:tcPr>
            <w:tcW w:w="540"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9</w:t>
            </w:r>
          </w:p>
        </w:tc>
        <w:tc>
          <w:tcPr>
            <w:tcW w:w="3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证牌卡制作工作经费</w:t>
            </w:r>
          </w:p>
        </w:tc>
        <w:tc>
          <w:tcPr>
            <w:tcW w:w="100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100</w:t>
            </w:r>
          </w:p>
        </w:tc>
      </w:tr>
      <w:tr>
        <w:tblPrEx>
          <w:tblCellMar>
            <w:top w:w="0" w:type="dxa"/>
            <w:left w:w="108" w:type="dxa"/>
            <w:bottom w:w="0" w:type="dxa"/>
            <w:right w:w="108" w:type="dxa"/>
          </w:tblCellMar>
        </w:tblPrEx>
        <w:trPr>
          <w:trHeight w:val="559" w:hRule="atLeast"/>
        </w:trPr>
        <w:tc>
          <w:tcPr>
            <w:tcW w:w="540" w:type="pct"/>
            <w:tcBorders>
              <w:top w:val="nil"/>
              <w:left w:val="single" w:color="auto" w:sz="4" w:space="0"/>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10</w:t>
            </w:r>
          </w:p>
        </w:tc>
        <w:tc>
          <w:tcPr>
            <w:tcW w:w="3457"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办公设备购置</w:t>
            </w:r>
          </w:p>
        </w:tc>
        <w:tc>
          <w:tcPr>
            <w:tcW w:w="1001" w:type="pct"/>
            <w:tcBorders>
              <w:top w:val="nil"/>
              <w:left w:val="nil"/>
              <w:bottom w:val="single" w:color="auto" w:sz="4" w:space="0"/>
              <w:right w:val="single" w:color="auto" w:sz="4" w:space="0"/>
            </w:tcBorders>
            <w:shd w:val="clear" w:color="auto" w:fill="auto"/>
            <w:noWrap/>
            <w:vAlign w:val="center"/>
          </w:tcPr>
          <w:p>
            <w:pPr>
              <w:jc w:val="center"/>
              <w:rPr>
                <w:rFonts w:hint="default" w:cs="宋体"/>
                <w:color w:val="000000"/>
                <w:sz w:val="21"/>
              </w:rPr>
            </w:pPr>
            <w:r>
              <w:rPr>
                <w:rFonts w:cs="宋体"/>
                <w:color w:val="000000"/>
                <w:sz w:val="21"/>
              </w:rPr>
              <w:t>100</w:t>
            </w:r>
          </w:p>
        </w:tc>
      </w:tr>
    </w:tbl>
    <w:p>
      <w:pPr>
        <w:pStyle w:val="13"/>
        <w:spacing w:before="0" w:beforeAutospacing="0" w:after="0" w:afterAutospacing="0" w:line="560" w:lineRule="exact"/>
        <w:ind w:firstLine="63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2.项目支出绩效自评表</w:t>
      </w:r>
    </w:p>
    <w:tbl>
      <w:tblPr>
        <w:tblStyle w:val="7"/>
        <w:tblW w:w="5442" w:type="pct"/>
        <w:tblInd w:w="-176" w:type="dxa"/>
        <w:tblLayout w:type="fixed"/>
        <w:tblCellMar>
          <w:top w:w="0" w:type="dxa"/>
          <w:left w:w="108" w:type="dxa"/>
          <w:bottom w:w="0" w:type="dxa"/>
          <w:right w:w="108" w:type="dxa"/>
        </w:tblCellMar>
      </w:tblPr>
      <w:tblGrid>
        <w:gridCol w:w="1560"/>
        <w:gridCol w:w="138"/>
        <w:gridCol w:w="697"/>
        <w:gridCol w:w="721"/>
        <w:gridCol w:w="826"/>
        <w:gridCol w:w="26"/>
        <w:gridCol w:w="398"/>
        <w:gridCol w:w="453"/>
        <w:gridCol w:w="407"/>
        <w:gridCol w:w="302"/>
        <w:gridCol w:w="687"/>
        <w:gridCol w:w="9"/>
        <w:gridCol w:w="158"/>
        <w:gridCol w:w="708"/>
        <w:gridCol w:w="289"/>
        <w:gridCol w:w="418"/>
        <w:gridCol w:w="709"/>
        <w:gridCol w:w="708"/>
      </w:tblGrid>
      <w:tr>
        <w:tblPrEx>
          <w:tblCellMar>
            <w:top w:w="0" w:type="dxa"/>
            <w:left w:w="108" w:type="dxa"/>
            <w:bottom w:w="0" w:type="dxa"/>
            <w:right w:w="108" w:type="dxa"/>
          </w:tblCellMar>
        </w:tblPrEx>
        <w:trPr>
          <w:trHeight w:val="480" w:hRule="atLeast"/>
        </w:trPr>
        <w:tc>
          <w:tcPr>
            <w:tcW w:w="846" w:type="pct"/>
            <w:tcBorders>
              <w:top w:val="single" w:color="auto" w:sz="4" w:space="0"/>
              <w:left w:val="single" w:color="auto" w:sz="4" w:space="0"/>
              <w:bottom w:val="single" w:color="auto" w:sz="4" w:space="0"/>
              <w:right w:val="single" w:color="auto" w:sz="4" w:space="0"/>
            </w:tcBorders>
            <w:shd w:val="clear" w:color="auto" w:fill="auto"/>
            <w:vAlign w:val="center"/>
          </w:tcPr>
          <w:p>
            <w:pPr>
              <w:rPr>
                <w:rFonts w:hint="default" w:cs="宋体"/>
                <w:b/>
                <w:bCs/>
                <w:color w:val="000000"/>
                <w:sz w:val="21"/>
              </w:rPr>
            </w:pPr>
            <w:r>
              <w:rPr>
                <w:rFonts w:cs="宋体"/>
                <w:b/>
                <w:bCs/>
                <w:color w:val="000000"/>
                <w:sz w:val="21"/>
              </w:rPr>
              <w:t>项目名称：</w:t>
            </w:r>
          </w:p>
        </w:tc>
        <w:tc>
          <w:tcPr>
            <w:tcW w:w="1292" w:type="pct"/>
            <w:gridSpan w:val="4"/>
            <w:tcBorders>
              <w:top w:val="single" w:color="auto" w:sz="4" w:space="0"/>
              <w:left w:val="nil"/>
              <w:bottom w:val="single" w:color="auto" w:sz="4" w:space="0"/>
              <w:right w:val="single" w:color="auto" w:sz="4" w:space="0"/>
            </w:tcBorders>
            <w:shd w:val="clear" w:color="auto" w:fill="auto"/>
            <w:vAlign w:val="center"/>
          </w:tcPr>
          <w:p>
            <w:pPr>
              <w:rPr>
                <w:rFonts w:hint="default" w:cs="宋体"/>
                <w:sz w:val="21"/>
              </w:rPr>
            </w:pPr>
            <w:r>
              <w:rPr>
                <w:rFonts w:cs="宋体"/>
                <w:color w:val="000000"/>
                <w:sz w:val="21"/>
              </w:rPr>
              <w:t>道路运输安全服务中心运行</w:t>
            </w:r>
          </w:p>
        </w:tc>
        <w:tc>
          <w:tcPr>
            <w:tcW w:w="697" w:type="pct"/>
            <w:gridSpan w:val="4"/>
            <w:tcBorders>
              <w:top w:val="single" w:color="auto" w:sz="4" w:space="0"/>
              <w:left w:val="nil"/>
              <w:bottom w:val="single" w:color="auto" w:sz="4" w:space="0"/>
              <w:right w:val="single" w:color="auto" w:sz="4" w:space="0"/>
            </w:tcBorders>
            <w:shd w:val="clear" w:color="auto" w:fill="auto"/>
            <w:vAlign w:val="center"/>
          </w:tcPr>
          <w:p>
            <w:pPr>
              <w:jc w:val="right"/>
              <w:rPr>
                <w:rFonts w:hint="default" w:cs="宋体"/>
                <w:b/>
                <w:bCs/>
                <w:color w:val="000000"/>
                <w:sz w:val="21"/>
              </w:rPr>
            </w:pPr>
            <w:r>
              <w:rPr>
                <w:rFonts w:cs="宋体"/>
                <w:b/>
                <w:bCs/>
                <w:color w:val="000000"/>
                <w:sz w:val="21"/>
              </w:rPr>
              <w:t>执行率得分（分）：</w:t>
            </w:r>
          </w:p>
        </w:tc>
        <w:tc>
          <w:tcPr>
            <w:tcW w:w="537" w:type="pct"/>
            <w:gridSpan w:val="2"/>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sz w:val="21"/>
              </w:rPr>
            </w:pPr>
            <w:r>
              <w:rPr>
                <w:rFonts w:cs="宋体"/>
                <w:color w:val="000000"/>
                <w:sz w:val="21"/>
              </w:rPr>
              <w:t>10</w:t>
            </w:r>
          </w:p>
        </w:tc>
        <w:tc>
          <w:tcPr>
            <w:tcW w:w="632" w:type="pct"/>
            <w:gridSpan w:val="4"/>
            <w:tcBorders>
              <w:top w:val="single" w:color="auto" w:sz="4" w:space="0"/>
              <w:left w:val="nil"/>
              <w:bottom w:val="single" w:color="auto" w:sz="4" w:space="0"/>
              <w:right w:val="single" w:color="auto" w:sz="4" w:space="0"/>
            </w:tcBorders>
            <w:shd w:val="clear" w:color="auto" w:fill="auto"/>
            <w:vAlign w:val="center"/>
          </w:tcPr>
          <w:p>
            <w:pPr>
              <w:rPr>
                <w:rFonts w:hint="default" w:cs="宋体"/>
                <w:b/>
                <w:bCs/>
                <w:color w:val="000000"/>
                <w:sz w:val="21"/>
              </w:rPr>
            </w:pPr>
            <w:r>
              <w:rPr>
                <w:rFonts w:cs="宋体"/>
                <w:b/>
                <w:bCs/>
                <w:color w:val="000000"/>
                <w:sz w:val="21"/>
              </w:rPr>
              <w:t>自评总分（分）：</w:t>
            </w:r>
          </w:p>
        </w:tc>
        <w:tc>
          <w:tcPr>
            <w:tcW w:w="997" w:type="pct"/>
            <w:gridSpan w:val="3"/>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color w:val="000000"/>
                <w:sz w:val="21"/>
              </w:rPr>
            </w:pPr>
            <w:r>
              <w:rPr>
                <w:rFonts w:cs="宋体"/>
                <w:color w:val="000000"/>
                <w:sz w:val="21"/>
              </w:rPr>
              <w:t>100</w:t>
            </w:r>
          </w:p>
        </w:tc>
      </w:tr>
      <w:tr>
        <w:tblPrEx>
          <w:tblCellMar>
            <w:top w:w="0" w:type="dxa"/>
            <w:left w:w="108" w:type="dxa"/>
            <w:bottom w:w="0" w:type="dxa"/>
            <w:right w:w="108" w:type="dxa"/>
          </w:tblCellMar>
        </w:tblPrEx>
        <w:trPr>
          <w:trHeight w:val="882" w:hRule="atLeast"/>
        </w:trPr>
        <w:tc>
          <w:tcPr>
            <w:tcW w:w="5000" w:type="pct"/>
            <w:gridSpan w:val="1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sz w:val="21"/>
              </w:rPr>
            </w:pPr>
            <w:r>
              <w:rPr>
                <w:rFonts w:ascii="微软雅黑" w:hAnsi="微软雅黑" w:eastAsia="微软雅黑" w:cs="宋体"/>
                <w:b/>
                <w:bCs/>
                <w:sz w:val="21"/>
              </w:rPr>
              <w:t>绩效目标</w:t>
            </w:r>
          </w:p>
        </w:tc>
      </w:tr>
      <w:tr>
        <w:tblPrEx>
          <w:tblCellMar>
            <w:top w:w="0" w:type="dxa"/>
            <w:left w:w="108" w:type="dxa"/>
            <w:bottom w:w="0" w:type="dxa"/>
            <w:right w:w="108" w:type="dxa"/>
          </w:tblCellMar>
        </w:tblPrEx>
        <w:trPr>
          <w:trHeight w:val="882" w:hRule="atLeast"/>
        </w:trPr>
        <w:tc>
          <w:tcPr>
            <w:tcW w:w="2368" w:type="pct"/>
            <w:gridSpan w:val="7"/>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年初绩效目标</w:t>
            </w:r>
          </w:p>
        </w:tc>
        <w:tc>
          <w:tcPr>
            <w:tcW w:w="1009" w:type="pct"/>
            <w:gridSpan w:val="5"/>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全年（调整）绩效目标</w:t>
            </w:r>
          </w:p>
        </w:tc>
        <w:tc>
          <w:tcPr>
            <w:tcW w:w="1624" w:type="pct"/>
            <w:gridSpan w:val="6"/>
            <w:tcBorders>
              <w:top w:val="single" w:color="auto" w:sz="4" w:space="0"/>
              <w:left w:val="nil"/>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全年目标实际完成情况</w:t>
            </w:r>
          </w:p>
        </w:tc>
      </w:tr>
      <w:tr>
        <w:tblPrEx>
          <w:tblCellMar>
            <w:top w:w="0" w:type="dxa"/>
            <w:left w:w="108" w:type="dxa"/>
            <w:bottom w:w="0" w:type="dxa"/>
            <w:right w:w="108" w:type="dxa"/>
          </w:tblCellMar>
        </w:tblPrEx>
        <w:trPr>
          <w:trHeight w:val="2910" w:hRule="atLeast"/>
        </w:trPr>
        <w:tc>
          <w:tcPr>
            <w:tcW w:w="2368" w:type="pct"/>
            <w:gridSpan w:val="7"/>
            <w:tcBorders>
              <w:top w:val="single" w:color="auto" w:sz="4" w:space="0"/>
              <w:left w:val="single" w:color="auto" w:sz="4" w:space="0"/>
              <w:bottom w:val="single" w:color="auto" w:sz="4" w:space="0"/>
              <w:right w:val="single" w:color="auto" w:sz="4" w:space="0"/>
            </w:tcBorders>
            <w:shd w:val="clear" w:color="auto" w:fill="auto"/>
          </w:tcPr>
          <w:p>
            <w:pPr>
              <w:jc w:val="both"/>
              <w:rPr>
                <w:rFonts w:hint="default" w:cs="宋体"/>
                <w:color w:val="000000"/>
                <w:sz w:val="21"/>
              </w:rPr>
            </w:pPr>
            <w:r>
              <w:rPr>
                <w:rFonts w:cs="宋体"/>
                <w:color w:val="000000"/>
                <w:sz w:val="21"/>
              </w:rPr>
              <w:t>安全服务中心履行好安全辅助监督和安全服务的双重职能，提高全区“两客一危”行业、货运行业安全监管水平，为中小企业提供安全服务，帮助企业落实好安全主体责任，防止各类安全事故发生，道路运输安全生产形势平稳可控。运用大数据开展安全生产分析，开展行业安全数据运行监测，推动行业安全监管提质增效，提高行业安全生产管理的含金量。</w:t>
            </w:r>
          </w:p>
        </w:tc>
        <w:tc>
          <w:tcPr>
            <w:tcW w:w="1009" w:type="pct"/>
            <w:gridSpan w:val="5"/>
            <w:tcBorders>
              <w:top w:val="single" w:color="auto" w:sz="4" w:space="0"/>
              <w:left w:val="nil"/>
              <w:bottom w:val="single" w:color="auto" w:sz="4" w:space="0"/>
              <w:right w:val="single" w:color="auto" w:sz="4" w:space="0"/>
            </w:tcBorders>
            <w:shd w:val="clear" w:color="auto" w:fill="auto"/>
          </w:tcPr>
          <w:p>
            <w:pPr>
              <w:rPr>
                <w:rFonts w:hint="default" w:cs="宋体"/>
                <w:color w:val="000000"/>
                <w:sz w:val="21"/>
              </w:rPr>
            </w:pPr>
            <w:r>
              <w:rPr>
                <w:rFonts w:cs="宋体"/>
                <w:color w:val="000000"/>
                <w:sz w:val="21"/>
              </w:rPr>
              <w:t>　</w:t>
            </w:r>
          </w:p>
        </w:tc>
        <w:tc>
          <w:tcPr>
            <w:tcW w:w="1624" w:type="pct"/>
            <w:gridSpan w:val="6"/>
            <w:tcBorders>
              <w:top w:val="single" w:color="auto" w:sz="4" w:space="0"/>
              <w:left w:val="nil"/>
              <w:bottom w:val="single" w:color="auto" w:sz="4" w:space="0"/>
              <w:right w:val="single" w:color="auto" w:sz="4" w:space="0"/>
            </w:tcBorders>
            <w:shd w:val="clear" w:color="auto" w:fill="auto"/>
          </w:tcPr>
          <w:p>
            <w:pPr>
              <w:jc w:val="both"/>
              <w:rPr>
                <w:rFonts w:hint="default" w:cs="宋体"/>
                <w:color w:val="000000"/>
                <w:sz w:val="21"/>
              </w:rPr>
            </w:pPr>
            <w:r>
              <w:rPr>
                <w:rFonts w:cs="宋体"/>
                <w:color w:val="000000"/>
                <w:sz w:val="21"/>
              </w:rPr>
              <w:t>安全服务中心全年完成对8833辆运输车辆的安全监控，为159家运输企业提供安全服务指导，企业满意度高，消除安全风险平台隐患率超95%，全区安全风险考核和车辆动态监控考核率高，提高全区道路运输安全质量。</w:t>
            </w:r>
          </w:p>
        </w:tc>
      </w:tr>
      <w:tr>
        <w:tblPrEx>
          <w:tblCellMar>
            <w:top w:w="0" w:type="dxa"/>
            <w:left w:w="108" w:type="dxa"/>
            <w:bottom w:w="0" w:type="dxa"/>
            <w:right w:w="108" w:type="dxa"/>
          </w:tblCellMar>
        </w:tblPrEx>
        <w:trPr>
          <w:trHeight w:val="882" w:hRule="atLeast"/>
        </w:trPr>
        <w:tc>
          <w:tcPr>
            <w:tcW w:w="5000" w:type="pct"/>
            <w:gridSpan w:val="18"/>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微软雅黑" w:hAnsi="微软雅黑" w:eastAsia="微软雅黑" w:cs="宋体"/>
                <w:b/>
                <w:bCs/>
                <w:color w:val="000000"/>
                <w:sz w:val="21"/>
                <w:szCs w:val="28"/>
              </w:rPr>
            </w:pPr>
            <w:r>
              <w:rPr>
                <w:rFonts w:ascii="微软雅黑" w:hAnsi="微软雅黑" w:eastAsia="微软雅黑" w:cs="宋体"/>
                <w:b/>
                <w:bCs/>
                <w:color w:val="000000"/>
                <w:sz w:val="21"/>
                <w:szCs w:val="28"/>
              </w:rPr>
              <w:t>绩效指标</w:t>
            </w:r>
          </w:p>
        </w:tc>
      </w:tr>
      <w:tr>
        <w:tblPrEx>
          <w:tblCellMar>
            <w:top w:w="0" w:type="dxa"/>
            <w:left w:w="108" w:type="dxa"/>
            <w:bottom w:w="0" w:type="dxa"/>
            <w:right w:w="108" w:type="dxa"/>
          </w:tblCellMar>
        </w:tblPrEx>
        <w:trPr>
          <w:trHeight w:val="1087" w:hRule="atLeast"/>
        </w:trPr>
        <w:tc>
          <w:tcPr>
            <w:tcW w:w="921" w:type="pct"/>
            <w:gridSpan w:val="2"/>
            <w:tcBorders>
              <w:top w:val="nil"/>
              <w:left w:val="single" w:color="auto" w:sz="4" w:space="0"/>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指标名称</w:t>
            </w:r>
          </w:p>
        </w:tc>
        <w:tc>
          <w:tcPr>
            <w:tcW w:w="378"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计量单位</w:t>
            </w:r>
          </w:p>
        </w:tc>
        <w:tc>
          <w:tcPr>
            <w:tcW w:w="391"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指标性质</w:t>
            </w:r>
          </w:p>
        </w:tc>
        <w:tc>
          <w:tcPr>
            <w:tcW w:w="462"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指标值</w:t>
            </w:r>
          </w:p>
        </w:tc>
        <w:tc>
          <w:tcPr>
            <w:tcW w:w="462"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全年完成值</w:t>
            </w:r>
          </w:p>
        </w:tc>
        <w:tc>
          <w:tcPr>
            <w:tcW w:w="385"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偏离度（%）</w:t>
            </w:r>
          </w:p>
        </w:tc>
        <w:tc>
          <w:tcPr>
            <w:tcW w:w="464" w:type="pct"/>
            <w:gridSpan w:val="3"/>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得分系数（%）</w:t>
            </w:r>
          </w:p>
        </w:tc>
        <w:tc>
          <w:tcPr>
            <w:tcW w:w="384"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指标权重</w:t>
            </w:r>
          </w:p>
        </w:tc>
        <w:tc>
          <w:tcPr>
            <w:tcW w:w="384" w:type="pct"/>
            <w:gridSpan w:val="2"/>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指标得分</w:t>
            </w:r>
          </w:p>
        </w:tc>
        <w:tc>
          <w:tcPr>
            <w:tcW w:w="385"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sz w:val="21"/>
              </w:rPr>
            </w:pPr>
            <w:r>
              <w:rPr>
                <w:rFonts w:cs="宋体"/>
                <w:b/>
                <w:bCs/>
                <w:color w:val="000000"/>
                <w:sz w:val="21"/>
              </w:rPr>
              <w:t>是否核心指标</w:t>
            </w:r>
          </w:p>
        </w:tc>
        <w:tc>
          <w:tcPr>
            <w:tcW w:w="384" w:type="pct"/>
            <w:tcBorders>
              <w:top w:val="nil"/>
              <w:left w:val="nil"/>
              <w:bottom w:val="single" w:color="auto" w:sz="4" w:space="0"/>
              <w:right w:val="single" w:color="auto" w:sz="4" w:space="0"/>
            </w:tcBorders>
            <w:shd w:val="clear" w:color="auto" w:fill="auto"/>
            <w:vAlign w:val="center"/>
          </w:tcPr>
          <w:p>
            <w:pPr>
              <w:jc w:val="center"/>
              <w:rPr>
                <w:rFonts w:hint="default" w:cs="宋体"/>
                <w:b/>
                <w:bCs/>
                <w:color w:val="000000"/>
              </w:rPr>
            </w:pPr>
            <w:r>
              <w:rPr>
                <w:rFonts w:cs="宋体"/>
                <w:b/>
                <w:bCs/>
                <w:color w:val="000000"/>
                <w:sz w:val="21"/>
              </w:rPr>
              <w:t>说明</w:t>
            </w:r>
          </w:p>
        </w:tc>
      </w:tr>
      <w:tr>
        <w:tblPrEx>
          <w:tblCellMar>
            <w:top w:w="0" w:type="dxa"/>
            <w:left w:w="108" w:type="dxa"/>
            <w:bottom w:w="0" w:type="dxa"/>
            <w:right w:w="108" w:type="dxa"/>
          </w:tblCellMar>
        </w:tblPrEx>
        <w:trPr>
          <w:trHeight w:val="660" w:hRule="atLeast"/>
        </w:trPr>
        <w:tc>
          <w:tcPr>
            <w:tcW w:w="921" w:type="pct"/>
            <w:gridSpan w:val="2"/>
            <w:tcBorders>
              <w:top w:val="nil"/>
              <w:left w:val="single" w:color="auto" w:sz="4" w:space="0"/>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“两客一危”、普货运输车辆</w:t>
            </w:r>
          </w:p>
        </w:tc>
        <w:tc>
          <w:tcPr>
            <w:tcW w:w="378"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辆</w:t>
            </w:r>
          </w:p>
        </w:tc>
        <w:tc>
          <w:tcPr>
            <w:tcW w:w="391"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w:t>
            </w:r>
          </w:p>
        </w:tc>
        <w:tc>
          <w:tcPr>
            <w:tcW w:w="462"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8833</w:t>
            </w:r>
          </w:p>
        </w:tc>
        <w:tc>
          <w:tcPr>
            <w:tcW w:w="462"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8833</w:t>
            </w:r>
          </w:p>
        </w:tc>
        <w:tc>
          <w:tcPr>
            <w:tcW w:w="385"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0</w:t>
            </w:r>
          </w:p>
        </w:tc>
        <w:tc>
          <w:tcPr>
            <w:tcW w:w="464" w:type="pct"/>
            <w:gridSpan w:val="3"/>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100</w:t>
            </w:r>
          </w:p>
        </w:tc>
        <w:tc>
          <w:tcPr>
            <w:tcW w:w="384"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w:t>
            </w:r>
          </w:p>
        </w:tc>
        <w:tc>
          <w:tcPr>
            <w:tcW w:w="384"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w:t>
            </w:r>
          </w:p>
        </w:tc>
        <w:tc>
          <w:tcPr>
            <w:tcW w:w="385"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否</w:t>
            </w:r>
          </w:p>
        </w:tc>
        <w:tc>
          <w:tcPr>
            <w:tcW w:w="384" w:type="pct"/>
            <w:tcBorders>
              <w:top w:val="nil"/>
              <w:left w:val="nil"/>
              <w:bottom w:val="single" w:color="auto" w:sz="4" w:space="0"/>
              <w:right w:val="single" w:color="auto" w:sz="4" w:space="0"/>
            </w:tcBorders>
            <w:shd w:val="clear" w:color="auto" w:fill="auto"/>
            <w:vAlign w:val="center"/>
          </w:tcPr>
          <w:p>
            <w:pPr>
              <w:rPr>
                <w:rFonts w:hint="default" w:cs="宋体"/>
              </w:rPr>
            </w:pPr>
            <w:r>
              <w:rPr>
                <w:rFonts w:cs="宋体"/>
              </w:rPr>
              <w:t>　</w:t>
            </w:r>
          </w:p>
        </w:tc>
      </w:tr>
      <w:tr>
        <w:tblPrEx>
          <w:tblCellMar>
            <w:top w:w="0" w:type="dxa"/>
            <w:left w:w="108" w:type="dxa"/>
            <w:bottom w:w="0" w:type="dxa"/>
            <w:right w:w="108" w:type="dxa"/>
          </w:tblCellMar>
        </w:tblPrEx>
        <w:trPr>
          <w:trHeight w:val="619" w:hRule="atLeast"/>
        </w:trPr>
        <w:tc>
          <w:tcPr>
            <w:tcW w:w="921" w:type="pct"/>
            <w:gridSpan w:val="2"/>
            <w:tcBorders>
              <w:top w:val="nil"/>
              <w:left w:val="single" w:color="auto" w:sz="4" w:space="0"/>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“两客一危”、普货运输企业</w:t>
            </w:r>
          </w:p>
        </w:tc>
        <w:tc>
          <w:tcPr>
            <w:tcW w:w="378"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家</w:t>
            </w:r>
          </w:p>
        </w:tc>
        <w:tc>
          <w:tcPr>
            <w:tcW w:w="391"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w:t>
            </w:r>
          </w:p>
        </w:tc>
        <w:tc>
          <w:tcPr>
            <w:tcW w:w="462"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159</w:t>
            </w:r>
          </w:p>
        </w:tc>
        <w:tc>
          <w:tcPr>
            <w:tcW w:w="462"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159</w:t>
            </w:r>
          </w:p>
        </w:tc>
        <w:tc>
          <w:tcPr>
            <w:tcW w:w="385"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0</w:t>
            </w:r>
          </w:p>
        </w:tc>
        <w:tc>
          <w:tcPr>
            <w:tcW w:w="464" w:type="pct"/>
            <w:gridSpan w:val="3"/>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100</w:t>
            </w:r>
          </w:p>
        </w:tc>
        <w:tc>
          <w:tcPr>
            <w:tcW w:w="384"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40</w:t>
            </w:r>
          </w:p>
        </w:tc>
        <w:tc>
          <w:tcPr>
            <w:tcW w:w="384"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40</w:t>
            </w:r>
          </w:p>
        </w:tc>
        <w:tc>
          <w:tcPr>
            <w:tcW w:w="385"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是</w:t>
            </w:r>
          </w:p>
        </w:tc>
        <w:tc>
          <w:tcPr>
            <w:tcW w:w="384" w:type="pct"/>
            <w:tcBorders>
              <w:top w:val="nil"/>
              <w:left w:val="nil"/>
              <w:bottom w:val="single" w:color="auto" w:sz="4" w:space="0"/>
              <w:right w:val="single" w:color="auto" w:sz="4" w:space="0"/>
            </w:tcBorders>
            <w:shd w:val="clear" w:color="auto" w:fill="auto"/>
            <w:vAlign w:val="center"/>
          </w:tcPr>
          <w:p>
            <w:pPr>
              <w:rPr>
                <w:rFonts w:hint="default" w:cs="宋体"/>
              </w:rPr>
            </w:pPr>
            <w:r>
              <w:rPr>
                <w:rFonts w:cs="宋体"/>
              </w:rPr>
              <w:t>　</w:t>
            </w:r>
          </w:p>
        </w:tc>
      </w:tr>
      <w:tr>
        <w:tblPrEx>
          <w:tblCellMar>
            <w:top w:w="0" w:type="dxa"/>
            <w:left w:w="108" w:type="dxa"/>
            <w:bottom w:w="0" w:type="dxa"/>
            <w:right w:w="108" w:type="dxa"/>
          </w:tblCellMar>
        </w:tblPrEx>
        <w:trPr>
          <w:trHeight w:val="619" w:hRule="atLeast"/>
        </w:trPr>
        <w:tc>
          <w:tcPr>
            <w:tcW w:w="921" w:type="pct"/>
            <w:gridSpan w:val="2"/>
            <w:tcBorders>
              <w:top w:val="nil"/>
              <w:left w:val="single" w:color="auto" w:sz="4" w:space="0"/>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消除安全风险平台隐患率</w:t>
            </w:r>
          </w:p>
        </w:tc>
        <w:tc>
          <w:tcPr>
            <w:tcW w:w="378"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w:t>
            </w:r>
          </w:p>
        </w:tc>
        <w:tc>
          <w:tcPr>
            <w:tcW w:w="391"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w:t>
            </w:r>
          </w:p>
        </w:tc>
        <w:tc>
          <w:tcPr>
            <w:tcW w:w="462"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95</w:t>
            </w:r>
          </w:p>
        </w:tc>
        <w:tc>
          <w:tcPr>
            <w:tcW w:w="462"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95</w:t>
            </w:r>
          </w:p>
        </w:tc>
        <w:tc>
          <w:tcPr>
            <w:tcW w:w="385"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0</w:t>
            </w:r>
          </w:p>
        </w:tc>
        <w:tc>
          <w:tcPr>
            <w:tcW w:w="464" w:type="pct"/>
            <w:gridSpan w:val="3"/>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100</w:t>
            </w:r>
          </w:p>
        </w:tc>
        <w:tc>
          <w:tcPr>
            <w:tcW w:w="384"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w:t>
            </w:r>
          </w:p>
        </w:tc>
        <w:tc>
          <w:tcPr>
            <w:tcW w:w="384"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w:t>
            </w:r>
          </w:p>
        </w:tc>
        <w:tc>
          <w:tcPr>
            <w:tcW w:w="385"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否</w:t>
            </w:r>
          </w:p>
        </w:tc>
        <w:tc>
          <w:tcPr>
            <w:tcW w:w="384" w:type="pct"/>
            <w:tcBorders>
              <w:top w:val="nil"/>
              <w:left w:val="nil"/>
              <w:bottom w:val="single" w:color="auto" w:sz="4" w:space="0"/>
              <w:right w:val="single" w:color="auto" w:sz="4" w:space="0"/>
            </w:tcBorders>
            <w:shd w:val="clear" w:color="auto" w:fill="auto"/>
            <w:vAlign w:val="center"/>
          </w:tcPr>
          <w:p>
            <w:pPr>
              <w:rPr>
                <w:rFonts w:hint="default" w:cs="宋体"/>
              </w:rPr>
            </w:pPr>
            <w:r>
              <w:rPr>
                <w:rFonts w:cs="宋体"/>
              </w:rPr>
              <w:t>　</w:t>
            </w:r>
          </w:p>
        </w:tc>
      </w:tr>
      <w:tr>
        <w:tblPrEx>
          <w:tblCellMar>
            <w:top w:w="0" w:type="dxa"/>
            <w:left w:w="108" w:type="dxa"/>
            <w:bottom w:w="0" w:type="dxa"/>
            <w:right w:w="108" w:type="dxa"/>
          </w:tblCellMar>
        </w:tblPrEx>
        <w:trPr>
          <w:trHeight w:val="619" w:hRule="atLeast"/>
        </w:trPr>
        <w:tc>
          <w:tcPr>
            <w:tcW w:w="921" w:type="pct"/>
            <w:gridSpan w:val="2"/>
            <w:tcBorders>
              <w:top w:val="nil"/>
              <w:left w:val="single" w:color="auto" w:sz="4" w:space="0"/>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全市安全风险考核和车辆动态监控考核率</w:t>
            </w:r>
          </w:p>
        </w:tc>
        <w:tc>
          <w:tcPr>
            <w:tcW w:w="378"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w:t>
            </w:r>
          </w:p>
        </w:tc>
        <w:tc>
          <w:tcPr>
            <w:tcW w:w="391"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w:t>
            </w:r>
          </w:p>
        </w:tc>
        <w:tc>
          <w:tcPr>
            <w:tcW w:w="462"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100</w:t>
            </w:r>
          </w:p>
        </w:tc>
        <w:tc>
          <w:tcPr>
            <w:tcW w:w="462"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100</w:t>
            </w:r>
          </w:p>
        </w:tc>
        <w:tc>
          <w:tcPr>
            <w:tcW w:w="385"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0</w:t>
            </w:r>
          </w:p>
        </w:tc>
        <w:tc>
          <w:tcPr>
            <w:tcW w:w="464" w:type="pct"/>
            <w:gridSpan w:val="3"/>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100</w:t>
            </w:r>
          </w:p>
        </w:tc>
        <w:tc>
          <w:tcPr>
            <w:tcW w:w="384"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20</w:t>
            </w:r>
          </w:p>
        </w:tc>
        <w:tc>
          <w:tcPr>
            <w:tcW w:w="384"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20</w:t>
            </w:r>
          </w:p>
        </w:tc>
        <w:tc>
          <w:tcPr>
            <w:tcW w:w="385"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否</w:t>
            </w:r>
          </w:p>
        </w:tc>
        <w:tc>
          <w:tcPr>
            <w:tcW w:w="384" w:type="pct"/>
            <w:tcBorders>
              <w:top w:val="nil"/>
              <w:left w:val="nil"/>
              <w:bottom w:val="single" w:color="auto" w:sz="4" w:space="0"/>
              <w:right w:val="single" w:color="auto" w:sz="4" w:space="0"/>
            </w:tcBorders>
            <w:shd w:val="clear" w:color="auto" w:fill="auto"/>
            <w:vAlign w:val="center"/>
          </w:tcPr>
          <w:p>
            <w:pPr>
              <w:rPr>
                <w:rFonts w:hint="default" w:cs="宋体"/>
              </w:rPr>
            </w:pPr>
            <w:r>
              <w:rPr>
                <w:rFonts w:cs="宋体"/>
              </w:rPr>
              <w:t>　</w:t>
            </w:r>
          </w:p>
        </w:tc>
      </w:tr>
      <w:tr>
        <w:tblPrEx>
          <w:tblCellMar>
            <w:top w:w="0" w:type="dxa"/>
            <w:left w:w="108" w:type="dxa"/>
            <w:bottom w:w="0" w:type="dxa"/>
            <w:right w:w="108" w:type="dxa"/>
          </w:tblCellMar>
        </w:tblPrEx>
        <w:trPr>
          <w:trHeight w:val="780" w:hRule="atLeast"/>
        </w:trPr>
        <w:tc>
          <w:tcPr>
            <w:tcW w:w="921" w:type="pct"/>
            <w:gridSpan w:val="2"/>
            <w:tcBorders>
              <w:top w:val="nil"/>
              <w:left w:val="single" w:color="auto" w:sz="4" w:space="0"/>
              <w:bottom w:val="single" w:color="auto" w:sz="4" w:space="0"/>
              <w:right w:val="single" w:color="auto" w:sz="4" w:space="0"/>
            </w:tcBorders>
            <w:shd w:val="clear" w:color="auto" w:fill="auto"/>
            <w:noWrap/>
            <w:vAlign w:val="center"/>
          </w:tcPr>
          <w:p>
            <w:pPr>
              <w:ind w:firstLine="210" w:firstLineChars="100"/>
              <w:rPr>
                <w:rFonts w:hint="default" w:cs="宋体"/>
                <w:color w:val="000000"/>
                <w:sz w:val="21"/>
              </w:rPr>
            </w:pPr>
            <w:r>
              <w:rPr>
                <w:rFonts w:cs="宋体"/>
                <w:color w:val="000000"/>
                <w:sz w:val="21"/>
              </w:rPr>
              <w:t>服务企业、从业人员满意度</w:t>
            </w:r>
          </w:p>
        </w:tc>
        <w:tc>
          <w:tcPr>
            <w:tcW w:w="378"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w:t>
            </w:r>
          </w:p>
        </w:tc>
        <w:tc>
          <w:tcPr>
            <w:tcW w:w="391"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w:t>
            </w:r>
          </w:p>
        </w:tc>
        <w:tc>
          <w:tcPr>
            <w:tcW w:w="462"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100</w:t>
            </w:r>
          </w:p>
        </w:tc>
        <w:tc>
          <w:tcPr>
            <w:tcW w:w="462"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100</w:t>
            </w:r>
          </w:p>
        </w:tc>
        <w:tc>
          <w:tcPr>
            <w:tcW w:w="385"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0</w:t>
            </w:r>
          </w:p>
        </w:tc>
        <w:tc>
          <w:tcPr>
            <w:tcW w:w="464" w:type="pct"/>
            <w:gridSpan w:val="3"/>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100</w:t>
            </w:r>
          </w:p>
        </w:tc>
        <w:tc>
          <w:tcPr>
            <w:tcW w:w="384"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w:t>
            </w:r>
          </w:p>
        </w:tc>
        <w:tc>
          <w:tcPr>
            <w:tcW w:w="384" w:type="pct"/>
            <w:gridSpan w:val="2"/>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10</w:t>
            </w:r>
          </w:p>
        </w:tc>
        <w:tc>
          <w:tcPr>
            <w:tcW w:w="385" w:type="pct"/>
            <w:tcBorders>
              <w:top w:val="nil"/>
              <w:left w:val="nil"/>
              <w:bottom w:val="single" w:color="auto" w:sz="4" w:space="0"/>
              <w:right w:val="single" w:color="auto" w:sz="4" w:space="0"/>
            </w:tcBorders>
            <w:shd w:val="clear" w:color="auto" w:fill="auto"/>
            <w:noWrap/>
            <w:vAlign w:val="center"/>
          </w:tcPr>
          <w:p>
            <w:pPr>
              <w:ind w:firstLine="210" w:firstLineChars="100"/>
              <w:jc w:val="center"/>
              <w:rPr>
                <w:rFonts w:hint="default" w:cs="宋体"/>
                <w:color w:val="000000"/>
                <w:sz w:val="21"/>
              </w:rPr>
            </w:pPr>
            <w:r>
              <w:rPr>
                <w:rFonts w:cs="宋体"/>
                <w:color w:val="000000"/>
                <w:sz w:val="21"/>
              </w:rPr>
              <w:t>否</w:t>
            </w:r>
          </w:p>
        </w:tc>
        <w:tc>
          <w:tcPr>
            <w:tcW w:w="384" w:type="pct"/>
            <w:tcBorders>
              <w:top w:val="nil"/>
              <w:left w:val="nil"/>
              <w:bottom w:val="single" w:color="auto" w:sz="4" w:space="0"/>
              <w:right w:val="single" w:color="auto" w:sz="4" w:space="0"/>
            </w:tcBorders>
            <w:shd w:val="clear" w:color="auto" w:fill="auto"/>
            <w:vAlign w:val="center"/>
          </w:tcPr>
          <w:p>
            <w:pPr>
              <w:rPr>
                <w:rFonts w:hint="default" w:cs="宋体"/>
              </w:rPr>
            </w:pPr>
            <w:r>
              <w:rPr>
                <w:rFonts w:cs="宋体"/>
              </w:rPr>
              <w:t>　</w:t>
            </w:r>
          </w:p>
        </w:tc>
      </w:tr>
    </w:tbl>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（二）部门绩效评价情况</w:t>
      </w:r>
    </w:p>
    <w:p>
      <w:pPr>
        <w:pStyle w:val="17"/>
        <w:tabs>
          <w:tab w:val="center" w:pos="4153"/>
          <w:tab w:val="left" w:pos="7275"/>
        </w:tabs>
        <w:spacing w:line="600" w:lineRule="exact"/>
        <w:ind w:firstLine="640"/>
        <w:rPr>
          <w:rFonts w:eastAsia="方正仿宋_GBK" w:cs="宋体"/>
          <w:color w:val="000000"/>
          <w:kern w:val="0"/>
          <w:sz w:val="32"/>
          <w:szCs w:val="32"/>
        </w:rPr>
      </w:pPr>
      <w:r>
        <w:rPr>
          <w:rFonts w:hint="eastAsia" w:eastAsia="方正仿宋_GBK" w:cs="宋体"/>
          <w:color w:val="000000"/>
          <w:kern w:val="0"/>
          <w:sz w:val="32"/>
          <w:szCs w:val="32"/>
        </w:rPr>
        <w:t>本单位没有委托第三方开展绩效评价。</w:t>
      </w:r>
    </w:p>
    <w:p>
      <w:pPr>
        <w:pStyle w:val="12"/>
        <w:autoSpaceDE w:val="0"/>
        <w:spacing w:line="560" w:lineRule="exact"/>
        <w:ind w:firstLine="643"/>
        <w:rPr>
          <w:rFonts w:ascii="方正楷体_GBK" w:hAnsi="楷体" w:eastAsia="方正楷体_GBK" w:cs="楷体"/>
          <w:b/>
          <w:bCs/>
          <w:sz w:val="32"/>
          <w:szCs w:val="32"/>
          <w:shd w:val="clear" w:color="auto" w:fill="FFFFFF"/>
        </w:rPr>
      </w:pPr>
      <w:r>
        <w:rPr>
          <w:rFonts w:hint="eastAsia" w:ascii="方正楷体_GBK" w:hAnsi="楷体" w:eastAsia="方正楷体_GBK" w:cs="楷体"/>
          <w:b/>
          <w:bCs/>
          <w:sz w:val="32"/>
          <w:szCs w:val="32"/>
          <w:shd w:val="clear" w:color="auto" w:fill="FFFFFF"/>
        </w:rPr>
        <w:t>（三）财政绩效评价情况</w:t>
      </w:r>
    </w:p>
    <w:p>
      <w:pPr>
        <w:pStyle w:val="12"/>
        <w:autoSpaceDE w:val="0"/>
        <w:spacing w:line="600" w:lineRule="exact"/>
        <w:ind w:firstLine="640"/>
        <w:jc w:val="both"/>
        <w:rPr>
          <w:rFonts w:ascii="Times New Roman" w:hAnsi="Times New Roman" w:eastAsia="方正仿宋_GBK" w:cs="宋体"/>
          <w:color w:val="000000"/>
          <w:sz w:val="32"/>
          <w:szCs w:val="32"/>
        </w:rPr>
      </w:pPr>
      <w:r>
        <w:rPr>
          <w:rFonts w:hint="eastAsia" w:ascii="Times New Roman" w:hAnsi="Times New Roman" w:eastAsia="方正仿宋_GBK" w:cs="宋体"/>
          <w:color w:val="000000"/>
          <w:sz w:val="32"/>
          <w:szCs w:val="32"/>
        </w:rPr>
        <w:t>区财政局未委托第三方对我单位开展绩效评价。</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六、名词解释</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Fonts w:ascii="方正楷体_GBK" w:hAnsi="楷体" w:eastAsia="方正楷体_GBK"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（二）事业收入</w:t>
      </w:r>
      <w:r>
        <w:rPr>
          <w:rFonts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（三）经营收入</w:t>
      </w:r>
      <w:r>
        <w:rPr>
          <w:rStyle w:val="10"/>
          <w:rFonts w:ascii="方正楷体_GBK" w:eastAsia="方正楷体_GBK"/>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（四）其他收入</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（五）使用非财政拨款结余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（六）年初结转和结余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（七）结余分配</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（八）年末结转和结余</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（九）基本支出</w:t>
      </w:r>
      <w:r>
        <w:rPr>
          <w:rFonts w:ascii="方正楷体_GBK" w:hAnsi="楷体" w:eastAsia="方正楷体_GBK"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（十）项目支出</w:t>
      </w:r>
      <w:r>
        <w:rPr>
          <w:rStyle w:val="10"/>
          <w:rFonts w:ascii="方正楷体_GBK" w:eastAsia="方正楷体_GBK"/>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（十一）经营支出</w:t>
      </w:r>
      <w:r>
        <w:rPr>
          <w:rStyle w:val="10"/>
          <w:rFonts w:ascii="方正楷体_GBK" w:eastAsia="方正楷体_GBK"/>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（十二）“三公”经费</w:t>
      </w:r>
      <w:r>
        <w:rPr>
          <w:rStyle w:val="10"/>
          <w:rFonts w:ascii="方正楷体_GBK" w:eastAsia="方正楷体_GBK"/>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（十三）机关运行经费</w:t>
      </w:r>
      <w:r>
        <w:rPr>
          <w:rStyle w:val="10"/>
          <w:rFonts w:ascii="方正楷体_GBK" w:eastAsia="方正楷体_GBK"/>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（十四）工资福利支出（支出经济分类科目类级）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ascii="方正楷体_GBK" w:hAnsi="楷体" w:eastAsia="方正楷体_GBK" w:cs="楷体"/>
          <w:sz w:val="32"/>
          <w:szCs w:val="32"/>
          <w:shd w:val="clear" w:color="auto" w:fill="FFFFFF"/>
        </w:rPr>
        <w:t>（十五）商品和服务支出（支出经济分类科目类级）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snapToGrid w:val="0"/>
        <w:spacing w:before="0" w:beforeAutospacing="0" w:after="0" w:afterAutospacing="0" w:line="560" w:lineRule="exact"/>
        <w:ind w:firstLine="643" w:firstLineChars="200"/>
        <w:jc w:val="both"/>
        <w:rPr>
          <w:rFonts w:hint="default" w:ascii="方正楷体_GBK" w:hAnsi="楷体" w:eastAsia="方正楷体_GBK" w:cs="楷体"/>
          <w:b/>
          <w:sz w:val="32"/>
          <w:szCs w:val="32"/>
          <w:shd w:val="clear" w:color="auto" w:fill="FFFFFF"/>
        </w:rPr>
      </w:pPr>
      <w:r>
        <w:rPr>
          <w:rStyle w:val="10"/>
          <w:rFonts w:ascii="方正楷体_GBK" w:hAnsi="楷体" w:eastAsia="方正楷体_GBK" w:cs="楷体"/>
          <w:sz w:val="32"/>
          <w:szCs w:val="32"/>
          <w:shd w:val="clear" w:color="auto" w:fill="FFFFFF"/>
        </w:rPr>
        <w:t>（十六）其他资本性支出（支出经济分类科目类级）</w:t>
      </w:r>
      <w:r>
        <w:rPr>
          <w:rStyle w:val="10"/>
          <w:rFonts w:ascii="方正楷体_GBK" w:eastAsia="方正楷体_GBK"/>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shd w:val="clear" w:color="auto" w:fill="FFFFFF"/>
        <w:spacing w:before="0" w:beforeAutospacing="0" w:after="0" w:afterAutospacing="0" w:line="560" w:lineRule="exact"/>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pPr>
        <w:pStyle w:val="6"/>
        <w:snapToGrid w:val="0"/>
        <w:spacing w:before="0" w:beforeAutospacing="0" w:after="0" w:afterAutospacing="0" w:line="56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6"/>
        <w:snapToGrid w:val="0"/>
        <w:spacing w:before="0" w:beforeAutospacing="0" w:after="0" w:afterAutospacing="0" w:line="560"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李娟</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023-7222288</w:t>
      </w:r>
      <w:r>
        <w:rPr>
          <w:rFonts w:hint="eastAsia" w:ascii="方正仿宋_GBK" w:hAnsi="方正仿宋_GBK" w:eastAsia="方正仿宋_GBK" w:cs="方正仿宋_GBK"/>
          <w:sz w:val="32"/>
          <w:szCs w:val="32"/>
          <w:shd w:val="clear" w:color="auto" w:fill="FFFFFF"/>
          <w:lang w:eastAsia="zh-CN"/>
        </w:rPr>
        <w:t>。</w:t>
      </w:r>
    </w:p>
    <w:sectPr>
      <w:headerReference r:id="rId3" w:type="default"/>
      <w:footerReference r:id="rId4" w:type="default"/>
      <w:pgSz w:w="11850" w:h="16783"/>
      <w:pgMar w:top="1440" w:right="1800" w:bottom="1440" w:left="1800" w:header="0" w:footer="794"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4577804"/>
      <w:docPartObj>
        <w:docPartGallery w:val="autotext"/>
      </w:docPartObj>
    </w:sdtPr>
    <w:sdtContent>
      <w:p>
        <w:pPr>
          <w:pStyle w:val="3"/>
          <w:jc w:val="center"/>
          <w:rPr>
            <w:rFonts w:hint="default"/>
          </w:rPr>
        </w:pPr>
        <w:r>
          <w:rPr>
            <w:sz w:val="24"/>
          </w:rPr>
          <w:fldChar w:fldCharType="begin"/>
        </w:r>
        <w:r>
          <w:rPr>
            <w:sz w:val="24"/>
          </w:rPr>
          <w:instrText xml:space="preserve">PAGE   \* MERGEFORMAT</w:instrText>
        </w:r>
        <w:r>
          <w:rPr>
            <w:sz w:val="24"/>
          </w:rPr>
          <w:fldChar w:fldCharType="separate"/>
        </w:r>
        <w:r>
          <w:rPr>
            <w:rFonts w:hint="default"/>
            <w:sz w:val="24"/>
            <w:lang w:val="zh-CN"/>
          </w:rPr>
          <w:t>-</w:t>
        </w:r>
        <w:r>
          <w:rPr>
            <w:rFonts w:hint="default"/>
            <w:sz w:val="24"/>
          </w:rPr>
          <w:t xml:space="preserve"> 10 -</w:t>
        </w:r>
        <w:r>
          <w:rPr>
            <w:sz w:val="24"/>
          </w:rPr>
          <w:fldChar w:fldCharType="end"/>
        </w:r>
      </w:p>
    </w:sdtContent>
  </w:sdt>
  <w:p>
    <w:pPr>
      <w:pStyle w:val="3"/>
      <w:jc w:val="both"/>
      <w:rPr>
        <w:rFonts w:hint="default"/>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31BF6"/>
    <w:rsid w:val="00037FD4"/>
    <w:rsid w:val="00054CF5"/>
    <w:rsid w:val="00056C25"/>
    <w:rsid w:val="00081CCE"/>
    <w:rsid w:val="000B30A8"/>
    <w:rsid w:val="000D0F3A"/>
    <w:rsid w:val="000D357B"/>
    <w:rsid w:val="000D7702"/>
    <w:rsid w:val="000E1EF0"/>
    <w:rsid w:val="00110D53"/>
    <w:rsid w:val="00121D30"/>
    <w:rsid w:val="00125F7B"/>
    <w:rsid w:val="001301E3"/>
    <w:rsid w:val="0013686F"/>
    <w:rsid w:val="001948E7"/>
    <w:rsid w:val="001A325F"/>
    <w:rsid w:val="001B1280"/>
    <w:rsid w:val="001B2D46"/>
    <w:rsid w:val="001B4E3C"/>
    <w:rsid w:val="001B502F"/>
    <w:rsid w:val="001C30E2"/>
    <w:rsid w:val="002119F9"/>
    <w:rsid w:val="002347EC"/>
    <w:rsid w:val="00237F68"/>
    <w:rsid w:val="00290D9F"/>
    <w:rsid w:val="00292934"/>
    <w:rsid w:val="002B0581"/>
    <w:rsid w:val="002B346C"/>
    <w:rsid w:val="002B4B5F"/>
    <w:rsid w:val="002D04D5"/>
    <w:rsid w:val="002D061D"/>
    <w:rsid w:val="002D096A"/>
    <w:rsid w:val="002D605D"/>
    <w:rsid w:val="002E2DC4"/>
    <w:rsid w:val="002E5443"/>
    <w:rsid w:val="00306369"/>
    <w:rsid w:val="00311047"/>
    <w:rsid w:val="00311346"/>
    <w:rsid w:val="0031488B"/>
    <w:rsid w:val="003428AF"/>
    <w:rsid w:val="00345570"/>
    <w:rsid w:val="00346909"/>
    <w:rsid w:val="003836F8"/>
    <w:rsid w:val="003963DE"/>
    <w:rsid w:val="003A7F9E"/>
    <w:rsid w:val="003B0FBF"/>
    <w:rsid w:val="003B3691"/>
    <w:rsid w:val="003D5BB1"/>
    <w:rsid w:val="00400665"/>
    <w:rsid w:val="00406909"/>
    <w:rsid w:val="00466752"/>
    <w:rsid w:val="004854EB"/>
    <w:rsid w:val="00486DB3"/>
    <w:rsid w:val="004A6E01"/>
    <w:rsid w:val="004C12FF"/>
    <w:rsid w:val="004C460B"/>
    <w:rsid w:val="005020D6"/>
    <w:rsid w:val="00503946"/>
    <w:rsid w:val="00541340"/>
    <w:rsid w:val="005426D1"/>
    <w:rsid w:val="00542F7B"/>
    <w:rsid w:val="005455F3"/>
    <w:rsid w:val="00550ABE"/>
    <w:rsid w:val="005A4136"/>
    <w:rsid w:val="005A7355"/>
    <w:rsid w:val="005B023C"/>
    <w:rsid w:val="005B5FE9"/>
    <w:rsid w:val="005D24F3"/>
    <w:rsid w:val="006137D7"/>
    <w:rsid w:val="00634FA8"/>
    <w:rsid w:val="0063613A"/>
    <w:rsid w:val="00637B29"/>
    <w:rsid w:val="006430D2"/>
    <w:rsid w:val="006567F7"/>
    <w:rsid w:val="006576D8"/>
    <w:rsid w:val="00682C17"/>
    <w:rsid w:val="00692129"/>
    <w:rsid w:val="00692A63"/>
    <w:rsid w:val="006B7D85"/>
    <w:rsid w:val="006C05FC"/>
    <w:rsid w:val="006D6E24"/>
    <w:rsid w:val="006E2854"/>
    <w:rsid w:val="006F67AA"/>
    <w:rsid w:val="007015C9"/>
    <w:rsid w:val="0076223F"/>
    <w:rsid w:val="007843B6"/>
    <w:rsid w:val="00792285"/>
    <w:rsid w:val="007A0D2E"/>
    <w:rsid w:val="007A3314"/>
    <w:rsid w:val="007B419D"/>
    <w:rsid w:val="007D28EC"/>
    <w:rsid w:val="007E5D96"/>
    <w:rsid w:val="00810986"/>
    <w:rsid w:val="00810F13"/>
    <w:rsid w:val="00863592"/>
    <w:rsid w:val="008C0F37"/>
    <w:rsid w:val="009409C0"/>
    <w:rsid w:val="00944711"/>
    <w:rsid w:val="0097640C"/>
    <w:rsid w:val="00984852"/>
    <w:rsid w:val="009B67B8"/>
    <w:rsid w:val="009D6684"/>
    <w:rsid w:val="009D6B42"/>
    <w:rsid w:val="009E4B02"/>
    <w:rsid w:val="009E715C"/>
    <w:rsid w:val="009F7B15"/>
    <w:rsid w:val="00A03B1E"/>
    <w:rsid w:val="00A55CDA"/>
    <w:rsid w:val="00A653F0"/>
    <w:rsid w:val="00A67739"/>
    <w:rsid w:val="00A726A7"/>
    <w:rsid w:val="00A820B7"/>
    <w:rsid w:val="00A86F12"/>
    <w:rsid w:val="00AA1A45"/>
    <w:rsid w:val="00AC5566"/>
    <w:rsid w:val="00B03CCD"/>
    <w:rsid w:val="00B22E15"/>
    <w:rsid w:val="00B40D9A"/>
    <w:rsid w:val="00B41CF7"/>
    <w:rsid w:val="00BF2DB8"/>
    <w:rsid w:val="00BF5A85"/>
    <w:rsid w:val="00C20DBB"/>
    <w:rsid w:val="00C6526A"/>
    <w:rsid w:val="00C67C7E"/>
    <w:rsid w:val="00C704C2"/>
    <w:rsid w:val="00C763D2"/>
    <w:rsid w:val="00C96B11"/>
    <w:rsid w:val="00CA3426"/>
    <w:rsid w:val="00CC6B99"/>
    <w:rsid w:val="00CD17ED"/>
    <w:rsid w:val="00D04ADF"/>
    <w:rsid w:val="00D21062"/>
    <w:rsid w:val="00D2231B"/>
    <w:rsid w:val="00D37DBE"/>
    <w:rsid w:val="00D612E6"/>
    <w:rsid w:val="00D6197A"/>
    <w:rsid w:val="00D92A86"/>
    <w:rsid w:val="00DE5853"/>
    <w:rsid w:val="00DF5E14"/>
    <w:rsid w:val="00DF7706"/>
    <w:rsid w:val="00E41BA3"/>
    <w:rsid w:val="00E43334"/>
    <w:rsid w:val="00E54DCB"/>
    <w:rsid w:val="00E62FA8"/>
    <w:rsid w:val="00E654E2"/>
    <w:rsid w:val="00E76362"/>
    <w:rsid w:val="00E853C3"/>
    <w:rsid w:val="00EC243F"/>
    <w:rsid w:val="00EE1AD8"/>
    <w:rsid w:val="00F110A5"/>
    <w:rsid w:val="00F137D3"/>
    <w:rsid w:val="00F13C36"/>
    <w:rsid w:val="00F17CE4"/>
    <w:rsid w:val="00F32C53"/>
    <w:rsid w:val="00F458A1"/>
    <w:rsid w:val="00F541CF"/>
    <w:rsid w:val="00F702F9"/>
    <w:rsid w:val="00F73F90"/>
    <w:rsid w:val="00F7623D"/>
    <w:rsid w:val="00FB3599"/>
    <w:rsid w:val="00FF23F8"/>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3A5F83"/>
    <w:rsid w:val="0E74421A"/>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5E27E3"/>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1A420C"/>
    <w:rsid w:val="3337290D"/>
    <w:rsid w:val="33E31118"/>
    <w:rsid w:val="33EF7674"/>
    <w:rsid w:val="342D7BC6"/>
    <w:rsid w:val="352930DB"/>
    <w:rsid w:val="35573069"/>
    <w:rsid w:val="355F6038"/>
    <w:rsid w:val="358C217E"/>
    <w:rsid w:val="35937598"/>
    <w:rsid w:val="36C9128A"/>
    <w:rsid w:val="372E3953"/>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694D83"/>
    <w:rsid w:val="3F885DCC"/>
    <w:rsid w:val="3FCD675E"/>
    <w:rsid w:val="4004000C"/>
    <w:rsid w:val="411B6CE5"/>
    <w:rsid w:val="412070D7"/>
    <w:rsid w:val="41314E40"/>
    <w:rsid w:val="41E0734B"/>
    <w:rsid w:val="426554D0"/>
    <w:rsid w:val="426C1EA8"/>
    <w:rsid w:val="42736402"/>
    <w:rsid w:val="42E86A87"/>
    <w:rsid w:val="43307B09"/>
    <w:rsid w:val="438D0E97"/>
    <w:rsid w:val="43BB152F"/>
    <w:rsid w:val="44C37687"/>
    <w:rsid w:val="45CB699A"/>
    <w:rsid w:val="465B470D"/>
    <w:rsid w:val="469D6AD4"/>
    <w:rsid w:val="471E6C84"/>
    <w:rsid w:val="4748792B"/>
    <w:rsid w:val="475D719D"/>
    <w:rsid w:val="47674801"/>
    <w:rsid w:val="48225EF7"/>
    <w:rsid w:val="488F422B"/>
    <w:rsid w:val="48E36915"/>
    <w:rsid w:val="495C4A24"/>
    <w:rsid w:val="497135DF"/>
    <w:rsid w:val="4A263DF2"/>
    <w:rsid w:val="4A6F6675"/>
    <w:rsid w:val="4B135857"/>
    <w:rsid w:val="4B505AFE"/>
    <w:rsid w:val="4B7951CB"/>
    <w:rsid w:val="4B7C315C"/>
    <w:rsid w:val="4D5E7F3F"/>
    <w:rsid w:val="4DAC4ACA"/>
    <w:rsid w:val="4DBE01D2"/>
    <w:rsid w:val="4EFC6D10"/>
    <w:rsid w:val="4F0C6BA3"/>
    <w:rsid w:val="4F10477D"/>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C55A5"/>
    <w:rsid w:val="56FF7E9E"/>
    <w:rsid w:val="578867FC"/>
    <w:rsid w:val="5842572D"/>
    <w:rsid w:val="5882091F"/>
    <w:rsid w:val="5A3B59D6"/>
    <w:rsid w:val="5AD134D8"/>
    <w:rsid w:val="5B6503B1"/>
    <w:rsid w:val="5C263CE4"/>
    <w:rsid w:val="5C5D2777"/>
    <w:rsid w:val="5CF66BF3"/>
    <w:rsid w:val="5D290C69"/>
    <w:rsid w:val="5F2D4A41"/>
    <w:rsid w:val="60C74F6C"/>
    <w:rsid w:val="61025A59"/>
    <w:rsid w:val="613D5BBC"/>
    <w:rsid w:val="61536C39"/>
    <w:rsid w:val="62944DD7"/>
    <w:rsid w:val="6319381F"/>
    <w:rsid w:val="63236436"/>
    <w:rsid w:val="63C25DC5"/>
    <w:rsid w:val="63C62057"/>
    <w:rsid w:val="64571EF5"/>
    <w:rsid w:val="64FB113D"/>
    <w:rsid w:val="656152C6"/>
    <w:rsid w:val="6587477F"/>
    <w:rsid w:val="658C3A08"/>
    <w:rsid w:val="65C031CA"/>
    <w:rsid w:val="65CE6852"/>
    <w:rsid w:val="66267C04"/>
    <w:rsid w:val="663F505A"/>
    <w:rsid w:val="66967186"/>
    <w:rsid w:val="66A91553"/>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310109"/>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6"/>
    <w:qFormat/>
    <w:uiPriority w:val="0"/>
    <w:rPr>
      <w:sz w:val="18"/>
      <w:szCs w:val="18"/>
    </w:rPr>
  </w:style>
  <w:style w:type="paragraph" w:styleId="3">
    <w:name w:val="footer"/>
    <w:basedOn w:val="1"/>
    <w:link w:val="18"/>
    <w:qFormat/>
    <w:uiPriority w:val="99"/>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character" w:styleId="11">
    <w:name w:val="page number"/>
    <w:basedOn w:val="9"/>
    <w:qFormat/>
    <w:uiPriority w:val="0"/>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9"/>
    <w:link w:val="2"/>
    <w:qFormat/>
    <w:uiPriority w:val="0"/>
    <w:rPr>
      <w:rFonts w:ascii="宋体" w:hAnsi="宋体"/>
      <w:sz w:val="18"/>
      <w:szCs w:val="18"/>
    </w:rPr>
  </w:style>
  <w:style w:type="paragraph" w:styleId="17">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8">
    <w:name w:val="页脚 Char"/>
    <w:basedOn w:val="9"/>
    <w:link w:val="3"/>
    <w:qFormat/>
    <w:uiPriority w:val="99"/>
    <w:rPr>
      <w:rFonts w:ascii="宋体" w:hAnsi="宋体"/>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BAFB18-A9CC-4A90-9A68-76A999EA4C68}">
  <ds:schemaRefs/>
</ds:datastoreItem>
</file>

<file path=docProps/app.xml><?xml version="1.0" encoding="utf-8"?>
<Properties xmlns="http://schemas.openxmlformats.org/officeDocument/2006/extended-properties" xmlns:vt="http://schemas.openxmlformats.org/officeDocument/2006/docPropsVTypes">
  <Template>Normal</Template>
  <Pages>12</Pages>
  <Words>5681</Words>
  <Characters>6288</Characters>
  <Lines>46</Lines>
  <Paragraphs>13</Paragraphs>
  <TotalTime>1142</TotalTime>
  <ScaleCrop>false</ScaleCrop>
  <LinksUpToDate>false</LinksUpToDate>
  <CharactersWithSpaces>6312</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cp:lastPrinted>2025-10-20T02:54:00Z</cp:lastPrinted>
  <dcterms:modified xsi:type="dcterms:W3CDTF">2025-11-05T07:38:45Z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BB46EABDBB2749749395447164B066B3_12</vt:lpwstr>
  </property>
  <property fmtid="{D5CDD505-2E9C-101B-9397-08002B2CF9AE}" pid="4" name="KSOTemplateDocerSaveRecord">
    <vt:lpwstr>eyJoZGlkIjoiMWJjZmNlZWJjN2M3NThlZTk0YjZlMjVmYmVmNTU1ZjkiLCJ1c2VySWQiOiIyNzM5NjM1NjQifQ==</vt:lpwstr>
  </property>
</Properties>
</file>