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596"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重庆市涪陵区港航海事事务中心</w:t>
      </w:r>
    </w:p>
    <w:p>
      <w:pPr>
        <w:pStyle w:val="9"/>
        <w:spacing w:before="0" w:beforeAutospacing="0" w:after="0" w:afterAutospacing="0" w:line="596" w:lineRule="exact"/>
        <w:jc w:val="center"/>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spacing w:before="0" w:beforeAutospacing="0" w:after="0" w:afterAutospacing="0" w:line="596" w:lineRule="exact"/>
        <w:jc w:val="center"/>
        <w:rPr>
          <w:rFonts w:ascii="方正小标宋_GBK" w:hAnsi="方正小标宋_GBK" w:eastAsia="方正小标宋_GBK" w:cs="方正小标宋_GBK"/>
          <w:sz w:val="44"/>
          <w:szCs w:val="44"/>
          <w:shd w:val="clear" w:color="auto" w:fill="FFFFFF"/>
        </w:rPr>
      </w:pPr>
    </w:p>
    <w:p>
      <w:pPr>
        <w:pStyle w:val="9"/>
        <w:shd w:val="clear" w:color="auto" w:fill="FFFFFF"/>
        <w:spacing w:before="0" w:beforeAutospacing="0" w:after="0" w:afterAutospacing="0" w:line="596" w:lineRule="exact"/>
        <w:rPr>
          <w:rStyle w:val="13"/>
          <w:rFonts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一、单位基本情况</w:t>
      </w:r>
    </w:p>
    <w:p>
      <w:pPr>
        <w:pStyle w:val="9"/>
        <w:shd w:val="clear" w:color="auto" w:fill="FFFFFF"/>
        <w:spacing w:before="0" w:beforeAutospacing="0" w:after="0" w:afterAutospacing="0" w:line="596" w:lineRule="exact"/>
        <w:ind w:firstLine="643" w:firstLineChars="200"/>
        <w:rPr>
          <w:rStyle w:val="13"/>
          <w:rFonts w:ascii="楷体" w:hAnsi="楷体" w:eastAsia="楷体" w:cs="楷体"/>
          <w:shd w:val="clear" w:color="auto" w:fill="FFFFFF"/>
        </w:rPr>
      </w:pPr>
      <w:r>
        <w:rPr>
          <w:rStyle w:val="13"/>
          <w:rFonts w:ascii="楷体" w:hAnsi="楷体" w:eastAsia="楷体" w:cs="楷体"/>
          <w:sz w:val="32"/>
          <w:szCs w:val="32"/>
          <w:shd w:val="clear" w:color="auto" w:fill="FFFFFF"/>
        </w:rPr>
        <w:t>（一）职能职责</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重庆市涪陵区港航海事事务中心主要职责是承担港口、航道、水路运输、地方海事等管理相关辅助性、事务性、技术性等具体工作。</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1、承担全区水路交通发展总体规划，专项规划、年度计划编制和实施的事务工作。</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2、承担港口管理的事务工作。</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3、承担地方航道管理的事务工作，负责航道、航标、通航建筑物等航道设施的养护管理工作。</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4、承担水路运输管理的事务工作和水路交通运输科技创新、推广应用工作。</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5、承担地方海事管理、船舶管理、防治船舶及相关水上设施污染管理、船员管理、通航管理等方面的事务工作。</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6、承担水路行业生态环境保护和节能减排的事务工作。</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7、承担地方水上交通安全和应急管理的事务工作，参与行业安全事故和辖区水上交通事故调查。</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8、承担船舶（含渔船）检验监督管理的事务工作及船舶技术服务工作。</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9、承担重点物资、应急救援物资和人员、紧急和重要军事物资水路运输的组织协调工作。承担水路运输战备事务工作。</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10、承担行业信用体系建设、港航海事政务服务、行业统计的事务工作。</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11、承担行业精神文明建设工作。</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12、完成区委、区政府和区交通局交办的其他任务。</w:t>
      </w:r>
    </w:p>
    <w:p>
      <w:pPr>
        <w:pStyle w:val="9"/>
        <w:shd w:val="clear" w:color="auto" w:fill="FFFFFF"/>
        <w:spacing w:before="0" w:beforeAutospacing="0" w:after="0" w:afterAutospacing="0" w:line="596" w:lineRule="exact"/>
        <w:ind w:firstLine="643" w:firstLineChars="200"/>
        <w:rPr>
          <w:rFonts w:ascii="楷体" w:hAnsi="楷体" w:eastAsia="楷体" w:cs="楷体"/>
          <w:sz w:val="32"/>
          <w:szCs w:val="32"/>
        </w:rPr>
      </w:pPr>
      <w:r>
        <w:rPr>
          <w:rStyle w:val="13"/>
          <w:rFonts w:ascii="楷体" w:hAnsi="楷体" w:eastAsia="楷体" w:cs="楷体"/>
          <w:sz w:val="32"/>
          <w:szCs w:val="32"/>
          <w:shd w:val="clear" w:color="auto" w:fill="FFFFFF"/>
        </w:rPr>
        <w:t>（二）机构设置</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根据涪委编委2020年156号文件改革方案，2020年10月重庆市涪陵区港航局更名为重庆市涪陵区港航海事事务中心，是隶属重庆市涪陵区交通局管理的正处级公益一类全额拨款事业单位，无下属单位。内设办公室、组织人事科（纪检科）、财务科、法制科、港口航道科、运输科、海事科7个科室。</w:t>
      </w:r>
    </w:p>
    <w:p>
      <w:pPr>
        <w:pStyle w:val="9"/>
        <w:shd w:val="clear" w:color="auto" w:fill="FFFFFF"/>
        <w:spacing w:before="0" w:beforeAutospacing="0" w:after="0" w:afterAutospacing="0" w:line="596" w:lineRule="exact"/>
        <w:rPr>
          <w:rStyle w:val="13"/>
          <w:rFonts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二、单位决算收支情况说明</w:t>
      </w:r>
    </w:p>
    <w:p>
      <w:pPr>
        <w:pStyle w:val="9"/>
        <w:shd w:val="clear" w:color="auto" w:fill="FFFFFF"/>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1543.60</w:t>
      </w:r>
      <w:r>
        <w:rPr>
          <w:rFonts w:ascii="Times New Roman" w:hAnsi="Times New Roman" w:eastAsia="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收、支与2023年度相比，减少0.09万元，下降0.0%</w:t>
      </w:r>
      <w:r>
        <w:rPr>
          <w:rFonts w:ascii="Times New Roman" w:hAnsi="Times New Roman" w:eastAsia="方正仿宋_GBK"/>
          <w:sz w:val="32"/>
          <w:szCs w:val="32"/>
          <w:shd w:val="clear" w:color="auto" w:fill="FFFFFF"/>
        </w:rPr>
        <w:t>，主要原因是坚持“过紧日子”要求，严格控制支出。</w:t>
      </w:r>
    </w:p>
    <w:p>
      <w:pPr>
        <w:pStyle w:val="9"/>
        <w:shd w:val="clear" w:color="auto" w:fill="FFFFFF"/>
        <w:spacing w:before="0" w:beforeAutospacing="0" w:after="0" w:afterAutospacing="0" w:line="596" w:lineRule="exact"/>
        <w:ind w:firstLine="643" w:firstLineChars="200"/>
        <w:jc w:val="both"/>
        <w:rPr>
          <w:rFonts w:hint="default" w:ascii="Times New Roman" w:hAnsi="Times New Roman" w:eastAsia="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sz w:val="32"/>
          <w:szCs w:val="32"/>
          <w:shd w:val="clear" w:color="auto" w:fill="FFFFFF"/>
        </w:rPr>
        <w:t>年度收入合计</w:t>
      </w:r>
      <w:r>
        <w:rPr>
          <w:rFonts w:hint="default" w:ascii="Times New Roman" w:hAnsi="Times New Roman" w:eastAsia="方正仿宋_GBK"/>
          <w:sz w:val="32"/>
          <w:szCs w:val="32"/>
          <w:shd w:val="clear" w:color="auto" w:fill="FFFFFF"/>
        </w:rPr>
        <w:t>1543.60</w:t>
      </w:r>
      <w:r>
        <w:rPr>
          <w:rFonts w:ascii="Times New Roman" w:hAnsi="Times New Roman"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与2023年度相比，减少0.09万元，下降0.0%</w:t>
      </w:r>
      <w:r>
        <w:rPr>
          <w:rFonts w:ascii="Times New Roman" w:hAnsi="Times New Roman" w:eastAsia="方正仿宋_GBK"/>
          <w:sz w:val="32"/>
          <w:szCs w:val="32"/>
          <w:shd w:val="clear" w:color="auto" w:fill="FFFFFF"/>
        </w:rPr>
        <w:t>，主要原因是坚持“过紧日子”要求，严格控制支出。其中：财政拨款收入</w:t>
      </w:r>
      <w:r>
        <w:rPr>
          <w:rFonts w:hint="default" w:ascii="Times New Roman" w:hAnsi="Times New Roman" w:eastAsia="方正仿宋_GBK"/>
          <w:sz w:val="32"/>
          <w:szCs w:val="32"/>
          <w:shd w:val="clear" w:color="auto" w:fill="FFFFFF"/>
        </w:rPr>
        <w:t>1543.60</w:t>
      </w:r>
      <w:r>
        <w:rPr>
          <w:rFonts w:ascii="Times New Roman" w:hAnsi="Times New Roman" w:eastAsia="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Times New Roman" w:hAnsi="Times New Roman" w:eastAsia="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Times New Roman" w:hAnsi="Times New Roman" w:eastAsia="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Times New Roman" w:hAnsi="Times New Roman" w:eastAsia="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sz w:val="32"/>
          <w:szCs w:val="32"/>
          <w:shd w:val="clear" w:color="auto" w:fill="FFFFFF"/>
        </w:rPr>
        <w:t>年度支出合计</w:t>
      </w:r>
      <w:r>
        <w:rPr>
          <w:rFonts w:hint="default" w:ascii="Times New Roman" w:hAnsi="Times New Roman" w:eastAsia="方正仿宋_GBK"/>
          <w:sz w:val="32"/>
          <w:szCs w:val="32"/>
          <w:shd w:val="clear" w:color="auto" w:fill="FFFFFF"/>
        </w:rPr>
        <w:t>1543.60</w:t>
      </w:r>
      <w:r>
        <w:rPr>
          <w:rFonts w:ascii="Times New Roman" w:hAnsi="Times New Roman"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与2023年度相比，减少0.09万元，下降0.0%</w:t>
      </w:r>
      <w:r>
        <w:rPr>
          <w:rFonts w:ascii="Times New Roman" w:hAnsi="Times New Roman" w:eastAsia="方正仿宋_GBK"/>
          <w:sz w:val="32"/>
          <w:szCs w:val="32"/>
          <w:shd w:val="clear" w:color="auto" w:fill="FFFFFF"/>
        </w:rPr>
        <w:t>，主要原因是坚持“过紧日子”要求，严格控制支出。其中：基本支出</w:t>
      </w:r>
      <w:r>
        <w:rPr>
          <w:rFonts w:hint="default" w:ascii="Times New Roman" w:hAnsi="Times New Roman" w:eastAsia="方正仿宋_GBK"/>
          <w:sz w:val="32"/>
          <w:szCs w:val="32"/>
          <w:shd w:val="clear" w:color="auto" w:fill="FFFFFF"/>
        </w:rPr>
        <w:t>1087.46</w:t>
      </w:r>
      <w:r>
        <w:rPr>
          <w:rFonts w:ascii="Times New Roman" w:hAnsi="Times New Roman" w:eastAsia="方正仿宋_GBK"/>
          <w:sz w:val="32"/>
          <w:szCs w:val="32"/>
          <w:shd w:val="clear" w:color="auto" w:fill="FFFFFF"/>
        </w:rPr>
        <w:t>万元，占</w:t>
      </w:r>
      <w:r>
        <w:rPr>
          <w:rFonts w:hint="default" w:ascii="Times New Roman" w:hAnsi="Times New Roman" w:eastAsia="方正仿宋_GBK"/>
          <w:sz w:val="32"/>
          <w:szCs w:val="32"/>
          <w:shd w:val="clear" w:color="auto" w:fill="FFFFFF"/>
        </w:rPr>
        <w:t>70.5%</w:t>
      </w:r>
      <w:r>
        <w:rPr>
          <w:rFonts w:ascii="Times New Roman" w:hAnsi="Times New Roman" w:eastAsia="方正仿宋_GBK"/>
          <w:sz w:val="32"/>
          <w:szCs w:val="32"/>
          <w:shd w:val="clear" w:color="auto" w:fill="FFFFFF"/>
        </w:rPr>
        <w:t>；项目支出</w:t>
      </w:r>
      <w:r>
        <w:rPr>
          <w:rFonts w:hint="default" w:ascii="Times New Roman" w:hAnsi="Times New Roman" w:eastAsia="方正仿宋_GBK"/>
          <w:sz w:val="32"/>
          <w:szCs w:val="32"/>
          <w:shd w:val="clear" w:color="auto" w:fill="FFFFFF"/>
        </w:rPr>
        <w:t>456.14</w:t>
      </w:r>
      <w:r>
        <w:rPr>
          <w:rFonts w:ascii="Times New Roman" w:hAnsi="Times New Roman" w:eastAsia="方正仿宋_GBK"/>
          <w:sz w:val="32"/>
          <w:szCs w:val="32"/>
          <w:shd w:val="clear" w:color="auto" w:fill="FFFFFF"/>
        </w:rPr>
        <w:t>万元，占</w:t>
      </w:r>
      <w:r>
        <w:rPr>
          <w:rFonts w:hint="default" w:ascii="Times New Roman" w:hAnsi="Times New Roman" w:eastAsia="方正仿宋_GBK"/>
          <w:sz w:val="32"/>
          <w:szCs w:val="32"/>
          <w:shd w:val="clear" w:color="auto" w:fill="FFFFFF"/>
        </w:rPr>
        <w:t>29.6%</w:t>
      </w:r>
      <w:r>
        <w:rPr>
          <w:rFonts w:ascii="Times New Roman" w:hAnsi="Times New Roman" w:eastAsia="方正仿宋_GBK"/>
          <w:sz w:val="32"/>
          <w:szCs w:val="32"/>
          <w:shd w:val="clear" w:color="auto" w:fill="FFFFFF"/>
        </w:rPr>
        <w:t>；经营支出</w:t>
      </w:r>
      <w:r>
        <w:rPr>
          <w:rFonts w:hint="default" w:ascii="Times New Roman" w:hAnsi="Times New Roman" w:eastAsia="方正仿宋_GBK"/>
          <w:sz w:val="32"/>
          <w:szCs w:val="32"/>
          <w:shd w:val="clear" w:color="auto" w:fill="FFFFFF"/>
        </w:rPr>
        <w:t>0.00</w:t>
      </w:r>
      <w:r>
        <w:rPr>
          <w:rFonts w:ascii="Times New Roman" w:hAnsi="Times New Roman" w:eastAsia="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Times New Roman" w:hAnsi="Times New Roman" w:eastAsia="方正仿宋_GBK"/>
          <w:sz w:val="32"/>
          <w:szCs w:val="32"/>
          <w:shd w:val="clear" w:color="auto" w:fill="FFFFFF"/>
        </w:rPr>
        <w:t>万元。</w:t>
      </w:r>
    </w:p>
    <w:p>
      <w:pPr>
        <w:pStyle w:val="9"/>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sz w:val="32"/>
          <w:szCs w:val="32"/>
          <w:shd w:val="clear" w:color="auto" w:fill="FFFFFF"/>
        </w:rPr>
        <w:t>，与上年决算数持平。</w:t>
      </w:r>
    </w:p>
    <w:p>
      <w:pPr>
        <w:pStyle w:val="9"/>
        <w:shd w:val="clear" w:color="auto" w:fill="FFFFFF"/>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1543.60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财政拨款收、支总计各减少0.09万元，下降0.0%</w:t>
      </w:r>
      <w:r>
        <w:rPr>
          <w:rFonts w:ascii="方正仿宋_GBK" w:hAnsi="方正仿宋_GBK" w:eastAsia="方正仿宋_GBK" w:cs="方正仿宋_GBK"/>
          <w:sz w:val="32"/>
          <w:szCs w:val="32"/>
          <w:shd w:val="clear" w:color="auto" w:fill="FFFFFF"/>
        </w:rPr>
        <w:t>。主要原因是坚持“过紧日子”要求，严格控制支出。</w:t>
      </w:r>
    </w:p>
    <w:p>
      <w:pPr>
        <w:pStyle w:val="9"/>
        <w:shd w:val="clear" w:color="auto" w:fill="FFFFFF"/>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1543.60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与2023年度相比，减少0.09万元，下降0.0%</w:t>
      </w:r>
      <w:r>
        <w:rPr>
          <w:rFonts w:ascii="方正仿宋_GBK" w:hAnsi="方正仿宋_GBK" w:eastAsia="方正仿宋_GBK" w:cs="方正仿宋_GBK"/>
          <w:sz w:val="32"/>
          <w:szCs w:val="32"/>
          <w:shd w:val="clear" w:color="auto" w:fill="FFFFFF"/>
        </w:rPr>
        <w:t>。主要原因是坚持“过紧日子”要求，严格控制支出。</w:t>
      </w:r>
      <w:r>
        <w:rPr>
          <w:rFonts w:hint="default" w:ascii="Times New Roman" w:hAnsi="Times New Roman" w:eastAsia="方正仿宋_GBK"/>
          <w:sz w:val="32"/>
          <w:szCs w:val="32"/>
          <w:shd w:val="clear" w:color="auto" w:fill="FFFFFF"/>
        </w:rPr>
        <w:t>较年初预算数增加190.51万元，增长14.1%</w:t>
      </w:r>
      <w:r>
        <w:rPr>
          <w:rFonts w:ascii="方正仿宋_GBK" w:hAnsi="方正仿宋_GBK" w:eastAsia="方正仿宋_GBK" w:cs="方正仿宋_GBK"/>
          <w:sz w:val="32"/>
          <w:szCs w:val="32"/>
          <w:shd w:val="clear" w:color="auto" w:fill="FFFFFF"/>
        </w:rPr>
        <w:t>。主要原因是养老保险缴费基数调整，社保支出相应增加。此外，年初财政拨款结转和结余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1543.60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与2023年度相比，减少0.09万元，下降0.0%</w:t>
      </w:r>
      <w:r>
        <w:rPr>
          <w:rFonts w:ascii="方正仿宋_GBK" w:hAnsi="方正仿宋_GBK" w:eastAsia="方正仿宋_GBK" w:cs="方正仿宋_GBK"/>
          <w:sz w:val="32"/>
          <w:szCs w:val="32"/>
          <w:shd w:val="clear" w:color="auto" w:fill="FFFFFF"/>
        </w:rPr>
        <w:t>。主要原因是坚持“过紧日子”要求，严格控制支出。</w:t>
      </w:r>
      <w:r>
        <w:rPr>
          <w:rFonts w:hint="default" w:ascii="Times New Roman" w:hAnsi="Times New Roman" w:eastAsia="方正仿宋_GBK"/>
          <w:sz w:val="32"/>
          <w:szCs w:val="32"/>
          <w:shd w:val="clear" w:color="auto" w:fill="FFFFFF"/>
        </w:rPr>
        <w:t>较年初预算数增加190.51万元，增长14.1%</w:t>
      </w:r>
      <w:r>
        <w:rPr>
          <w:rFonts w:ascii="方正仿宋_GBK" w:hAnsi="方正仿宋_GBK" w:eastAsia="方正仿宋_GBK" w:cs="方正仿宋_GBK"/>
          <w:sz w:val="32"/>
          <w:szCs w:val="32"/>
          <w:shd w:val="clear" w:color="auto" w:fill="FFFFFF"/>
        </w:rPr>
        <w:t>。主要原因是养老保险缴费基数调整，社保支出相应增加。</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shd w:val="clear" w:color="auto" w:fill="FFFFFF"/>
        </w:rPr>
        <w:t>（1）社</w:t>
      </w:r>
      <w:r>
        <w:rPr>
          <w:rFonts w:ascii="方正仿宋_GBK" w:hAnsi="方正仿宋_GBK" w:eastAsia="方正仿宋_GBK" w:cs="方正仿宋_GBK"/>
          <w:sz w:val="32"/>
          <w:szCs w:val="32"/>
          <w:shd w:val="clear" w:color="auto" w:fill="FFFFFF"/>
        </w:rPr>
        <w:t>会保障和就业支出</w:t>
      </w:r>
      <w:r>
        <w:rPr>
          <w:rFonts w:hint="default" w:ascii="Times New Roman" w:hAnsi="Times New Roman" w:eastAsia="方正仿宋_GBK"/>
          <w:sz w:val="32"/>
          <w:szCs w:val="32"/>
          <w:shd w:val="clear" w:color="auto" w:fill="FFFFFF"/>
        </w:rPr>
        <w:t>314.95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20.4%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较年初预算数增加233.77万元，增长288.0%</w:t>
      </w:r>
      <w:r>
        <w:rPr>
          <w:rFonts w:ascii="方正仿宋_GBK" w:hAnsi="方正仿宋_GBK" w:eastAsia="方正仿宋_GBK" w:cs="方正仿宋_GBK"/>
          <w:sz w:val="32"/>
          <w:szCs w:val="32"/>
          <w:shd w:val="clear" w:color="auto" w:fill="FFFFFF"/>
        </w:rPr>
        <w:t>，主要原因是养老保险缴费基数调整，社保支出相应增加。</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shd w:val="clear" w:color="auto" w:fill="FFFFFF"/>
        </w:rPr>
        <w:t>（2）卫生健康支出</w:t>
      </w:r>
      <w:r>
        <w:rPr>
          <w:rFonts w:hint="default" w:ascii="Times New Roman" w:hAnsi="Times New Roman" w:eastAsia="方正仿宋_GBK"/>
          <w:sz w:val="32"/>
          <w:szCs w:val="32"/>
          <w:shd w:val="clear" w:color="auto" w:fill="FFFFFF"/>
        </w:rPr>
        <w:t>52.30</w:t>
      </w:r>
      <w:r>
        <w:rPr>
          <w:rFonts w:ascii="Times New Roman" w:hAnsi="Times New Roman" w:eastAsia="方正仿宋_GBK"/>
          <w:sz w:val="32"/>
          <w:szCs w:val="32"/>
          <w:shd w:val="clear" w:color="auto" w:fill="FFFFFF"/>
        </w:rPr>
        <w:t>万元，占</w:t>
      </w:r>
      <w:r>
        <w:rPr>
          <w:rFonts w:hint="default" w:ascii="Times New Roman" w:hAnsi="Times New Roman" w:eastAsia="方正仿宋_GBK"/>
          <w:sz w:val="32"/>
          <w:szCs w:val="32"/>
          <w:shd w:val="clear" w:color="auto" w:fill="FFFFFF"/>
        </w:rPr>
        <w:t>3.4%</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较年初预算数减少2.22万元，下降4.1%</w:t>
      </w:r>
      <w:r>
        <w:rPr>
          <w:rFonts w:ascii="方正仿宋_GBK" w:hAnsi="方正仿宋_GBK" w:eastAsia="方正仿宋_GBK" w:cs="方正仿宋_GBK"/>
          <w:sz w:val="32"/>
          <w:szCs w:val="32"/>
          <w:shd w:val="clear" w:color="auto" w:fill="FFFFFF"/>
        </w:rPr>
        <w:t>，主要原因是个别职工退休，职工基本医疗保险缴费相应减少。</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1138.34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73.8%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较年初预算数减少38.46万元，下降3.3%</w:t>
      </w:r>
      <w:r>
        <w:rPr>
          <w:rFonts w:ascii="方正仿宋_GBK" w:hAnsi="方正仿宋_GBK" w:eastAsia="方正仿宋_GBK" w:cs="方正仿宋_GBK"/>
          <w:sz w:val="32"/>
          <w:szCs w:val="32"/>
          <w:shd w:val="clear" w:color="auto" w:fill="FFFFFF"/>
        </w:rPr>
        <w:t>，主要原因是坚持“过紧日子”要求，严格控制预算。</w:t>
      </w:r>
    </w:p>
    <w:p>
      <w:pPr>
        <w:spacing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38.00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较年初预算数减少2.59万元，下降6.4%</w:t>
      </w:r>
      <w:r>
        <w:rPr>
          <w:rFonts w:ascii="方正仿宋_GBK" w:hAnsi="方正仿宋_GBK" w:eastAsia="方正仿宋_GBK" w:cs="方正仿宋_GBK"/>
          <w:sz w:val="32"/>
          <w:szCs w:val="32"/>
          <w:shd w:val="clear" w:color="auto" w:fill="FFFFFF"/>
        </w:rPr>
        <w:t>，主要原因是个别职工退休，住房保障支出相应减少。</w:t>
      </w:r>
    </w:p>
    <w:p>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sz w:val="32"/>
          <w:szCs w:val="32"/>
          <w:shd w:val="clear" w:color="auto" w:fill="FFFFFF"/>
        </w:rPr>
        <w:t>。</w:t>
      </w:r>
    </w:p>
    <w:p>
      <w:pPr>
        <w:pStyle w:val="9"/>
        <w:shd w:val="clear" w:color="auto" w:fill="FFFFFF"/>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1087.46</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998.23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与2023年度相比，增加16.59万元，增长1.7%</w:t>
      </w:r>
      <w:r>
        <w:rPr>
          <w:rFonts w:ascii="方正仿宋_GBK" w:hAnsi="方正仿宋_GBK" w:eastAsia="方正仿宋_GBK" w:cs="方正仿宋_GBK"/>
          <w:sz w:val="32"/>
          <w:szCs w:val="32"/>
          <w:shd w:val="clear" w:color="auto" w:fill="FFFFFF"/>
        </w:rPr>
        <w:t>，主要原因是养老保险缴费基数调整，人员经费相应增加。人员经费用途主要包括基本工资、津贴补贴、绩效工资、社会保障缴费等。</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89.23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与2023年度相比，减少4.18万元，下降4.5%</w:t>
      </w:r>
      <w:r>
        <w:rPr>
          <w:rFonts w:ascii="方正仿宋_GBK" w:hAnsi="方正仿宋_GBK" w:eastAsia="方正仿宋_GBK" w:cs="方正仿宋_GBK"/>
          <w:sz w:val="32"/>
          <w:szCs w:val="32"/>
          <w:shd w:val="clear" w:color="auto" w:fill="FFFFFF"/>
        </w:rPr>
        <w:t>，主要原因是坚持“过紧日子”要求，严格控制预算。公用经费用途主要包括办公费、印刷费、咨询费、手续费、差旅费、车辆维护费等。</w:t>
      </w:r>
    </w:p>
    <w:p>
      <w:pPr>
        <w:pStyle w:val="9"/>
        <w:shd w:val="clear" w:color="auto" w:fill="FFFFFF"/>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本单位</w:t>
      </w:r>
      <w:r>
        <w:rPr>
          <w:rFonts w:hint="default" w:ascii="Times New Roman" w:hAnsi="Times New Roman" w:eastAsia="方正仿宋_GBK"/>
          <w:sz w:val="32"/>
          <w:szCs w:val="32"/>
          <w:shd w:val="clear" w:color="auto" w:fill="FFFFFF"/>
        </w:rPr>
        <w:t>2024</w:t>
      </w:r>
      <w:r>
        <w:rPr>
          <w:rFonts w:ascii="Times New Roman" w:hAnsi="Times New Roman" w:eastAsia="方正仿宋_GBK"/>
          <w:sz w:val="32"/>
          <w:szCs w:val="32"/>
          <w:shd w:val="clear" w:color="auto" w:fill="FFFFFF"/>
        </w:rPr>
        <w:t>年度无政府性基金预算财政拨款收支。</w:t>
      </w:r>
    </w:p>
    <w:p>
      <w:pPr>
        <w:pStyle w:val="9"/>
        <w:shd w:val="clear" w:color="auto" w:fill="FFFFFF"/>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shd w:val="clear" w:color="auto" w:fill="FFFFFF"/>
        </w:rPr>
        <w:t>本单位</w:t>
      </w:r>
      <w:r>
        <w:rPr>
          <w:rFonts w:hint="default" w:ascii="Times New Roman" w:hAnsi="Times New Roman" w:eastAsia="方正仿宋_GBK"/>
          <w:sz w:val="32"/>
          <w:szCs w:val="32"/>
          <w:shd w:val="clear" w:color="auto" w:fill="FFFFFF"/>
        </w:rPr>
        <w:t>2024</w:t>
      </w:r>
      <w:r>
        <w:rPr>
          <w:rFonts w:ascii="Times New Roman" w:hAnsi="Times New Roman" w:eastAsia="方正仿宋_GBK"/>
          <w:sz w:val="32"/>
          <w:szCs w:val="32"/>
          <w:shd w:val="clear" w:color="auto" w:fill="FFFFFF"/>
        </w:rPr>
        <w:t>年度无国有资本经营预算财政拨款支出。</w:t>
      </w:r>
    </w:p>
    <w:p>
      <w:pPr>
        <w:pStyle w:val="9"/>
        <w:shd w:val="clear" w:color="auto" w:fill="FFFFFF"/>
        <w:spacing w:before="0" w:beforeAutospacing="0" w:after="0" w:afterAutospacing="0" w:line="596" w:lineRule="exact"/>
        <w:rPr>
          <w:rStyle w:val="13"/>
          <w:rFonts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三、财政拨款“三公”经费情况说明</w:t>
      </w:r>
    </w:p>
    <w:p>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14.51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较年初预算数减少0.49万元，下降3.3%</w:t>
      </w:r>
      <w:r>
        <w:rPr>
          <w:rFonts w:ascii="方正仿宋_GBK" w:hAnsi="方正仿宋_GBK" w:eastAsia="方正仿宋_GBK" w:cs="方正仿宋_GBK"/>
          <w:sz w:val="32"/>
          <w:szCs w:val="32"/>
          <w:shd w:val="clear" w:color="auto" w:fill="FFFFFF"/>
        </w:rPr>
        <w:t>，主要原因是本年度强化公务接待支出管理，严格遵守公务接待开支范围和开支标准，公务接待支出</w:t>
      </w:r>
      <w:r>
        <w:rPr>
          <w:rFonts w:hint="default" w:ascii="Times New Roman" w:hAnsi="Times New Roman" w:eastAsia="方正仿宋_GBK"/>
          <w:sz w:val="32"/>
          <w:szCs w:val="32"/>
          <w:shd w:val="clear" w:color="auto" w:fill="FFFFFF"/>
        </w:rPr>
        <w:t>较年初预算数减少0.49万元</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较上年支出数减少3.56万元，下降19.7%</w:t>
      </w:r>
      <w:r>
        <w:rPr>
          <w:rFonts w:ascii="方正仿宋_GBK" w:hAnsi="方正仿宋_GBK" w:eastAsia="方正仿宋_GBK" w:cs="方正仿宋_GBK"/>
          <w:sz w:val="32"/>
          <w:szCs w:val="32"/>
          <w:shd w:val="clear" w:color="auto" w:fill="FFFFFF"/>
        </w:rPr>
        <w:t>，主要原因是按照中央及区级财政要求严格控制预算。</w:t>
      </w:r>
    </w:p>
    <w:p>
      <w:pPr>
        <w:pStyle w:val="9"/>
        <w:shd w:val="clear" w:color="auto" w:fill="FFFFFF"/>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万元，费用支出较年初预算数和上年支出数无增减。</w:t>
      </w:r>
      <w:r>
        <w:rPr>
          <w:rFonts w:ascii="Times New Roman" w:hAnsi="Times New Roman" w:eastAsia="方正仿宋_GBK"/>
          <w:sz w:val="32"/>
          <w:szCs w:val="32"/>
          <w:shd w:val="clear" w:color="auto" w:fill="FFFFFF"/>
        </w:rPr>
        <w:t>本单位2024年度未发</w:t>
      </w:r>
      <w:bookmarkStart w:id="0" w:name="_GoBack"/>
      <w:bookmarkEnd w:id="0"/>
      <w:r>
        <w:rPr>
          <w:rFonts w:ascii="Times New Roman" w:hAnsi="Times New Roman" w:eastAsia="方正仿宋_GBK"/>
          <w:sz w:val="32"/>
          <w:szCs w:val="32"/>
          <w:shd w:val="clear" w:color="auto" w:fill="FFFFFF"/>
        </w:rPr>
        <w:t>生因公出国（境）费用。</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公务车购置费0.00万元，费用支出较年初预算数和上年支出数无增减。本单位2024年度未发生公务车购置费用。</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万元，主要用于区内外因公出行、安全、海事、运政、港口安全检查等工作所需车辆的燃料费、维修费、过路过桥费、保险费等。费用支出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，主要原因是严格按照规定范围和标准安排公务用车运行。</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，主要原因是严格落实公车使用规定，按照要求控制支出。</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4.51</w:t>
      </w:r>
      <w:r>
        <w:rPr>
          <w:rFonts w:ascii="方正仿宋_GBK" w:hAnsi="方正仿宋_GBK" w:eastAsia="方正仿宋_GBK" w:cs="方正仿宋_GBK"/>
          <w:sz w:val="32"/>
          <w:szCs w:val="32"/>
          <w:shd w:val="clear" w:color="auto" w:fill="FFFFFF"/>
        </w:rPr>
        <w:t>万元，主要用于接待上级部门检查指导工作发生的接待开支。费用支出</w:t>
      </w:r>
      <w:r>
        <w:rPr>
          <w:rFonts w:hint="default" w:ascii="Times New Roman" w:hAnsi="Times New Roman" w:eastAsia="方正仿宋_GBK"/>
          <w:sz w:val="32"/>
          <w:szCs w:val="32"/>
          <w:shd w:val="clear" w:color="auto" w:fill="FFFFFF"/>
        </w:rPr>
        <w:t>较年初预算数减少0.49万元，下降9.8%</w:t>
      </w:r>
      <w:r>
        <w:rPr>
          <w:rFonts w:ascii="方正仿宋_GBK" w:hAnsi="方正仿宋_GBK" w:eastAsia="方正仿宋_GBK" w:cs="方正仿宋_GBK"/>
          <w:sz w:val="32"/>
          <w:szCs w:val="32"/>
          <w:shd w:val="clear" w:color="auto" w:fill="FFFFFF"/>
        </w:rPr>
        <w:t>，主要原因是强化公务接待支出管理，严格遵守公务接待开支范围和开支标准，严格控制陪餐人数，应由接待对象承担的费用一律由接待对象自行支付。</w:t>
      </w:r>
      <w:r>
        <w:rPr>
          <w:rFonts w:hint="default" w:ascii="Times New Roman" w:hAnsi="Times New Roman" w:eastAsia="方正仿宋_GBK"/>
          <w:sz w:val="32"/>
          <w:szCs w:val="32"/>
          <w:shd w:val="clear" w:color="auto" w:fill="FFFFFF"/>
        </w:rPr>
        <w:t>较上年支出数减少3.56万元，下降44.1%</w:t>
      </w:r>
      <w:r>
        <w:rPr>
          <w:rFonts w:ascii="方正仿宋_GBK" w:hAnsi="方正仿宋_GBK" w:eastAsia="方正仿宋_GBK" w:cs="方正仿宋_GBK"/>
          <w:sz w:val="32"/>
          <w:szCs w:val="32"/>
          <w:shd w:val="clear" w:color="auto" w:fill="FFFFFF"/>
        </w:rPr>
        <w:t>，主要原因是坚持“过紧日子”要求，严格控制支出。</w:t>
      </w:r>
    </w:p>
    <w:p>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1003</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44.99</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1.67</w:t>
      </w:r>
      <w:r>
        <w:rPr>
          <w:rFonts w:ascii="方正仿宋_GBK" w:hAnsi="方正仿宋_GBK" w:eastAsia="方正仿宋_GBK" w:cs="方正仿宋_GBK"/>
          <w:sz w:val="32"/>
          <w:szCs w:val="32"/>
          <w:shd w:val="clear" w:color="auto" w:fill="FFFFFF"/>
        </w:rPr>
        <w:t>万元。</w:t>
      </w:r>
    </w:p>
    <w:p>
      <w:pPr>
        <w:pStyle w:val="9"/>
        <w:shd w:val="clear" w:color="auto" w:fill="FFFFFF"/>
        <w:spacing w:before="0" w:beforeAutospacing="0" w:after="0" w:afterAutospacing="0" w:line="596" w:lineRule="exact"/>
        <w:rPr>
          <w:rStyle w:val="13"/>
          <w:rFonts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shd w:val="clear" w:color="auto" w:fill="FFFFFF"/>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2.92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与2023年度相比，减少0.51万元，下降14.9%</w:t>
      </w:r>
      <w:r>
        <w:rPr>
          <w:rFonts w:ascii="方正仿宋_GBK" w:hAnsi="方正仿宋_GBK" w:eastAsia="方正仿宋_GBK" w:cs="方正仿宋_GBK"/>
          <w:sz w:val="32"/>
          <w:szCs w:val="32"/>
          <w:shd w:val="clear" w:color="auto" w:fill="FFFFFF"/>
        </w:rPr>
        <w:t>，主要原因是优化会议等活动开展方式，严格控制支出。本年度培训费支出</w:t>
      </w:r>
      <w:r>
        <w:rPr>
          <w:rFonts w:hint="default" w:ascii="Times New Roman" w:hAnsi="Times New Roman" w:eastAsia="方正仿宋_GBK"/>
          <w:sz w:val="32"/>
          <w:szCs w:val="32"/>
          <w:shd w:val="clear" w:color="auto" w:fill="FFFFFF"/>
        </w:rPr>
        <w:t>4.59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与2023年度相比，增加3.80万元，增长481.0%</w:t>
      </w:r>
      <w:r>
        <w:rPr>
          <w:rFonts w:ascii="方正仿宋_GBK" w:hAnsi="方正仿宋_GBK" w:eastAsia="方正仿宋_GBK" w:cs="方正仿宋_GBK"/>
          <w:sz w:val="32"/>
          <w:szCs w:val="32"/>
          <w:shd w:val="clear" w:color="auto" w:fill="FFFFFF"/>
        </w:rPr>
        <w:t>，主要原因是本年度员工参加党校培训、内河高速船员培训教育、应急队员参加三类驾驶员培训等培训活动增加，发生相应支出。本年度差旅费支出</w:t>
      </w:r>
      <w:r>
        <w:rPr>
          <w:rFonts w:hint="default" w:ascii="Times New Roman" w:hAnsi="Times New Roman" w:eastAsia="方正仿宋_GBK"/>
          <w:sz w:val="32"/>
          <w:szCs w:val="32"/>
          <w:shd w:val="clear" w:color="auto" w:fill="FFFFFF"/>
        </w:rPr>
        <w:t>6.00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与2023年度相比，减少5.74万元，下降48.9%</w:t>
      </w:r>
      <w:r>
        <w:rPr>
          <w:rFonts w:ascii="方正仿宋_GBK" w:hAnsi="方正仿宋_GBK" w:eastAsia="方正仿宋_GBK" w:cs="方正仿宋_GBK"/>
          <w:sz w:val="32"/>
          <w:szCs w:val="32"/>
          <w:shd w:val="clear" w:color="auto" w:fill="FFFFFF"/>
        </w:rPr>
        <w:t>，主要原因是严格控制支出。</w:t>
      </w:r>
    </w:p>
    <w:p>
      <w:pPr>
        <w:pStyle w:val="9"/>
        <w:shd w:val="clear" w:color="auto" w:fill="FFFFFF"/>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按照部门决算列报口径，我</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不在机关运行经费统计范围之内。</w:t>
      </w:r>
    </w:p>
    <w:p>
      <w:pPr>
        <w:pStyle w:val="9"/>
        <w:shd w:val="clear" w:color="auto" w:fill="FFFFFF"/>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shd w:val="clear" w:color="auto" w:fill="FFFFFF"/>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highlight w:val="yellow"/>
        </w:rPr>
      </w:pPr>
      <w:r>
        <w:rPr>
          <w:rFonts w:ascii="Times New Roman" w:hAnsi="Times New Roman" w:eastAsia="方正仿宋_GBK"/>
          <w:sz w:val="32"/>
          <w:szCs w:val="32"/>
          <w:shd w:val="clear" w:color="auto" w:fill="FFFFFF"/>
        </w:rPr>
        <w:t>2024年度我单位未发生政府采购事项，无相关经费支出。</w:t>
      </w:r>
    </w:p>
    <w:p>
      <w:pPr>
        <w:pStyle w:val="15"/>
        <w:spacing w:before="0" w:beforeAutospacing="0" w:after="0" w:afterAutospacing="0" w:line="596" w:lineRule="exact"/>
        <w:rPr>
          <w:rStyle w:val="13"/>
          <w:rFonts w:hint="eastAsia"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五、2024年度预算绩效管理情况说明</w:t>
      </w:r>
    </w:p>
    <w:p>
      <w:pPr>
        <w:pStyle w:val="15"/>
        <w:autoSpaceDE w:val="0"/>
        <w:spacing w:before="0" w:beforeAutospacing="0" w:after="0" w:afterAutospacing="0" w:line="596" w:lineRule="exact"/>
        <w:ind w:firstLine="643" w:firstLineChars="20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5"/>
        <w:autoSpaceDE w:val="0"/>
        <w:spacing w:before="0" w:beforeAutospacing="0" w:after="0" w:afterAutospacing="0" w:line="596"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根据预算绩效管理要求，我单位对8个项目开展了绩效自评。</w:t>
      </w:r>
    </w:p>
    <w:p>
      <w:pPr>
        <w:pStyle w:val="15"/>
        <w:spacing w:before="0" w:beforeAutospacing="0" w:after="0" w:afterAutospacing="0" w:line="596" w:lineRule="exact"/>
        <w:ind w:firstLine="643" w:firstLineChars="200"/>
        <w:rPr>
          <w:rFonts w:hint="eastAsia" w:ascii="方正仿宋_GBK" w:hAnsi="方正仿宋_GBK" w:eastAsia="方正仿宋_GBK" w:cs="方正仿宋_GBK"/>
          <w:b/>
          <w:bCs/>
          <w:sz w:val="32"/>
          <w:szCs w:val="32"/>
          <w:shd w:val="clear" w:color="auto" w:fill="FFFFFF"/>
        </w:rPr>
      </w:pPr>
      <w:r>
        <w:rPr>
          <w:rFonts w:ascii="方正仿宋_GBK" w:hAnsi="方正仿宋_GBK" w:eastAsia="方正仿宋_GBK" w:cs="方正仿宋_GBK"/>
          <w:b/>
          <w:bCs/>
          <w:sz w:val="32"/>
          <w:szCs w:val="32"/>
          <w:shd w:val="clear" w:color="auto" w:fill="FFFFFF"/>
        </w:rPr>
        <w:t>1.项目支出绩效自评汇总表</w:t>
      </w:r>
    </w:p>
    <w:tbl>
      <w:tblPr>
        <w:tblStyle w:val="10"/>
        <w:tblW w:w="7953" w:type="dxa"/>
        <w:jc w:val="center"/>
        <w:tblLayout w:type="fixed"/>
        <w:tblCellMar>
          <w:top w:w="0" w:type="dxa"/>
          <w:left w:w="108" w:type="dxa"/>
          <w:bottom w:w="0" w:type="dxa"/>
          <w:right w:w="108" w:type="dxa"/>
        </w:tblCellMar>
      </w:tblPr>
      <w:tblGrid>
        <w:gridCol w:w="840"/>
        <w:gridCol w:w="5412"/>
        <w:gridCol w:w="1701"/>
      </w:tblGrid>
      <w:tr>
        <w:tblPrEx>
          <w:tblCellMar>
            <w:top w:w="0" w:type="dxa"/>
            <w:left w:w="108" w:type="dxa"/>
            <w:bottom w:w="0" w:type="dxa"/>
            <w:right w:w="108" w:type="dxa"/>
          </w:tblCellMar>
        </w:tblPrEx>
        <w:trPr>
          <w:trHeight w:val="345" w:hRule="atLeast"/>
          <w:jc w:val="center"/>
        </w:trPr>
        <w:tc>
          <w:tcPr>
            <w:tcW w:w="7953" w:type="dxa"/>
            <w:gridSpan w:val="3"/>
            <w:tcBorders>
              <w:top w:val="nil"/>
              <w:left w:val="nil"/>
              <w:bottom w:val="single" w:color="auto" w:sz="4" w:space="0"/>
              <w:right w:val="nil"/>
            </w:tcBorders>
            <w:shd w:val="clear" w:color="auto" w:fill="auto"/>
            <w:vAlign w:val="center"/>
          </w:tcPr>
          <w:p>
            <w:pPr>
              <w:rPr>
                <w:rFonts w:ascii="方正仿宋_GBK" w:eastAsia="方正仿宋_GBK" w:cs="宋体"/>
                <w:b/>
                <w:color w:val="000000"/>
                <w:sz w:val="15"/>
                <w:szCs w:val="15"/>
              </w:rPr>
            </w:pPr>
          </w:p>
        </w:tc>
      </w:tr>
      <w:tr>
        <w:tblPrEx>
          <w:tblCellMar>
            <w:top w:w="0" w:type="dxa"/>
            <w:left w:w="108" w:type="dxa"/>
            <w:bottom w:w="0" w:type="dxa"/>
            <w:right w:w="108" w:type="dxa"/>
          </w:tblCellMar>
        </w:tblPrEx>
        <w:trPr>
          <w:trHeight w:val="555"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jc w:val="center"/>
              <w:textAlignment w:val="bottom"/>
              <w:rPr>
                <w:rFonts w:cs="宋体"/>
                <w:color w:val="000000"/>
                <w:sz w:val="22"/>
                <w:szCs w:val="22"/>
                <w:lang w:bidi="ar"/>
              </w:rPr>
            </w:pPr>
            <w:r>
              <w:rPr>
                <w:rFonts w:cs="宋体"/>
                <w:color w:val="000000"/>
                <w:sz w:val="22"/>
                <w:szCs w:val="22"/>
                <w:lang w:bidi="ar"/>
              </w:rPr>
              <w:t>序号</w:t>
            </w:r>
          </w:p>
        </w:tc>
        <w:tc>
          <w:tcPr>
            <w:tcW w:w="5412" w:type="dxa"/>
            <w:tcBorders>
              <w:top w:val="nil"/>
              <w:left w:val="nil"/>
              <w:bottom w:val="single" w:color="auto" w:sz="4" w:space="0"/>
              <w:right w:val="single" w:color="auto" w:sz="4" w:space="0"/>
            </w:tcBorders>
            <w:shd w:val="clear" w:color="auto" w:fill="auto"/>
            <w:vAlign w:val="center"/>
          </w:tcPr>
          <w:p>
            <w:pPr>
              <w:jc w:val="center"/>
              <w:textAlignment w:val="bottom"/>
              <w:rPr>
                <w:rFonts w:cs="宋体"/>
                <w:color w:val="000000"/>
                <w:sz w:val="22"/>
                <w:szCs w:val="22"/>
                <w:lang w:bidi="ar"/>
              </w:rPr>
            </w:pPr>
            <w:r>
              <w:rPr>
                <w:rFonts w:cs="宋体"/>
                <w:color w:val="000000"/>
                <w:sz w:val="22"/>
                <w:szCs w:val="22"/>
                <w:lang w:bidi="ar"/>
              </w:rPr>
              <w:t>项目名称</w:t>
            </w:r>
          </w:p>
        </w:tc>
        <w:tc>
          <w:tcPr>
            <w:tcW w:w="1701" w:type="dxa"/>
            <w:tcBorders>
              <w:top w:val="nil"/>
              <w:left w:val="nil"/>
              <w:bottom w:val="single" w:color="auto" w:sz="4" w:space="0"/>
              <w:right w:val="single" w:color="auto" w:sz="4" w:space="0"/>
            </w:tcBorders>
            <w:shd w:val="clear" w:color="auto" w:fill="auto"/>
            <w:noWrap/>
            <w:vAlign w:val="center"/>
          </w:tcPr>
          <w:p>
            <w:pPr>
              <w:jc w:val="center"/>
              <w:textAlignment w:val="bottom"/>
              <w:rPr>
                <w:rFonts w:cs="宋体"/>
                <w:color w:val="000000"/>
                <w:sz w:val="22"/>
                <w:szCs w:val="22"/>
                <w:lang w:bidi="ar"/>
              </w:rPr>
            </w:pPr>
            <w:r>
              <w:rPr>
                <w:rFonts w:cs="宋体"/>
                <w:color w:val="000000"/>
                <w:sz w:val="22"/>
                <w:szCs w:val="22"/>
                <w:lang w:bidi="ar"/>
              </w:rPr>
              <w:t>自评得分</w:t>
            </w:r>
          </w:p>
        </w:tc>
      </w:tr>
      <w:tr>
        <w:tblPrEx>
          <w:tblCellMar>
            <w:top w:w="0" w:type="dxa"/>
            <w:left w:w="108" w:type="dxa"/>
            <w:bottom w:w="0" w:type="dxa"/>
            <w:right w:w="108" w:type="dxa"/>
          </w:tblCellMar>
        </w:tblPrEx>
        <w:trPr>
          <w:trHeight w:val="555"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ottom"/>
              <w:rPr>
                <w:rFonts w:hint="default" w:cs="宋体"/>
                <w:color w:val="000000"/>
                <w:sz w:val="22"/>
                <w:szCs w:val="22"/>
                <w:lang w:bidi="ar"/>
              </w:rPr>
            </w:pPr>
            <w:r>
              <w:rPr>
                <w:rFonts w:cs="宋体"/>
                <w:color w:val="000000"/>
                <w:sz w:val="22"/>
                <w:szCs w:val="22"/>
                <w:lang w:bidi="ar"/>
              </w:rPr>
              <w:t>1</w:t>
            </w:r>
          </w:p>
        </w:tc>
        <w:tc>
          <w:tcPr>
            <w:tcW w:w="5412" w:type="dxa"/>
            <w:tcBorders>
              <w:top w:val="single" w:color="auto" w:sz="4" w:space="0"/>
              <w:left w:val="nil"/>
              <w:bottom w:val="single" w:color="auto" w:sz="4" w:space="0"/>
              <w:right w:val="single" w:color="auto" w:sz="4" w:space="0"/>
            </w:tcBorders>
            <w:shd w:val="clear" w:color="auto" w:fill="auto"/>
            <w:vAlign w:val="bottom"/>
          </w:tcPr>
          <w:p>
            <w:pPr>
              <w:jc w:val="center"/>
              <w:textAlignment w:val="bottom"/>
              <w:rPr>
                <w:rFonts w:hint="default" w:cs="宋体"/>
                <w:color w:val="000000"/>
                <w:sz w:val="22"/>
                <w:szCs w:val="22"/>
                <w:lang w:bidi="ar"/>
              </w:rPr>
            </w:pPr>
            <w:r>
              <w:rPr>
                <w:rFonts w:cs="宋体"/>
                <w:color w:val="000000"/>
                <w:sz w:val="22"/>
                <w:szCs w:val="22"/>
                <w:lang w:bidi="ar"/>
              </w:rPr>
              <w:t>港航海事业务费</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jc w:val="center"/>
              <w:textAlignment w:val="bottom"/>
              <w:rPr>
                <w:rFonts w:hint="default" w:cs="宋体"/>
                <w:color w:val="000000"/>
                <w:sz w:val="22"/>
                <w:szCs w:val="22"/>
                <w:lang w:bidi="ar"/>
              </w:rPr>
            </w:pPr>
            <w:r>
              <w:rPr>
                <w:rFonts w:cs="宋体"/>
                <w:color w:val="000000"/>
                <w:sz w:val="22"/>
                <w:szCs w:val="22"/>
                <w:lang w:bidi="ar"/>
              </w:rPr>
              <w:t>100</w:t>
            </w:r>
          </w:p>
        </w:tc>
      </w:tr>
      <w:tr>
        <w:tblPrEx>
          <w:tblCellMar>
            <w:top w:w="0" w:type="dxa"/>
            <w:left w:w="108" w:type="dxa"/>
            <w:bottom w:w="0" w:type="dxa"/>
            <w:right w:w="108" w:type="dxa"/>
          </w:tblCellMar>
        </w:tblPrEx>
        <w:trPr>
          <w:trHeight w:val="555"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ottom"/>
              <w:rPr>
                <w:rFonts w:hint="default" w:cs="宋体"/>
                <w:color w:val="000000"/>
                <w:sz w:val="22"/>
                <w:szCs w:val="22"/>
                <w:lang w:bidi="ar"/>
              </w:rPr>
            </w:pPr>
            <w:r>
              <w:rPr>
                <w:rFonts w:cs="宋体"/>
                <w:color w:val="000000"/>
                <w:sz w:val="22"/>
                <w:szCs w:val="22"/>
                <w:lang w:bidi="ar"/>
              </w:rPr>
              <w:t>2</w:t>
            </w:r>
          </w:p>
        </w:tc>
        <w:tc>
          <w:tcPr>
            <w:tcW w:w="5412" w:type="dxa"/>
            <w:tcBorders>
              <w:top w:val="single" w:color="auto" w:sz="4" w:space="0"/>
              <w:left w:val="nil"/>
              <w:bottom w:val="single" w:color="auto" w:sz="4" w:space="0"/>
              <w:right w:val="single" w:color="auto" w:sz="4" w:space="0"/>
            </w:tcBorders>
            <w:shd w:val="clear" w:color="auto" w:fill="auto"/>
            <w:vAlign w:val="bottom"/>
          </w:tcPr>
          <w:p>
            <w:pPr>
              <w:jc w:val="center"/>
              <w:textAlignment w:val="bottom"/>
              <w:rPr>
                <w:rFonts w:hint="default" w:cs="宋体"/>
                <w:color w:val="000000"/>
                <w:sz w:val="22"/>
                <w:szCs w:val="22"/>
                <w:lang w:bidi="ar"/>
              </w:rPr>
            </w:pPr>
            <w:r>
              <w:rPr>
                <w:rFonts w:cs="宋体"/>
                <w:color w:val="000000"/>
                <w:sz w:val="22"/>
                <w:szCs w:val="22"/>
                <w:lang w:bidi="ar"/>
              </w:rPr>
              <w:t>抢险保通专项资金</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jc w:val="center"/>
              <w:textAlignment w:val="bottom"/>
              <w:rPr>
                <w:rFonts w:hint="default" w:cs="宋体"/>
                <w:color w:val="000000"/>
                <w:sz w:val="22"/>
                <w:szCs w:val="22"/>
                <w:lang w:bidi="ar"/>
              </w:rPr>
            </w:pPr>
            <w:r>
              <w:rPr>
                <w:rFonts w:cs="宋体"/>
                <w:color w:val="000000"/>
                <w:sz w:val="22"/>
                <w:szCs w:val="22"/>
                <w:lang w:bidi="ar"/>
              </w:rPr>
              <w:t>100</w:t>
            </w:r>
          </w:p>
        </w:tc>
      </w:tr>
      <w:tr>
        <w:tblPrEx>
          <w:tblCellMar>
            <w:top w:w="0" w:type="dxa"/>
            <w:left w:w="108" w:type="dxa"/>
            <w:bottom w:w="0" w:type="dxa"/>
            <w:right w:w="108" w:type="dxa"/>
          </w:tblCellMar>
        </w:tblPrEx>
        <w:trPr>
          <w:trHeight w:val="555"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ottom"/>
              <w:rPr>
                <w:rFonts w:hint="default" w:cs="宋体"/>
                <w:color w:val="000000"/>
                <w:sz w:val="22"/>
                <w:szCs w:val="22"/>
                <w:lang w:bidi="ar"/>
              </w:rPr>
            </w:pPr>
            <w:r>
              <w:rPr>
                <w:rFonts w:cs="宋体"/>
                <w:color w:val="000000"/>
                <w:sz w:val="22"/>
                <w:szCs w:val="22"/>
                <w:lang w:bidi="ar"/>
              </w:rPr>
              <w:t>3</w:t>
            </w:r>
          </w:p>
        </w:tc>
        <w:tc>
          <w:tcPr>
            <w:tcW w:w="5412" w:type="dxa"/>
            <w:tcBorders>
              <w:top w:val="single" w:color="auto" w:sz="4" w:space="0"/>
              <w:left w:val="nil"/>
              <w:bottom w:val="single" w:color="auto" w:sz="4" w:space="0"/>
              <w:right w:val="single" w:color="auto" w:sz="4" w:space="0"/>
            </w:tcBorders>
            <w:shd w:val="clear" w:color="auto" w:fill="auto"/>
            <w:vAlign w:val="bottom"/>
          </w:tcPr>
          <w:p>
            <w:pPr>
              <w:jc w:val="center"/>
              <w:textAlignment w:val="bottom"/>
              <w:rPr>
                <w:rFonts w:cs="宋体"/>
                <w:color w:val="000000"/>
                <w:sz w:val="22"/>
                <w:szCs w:val="22"/>
                <w:lang w:bidi="ar"/>
              </w:rPr>
            </w:pPr>
            <w:r>
              <w:rPr>
                <w:rFonts w:cs="宋体"/>
                <w:color w:val="000000"/>
                <w:sz w:val="22"/>
                <w:szCs w:val="22"/>
                <w:lang w:bidi="ar"/>
              </w:rPr>
              <w:t>港航海事应急救援体系建设</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jc w:val="center"/>
              <w:textAlignment w:val="bottom"/>
              <w:rPr>
                <w:rFonts w:hint="default" w:cs="宋体"/>
                <w:color w:val="000000"/>
                <w:sz w:val="22"/>
                <w:szCs w:val="22"/>
                <w:lang w:bidi="ar"/>
              </w:rPr>
            </w:pPr>
            <w:r>
              <w:rPr>
                <w:rFonts w:cs="宋体"/>
                <w:color w:val="000000"/>
                <w:sz w:val="22"/>
                <w:szCs w:val="22"/>
                <w:lang w:bidi="ar"/>
              </w:rPr>
              <w:t>100</w:t>
            </w:r>
          </w:p>
        </w:tc>
      </w:tr>
      <w:tr>
        <w:tblPrEx>
          <w:tblCellMar>
            <w:top w:w="0" w:type="dxa"/>
            <w:left w:w="108" w:type="dxa"/>
            <w:bottom w:w="0" w:type="dxa"/>
            <w:right w:w="108" w:type="dxa"/>
          </w:tblCellMar>
        </w:tblPrEx>
        <w:trPr>
          <w:trHeight w:val="555"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ottom"/>
              <w:rPr>
                <w:rFonts w:hint="default" w:cs="宋体"/>
                <w:color w:val="000000"/>
                <w:sz w:val="22"/>
                <w:szCs w:val="22"/>
                <w:lang w:bidi="ar"/>
              </w:rPr>
            </w:pPr>
            <w:r>
              <w:rPr>
                <w:rFonts w:cs="宋体"/>
                <w:color w:val="000000"/>
                <w:sz w:val="22"/>
                <w:szCs w:val="22"/>
                <w:lang w:bidi="ar"/>
              </w:rPr>
              <w:t>4</w:t>
            </w:r>
          </w:p>
        </w:tc>
        <w:tc>
          <w:tcPr>
            <w:tcW w:w="5412" w:type="dxa"/>
            <w:tcBorders>
              <w:top w:val="single" w:color="auto" w:sz="4" w:space="0"/>
              <w:left w:val="nil"/>
              <w:bottom w:val="single" w:color="auto" w:sz="4" w:space="0"/>
              <w:right w:val="single" w:color="auto" w:sz="4" w:space="0"/>
            </w:tcBorders>
            <w:shd w:val="clear" w:color="auto" w:fill="auto"/>
            <w:vAlign w:val="bottom"/>
          </w:tcPr>
          <w:p>
            <w:pPr>
              <w:jc w:val="center"/>
              <w:textAlignment w:val="bottom"/>
              <w:rPr>
                <w:rFonts w:cs="宋体"/>
                <w:color w:val="000000"/>
                <w:sz w:val="22"/>
                <w:szCs w:val="22"/>
                <w:lang w:bidi="ar"/>
              </w:rPr>
            </w:pPr>
            <w:r>
              <w:rPr>
                <w:rFonts w:cs="宋体"/>
                <w:color w:val="000000"/>
                <w:sz w:val="22"/>
                <w:szCs w:val="22"/>
                <w:lang w:bidi="ar"/>
              </w:rPr>
              <w:t>应急救援艇运行维护费</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jc w:val="center"/>
              <w:textAlignment w:val="bottom"/>
              <w:rPr>
                <w:rFonts w:hint="default" w:cs="宋体"/>
                <w:color w:val="000000"/>
                <w:sz w:val="22"/>
                <w:szCs w:val="22"/>
                <w:lang w:bidi="ar"/>
              </w:rPr>
            </w:pPr>
            <w:r>
              <w:rPr>
                <w:rFonts w:cs="宋体"/>
                <w:color w:val="000000"/>
                <w:sz w:val="22"/>
                <w:szCs w:val="22"/>
                <w:lang w:bidi="ar"/>
              </w:rPr>
              <w:t>100</w:t>
            </w:r>
          </w:p>
        </w:tc>
      </w:tr>
      <w:tr>
        <w:tblPrEx>
          <w:tblCellMar>
            <w:top w:w="0" w:type="dxa"/>
            <w:left w:w="108" w:type="dxa"/>
            <w:bottom w:w="0" w:type="dxa"/>
            <w:right w:w="108" w:type="dxa"/>
          </w:tblCellMar>
        </w:tblPrEx>
        <w:trPr>
          <w:trHeight w:val="555"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ottom"/>
              <w:rPr>
                <w:rFonts w:hint="default" w:cs="宋体"/>
                <w:color w:val="000000"/>
                <w:sz w:val="22"/>
                <w:szCs w:val="22"/>
                <w:lang w:bidi="ar"/>
              </w:rPr>
            </w:pPr>
            <w:r>
              <w:rPr>
                <w:rFonts w:cs="宋体"/>
                <w:color w:val="000000"/>
                <w:sz w:val="22"/>
                <w:szCs w:val="22"/>
                <w:lang w:bidi="ar"/>
              </w:rPr>
              <w:t>5</w:t>
            </w:r>
          </w:p>
        </w:tc>
        <w:tc>
          <w:tcPr>
            <w:tcW w:w="5412" w:type="dxa"/>
            <w:tcBorders>
              <w:top w:val="single" w:color="auto" w:sz="4" w:space="0"/>
              <w:left w:val="nil"/>
              <w:bottom w:val="single" w:color="auto" w:sz="4" w:space="0"/>
              <w:right w:val="single" w:color="auto" w:sz="4" w:space="0"/>
            </w:tcBorders>
            <w:shd w:val="clear" w:color="auto" w:fill="auto"/>
            <w:vAlign w:val="bottom"/>
          </w:tcPr>
          <w:p>
            <w:pPr>
              <w:jc w:val="center"/>
              <w:textAlignment w:val="bottom"/>
              <w:rPr>
                <w:rFonts w:cs="宋体"/>
                <w:color w:val="000000"/>
                <w:sz w:val="22"/>
                <w:szCs w:val="22"/>
                <w:lang w:bidi="ar"/>
              </w:rPr>
            </w:pPr>
            <w:r>
              <w:rPr>
                <w:rFonts w:cs="宋体"/>
                <w:color w:val="000000"/>
                <w:sz w:val="22"/>
                <w:szCs w:val="22"/>
                <w:lang w:bidi="ar"/>
              </w:rPr>
              <w:t>港口岸电标准化建设</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jc w:val="center"/>
              <w:textAlignment w:val="bottom"/>
              <w:rPr>
                <w:rFonts w:hint="default" w:cs="宋体"/>
                <w:color w:val="000000"/>
                <w:sz w:val="22"/>
                <w:szCs w:val="22"/>
                <w:lang w:bidi="ar"/>
              </w:rPr>
            </w:pPr>
            <w:r>
              <w:rPr>
                <w:rFonts w:cs="宋体"/>
                <w:color w:val="000000"/>
                <w:sz w:val="22"/>
                <w:szCs w:val="22"/>
                <w:lang w:bidi="ar"/>
              </w:rPr>
              <w:t>100</w:t>
            </w:r>
          </w:p>
        </w:tc>
      </w:tr>
      <w:tr>
        <w:tblPrEx>
          <w:tblCellMar>
            <w:top w:w="0" w:type="dxa"/>
            <w:left w:w="108" w:type="dxa"/>
            <w:bottom w:w="0" w:type="dxa"/>
            <w:right w:w="108" w:type="dxa"/>
          </w:tblCellMar>
        </w:tblPrEx>
        <w:trPr>
          <w:trHeight w:val="555"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ottom"/>
              <w:rPr>
                <w:rFonts w:hint="default" w:cs="宋体"/>
                <w:color w:val="000000"/>
                <w:sz w:val="22"/>
                <w:szCs w:val="22"/>
                <w:lang w:bidi="ar"/>
              </w:rPr>
            </w:pPr>
            <w:r>
              <w:rPr>
                <w:rFonts w:cs="宋体"/>
                <w:color w:val="000000"/>
                <w:sz w:val="22"/>
                <w:szCs w:val="22"/>
                <w:lang w:bidi="ar"/>
              </w:rPr>
              <w:t>6</w:t>
            </w:r>
          </w:p>
        </w:tc>
        <w:tc>
          <w:tcPr>
            <w:tcW w:w="5412" w:type="dxa"/>
            <w:tcBorders>
              <w:top w:val="single" w:color="auto" w:sz="4" w:space="0"/>
              <w:left w:val="nil"/>
              <w:bottom w:val="single" w:color="auto" w:sz="4" w:space="0"/>
              <w:right w:val="single" w:color="auto" w:sz="4" w:space="0"/>
            </w:tcBorders>
            <w:shd w:val="clear" w:color="auto" w:fill="auto"/>
            <w:vAlign w:val="bottom"/>
          </w:tcPr>
          <w:p>
            <w:pPr>
              <w:jc w:val="center"/>
              <w:textAlignment w:val="bottom"/>
              <w:rPr>
                <w:rFonts w:cs="宋体"/>
                <w:color w:val="000000"/>
                <w:sz w:val="22"/>
                <w:szCs w:val="22"/>
                <w:lang w:bidi="ar"/>
              </w:rPr>
            </w:pPr>
            <w:r>
              <w:rPr>
                <w:rFonts w:cs="宋体"/>
                <w:color w:val="000000"/>
                <w:sz w:val="22"/>
                <w:szCs w:val="22"/>
                <w:lang w:bidi="ar"/>
              </w:rPr>
              <w:t>港口岸电标准化建设</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jc w:val="center"/>
              <w:textAlignment w:val="bottom"/>
              <w:rPr>
                <w:rFonts w:hint="default" w:cs="宋体"/>
                <w:color w:val="000000"/>
                <w:sz w:val="22"/>
                <w:szCs w:val="22"/>
                <w:lang w:bidi="ar"/>
              </w:rPr>
            </w:pPr>
            <w:r>
              <w:rPr>
                <w:rFonts w:cs="宋体"/>
                <w:color w:val="000000"/>
                <w:sz w:val="22"/>
                <w:szCs w:val="22"/>
                <w:lang w:bidi="ar"/>
              </w:rPr>
              <w:t>100</w:t>
            </w:r>
          </w:p>
        </w:tc>
      </w:tr>
      <w:tr>
        <w:tblPrEx>
          <w:tblCellMar>
            <w:top w:w="0" w:type="dxa"/>
            <w:left w:w="108" w:type="dxa"/>
            <w:bottom w:w="0" w:type="dxa"/>
            <w:right w:w="108" w:type="dxa"/>
          </w:tblCellMar>
        </w:tblPrEx>
        <w:trPr>
          <w:trHeight w:val="555"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ottom"/>
              <w:rPr>
                <w:rFonts w:hint="default" w:cs="宋体"/>
                <w:color w:val="000000"/>
                <w:sz w:val="22"/>
                <w:szCs w:val="22"/>
                <w:lang w:bidi="ar"/>
              </w:rPr>
            </w:pPr>
            <w:r>
              <w:rPr>
                <w:rFonts w:cs="宋体"/>
                <w:color w:val="000000"/>
                <w:sz w:val="22"/>
                <w:szCs w:val="22"/>
                <w:lang w:bidi="ar"/>
              </w:rPr>
              <w:t>7</w:t>
            </w:r>
          </w:p>
        </w:tc>
        <w:tc>
          <w:tcPr>
            <w:tcW w:w="5412" w:type="dxa"/>
            <w:tcBorders>
              <w:top w:val="single" w:color="auto" w:sz="4" w:space="0"/>
              <w:left w:val="nil"/>
              <w:bottom w:val="single" w:color="auto" w:sz="4" w:space="0"/>
              <w:right w:val="single" w:color="auto" w:sz="4" w:space="0"/>
            </w:tcBorders>
            <w:shd w:val="clear" w:color="auto" w:fill="auto"/>
            <w:vAlign w:val="bottom"/>
          </w:tcPr>
          <w:p>
            <w:pPr>
              <w:jc w:val="center"/>
              <w:textAlignment w:val="bottom"/>
              <w:rPr>
                <w:rFonts w:hint="default" w:cs="宋体"/>
                <w:color w:val="000000"/>
                <w:sz w:val="22"/>
                <w:szCs w:val="22"/>
                <w:lang w:bidi="ar"/>
              </w:rPr>
            </w:pPr>
            <w:r>
              <w:rPr>
                <w:rFonts w:cs="宋体"/>
                <w:color w:val="000000"/>
                <w:sz w:val="22"/>
                <w:szCs w:val="22"/>
                <w:lang w:bidi="ar"/>
              </w:rPr>
              <w:t>航道日常养护</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jc w:val="center"/>
              <w:textAlignment w:val="bottom"/>
              <w:rPr>
                <w:rFonts w:hint="default" w:cs="宋体"/>
                <w:color w:val="000000"/>
                <w:sz w:val="22"/>
                <w:szCs w:val="22"/>
                <w:lang w:bidi="ar"/>
              </w:rPr>
            </w:pPr>
            <w:r>
              <w:rPr>
                <w:rFonts w:cs="宋体"/>
                <w:color w:val="000000"/>
                <w:sz w:val="22"/>
                <w:szCs w:val="22"/>
                <w:lang w:bidi="ar"/>
              </w:rPr>
              <w:t>100</w:t>
            </w:r>
          </w:p>
        </w:tc>
      </w:tr>
      <w:tr>
        <w:tblPrEx>
          <w:tblCellMar>
            <w:top w:w="0" w:type="dxa"/>
            <w:left w:w="108" w:type="dxa"/>
            <w:bottom w:w="0" w:type="dxa"/>
            <w:right w:w="108" w:type="dxa"/>
          </w:tblCellMar>
        </w:tblPrEx>
        <w:trPr>
          <w:trHeight w:val="555"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bottom"/>
              <w:rPr>
                <w:rFonts w:hint="default" w:cs="宋体"/>
                <w:color w:val="000000"/>
                <w:sz w:val="22"/>
                <w:szCs w:val="22"/>
                <w:lang w:bidi="ar"/>
              </w:rPr>
            </w:pPr>
            <w:r>
              <w:rPr>
                <w:rFonts w:cs="宋体"/>
                <w:color w:val="000000"/>
                <w:sz w:val="22"/>
                <w:szCs w:val="22"/>
                <w:lang w:bidi="ar"/>
              </w:rPr>
              <w:t>8</w:t>
            </w:r>
          </w:p>
        </w:tc>
        <w:tc>
          <w:tcPr>
            <w:tcW w:w="5412" w:type="dxa"/>
            <w:tcBorders>
              <w:top w:val="single" w:color="auto" w:sz="4" w:space="0"/>
              <w:left w:val="nil"/>
              <w:bottom w:val="single" w:color="auto" w:sz="4" w:space="0"/>
              <w:right w:val="single" w:color="auto" w:sz="4" w:space="0"/>
            </w:tcBorders>
            <w:shd w:val="clear" w:color="auto" w:fill="auto"/>
            <w:vAlign w:val="bottom"/>
          </w:tcPr>
          <w:p>
            <w:pPr>
              <w:jc w:val="center"/>
              <w:textAlignment w:val="bottom"/>
              <w:rPr>
                <w:rFonts w:hint="default" w:cs="宋体"/>
                <w:color w:val="000000"/>
                <w:sz w:val="22"/>
                <w:szCs w:val="22"/>
                <w:lang w:bidi="ar"/>
              </w:rPr>
            </w:pPr>
            <w:r>
              <w:rPr>
                <w:rFonts w:cs="宋体"/>
                <w:color w:val="000000"/>
                <w:sz w:val="22"/>
                <w:szCs w:val="22"/>
                <w:lang w:bidi="ar"/>
              </w:rPr>
              <w:t>区港航海事事务中心遗属生活补助</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jc w:val="center"/>
              <w:textAlignment w:val="bottom"/>
              <w:rPr>
                <w:rFonts w:hint="default" w:cs="宋体"/>
                <w:color w:val="000000"/>
                <w:sz w:val="22"/>
                <w:szCs w:val="22"/>
                <w:lang w:bidi="ar"/>
              </w:rPr>
            </w:pPr>
            <w:r>
              <w:rPr>
                <w:rFonts w:cs="宋体"/>
                <w:color w:val="000000"/>
                <w:sz w:val="22"/>
                <w:szCs w:val="22"/>
                <w:lang w:bidi="ar"/>
              </w:rPr>
              <w:t>100</w:t>
            </w:r>
          </w:p>
        </w:tc>
      </w:tr>
    </w:tbl>
    <w:p>
      <w:pPr>
        <w:pStyle w:val="15"/>
        <w:spacing w:before="0" w:beforeAutospacing="0" w:after="0" w:afterAutospacing="0" w:line="596" w:lineRule="exact"/>
        <w:ind w:firstLine="643" w:firstLineChars="200"/>
        <w:rPr>
          <w:rFonts w:hint="eastAsia" w:ascii="方正仿宋_GBK" w:hAnsi="方正仿宋_GBK" w:eastAsia="方正仿宋_GBK" w:cs="方正仿宋_GBK"/>
          <w:b/>
          <w:bCs/>
          <w:sz w:val="32"/>
          <w:szCs w:val="32"/>
          <w:shd w:val="clear" w:color="auto" w:fill="FFFFFF"/>
        </w:rPr>
      </w:pPr>
    </w:p>
    <w:p>
      <w:pPr>
        <w:pStyle w:val="15"/>
        <w:spacing w:before="0" w:beforeAutospacing="0" w:after="0" w:afterAutospacing="0" w:line="596" w:lineRule="exact"/>
        <w:ind w:firstLine="643" w:firstLineChars="200"/>
        <w:rPr>
          <w:rFonts w:hint="eastAsia" w:ascii="方正仿宋_GBK" w:hAnsi="方正仿宋_GBK" w:eastAsia="方正仿宋_GBK" w:cs="方正仿宋_GBK"/>
          <w:b/>
          <w:bCs/>
          <w:sz w:val="32"/>
          <w:szCs w:val="32"/>
          <w:shd w:val="clear" w:color="auto" w:fill="FFFFFF"/>
        </w:rPr>
      </w:pPr>
      <w:r>
        <w:rPr>
          <w:rFonts w:ascii="方正仿宋_GBK" w:hAnsi="方正仿宋_GBK" w:eastAsia="方正仿宋_GBK" w:cs="方正仿宋_GBK"/>
          <w:b/>
          <w:bCs/>
          <w:sz w:val="32"/>
          <w:szCs w:val="32"/>
          <w:shd w:val="clear" w:color="auto" w:fill="FFFFFF"/>
        </w:rPr>
        <w:t>2.项目支出绩效自评表</w:t>
      </w:r>
    </w:p>
    <w:tbl>
      <w:tblPr>
        <w:tblStyle w:val="10"/>
        <w:tblW w:w="7954" w:type="dxa"/>
        <w:jc w:val="center"/>
        <w:tblLayout w:type="fixed"/>
        <w:tblCellMar>
          <w:top w:w="0" w:type="dxa"/>
          <w:left w:w="108" w:type="dxa"/>
          <w:bottom w:w="0" w:type="dxa"/>
          <w:right w:w="108" w:type="dxa"/>
        </w:tblCellMar>
      </w:tblPr>
      <w:tblGrid>
        <w:gridCol w:w="1009"/>
        <w:gridCol w:w="27"/>
        <w:gridCol w:w="398"/>
        <w:gridCol w:w="567"/>
        <w:gridCol w:w="71"/>
        <w:gridCol w:w="518"/>
        <w:gridCol w:w="687"/>
        <w:gridCol w:w="651"/>
        <w:gridCol w:w="199"/>
        <w:gridCol w:w="319"/>
        <w:gridCol w:w="673"/>
        <w:gridCol w:w="363"/>
        <w:gridCol w:w="346"/>
        <w:gridCol w:w="709"/>
        <w:gridCol w:w="850"/>
        <w:gridCol w:w="567"/>
      </w:tblGrid>
      <w:tr>
        <w:tblPrEx>
          <w:tblCellMar>
            <w:top w:w="0" w:type="dxa"/>
            <w:left w:w="108" w:type="dxa"/>
            <w:bottom w:w="0" w:type="dxa"/>
            <w:right w:w="108" w:type="dxa"/>
          </w:tblCellMar>
        </w:tblPrEx>
        <w:trPr>
          <w:trHeight w:val="540" w:hRule="atLeast"/>
          <w:jc w:val="center"/>
        </w:trPr>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b/>
                <w:bCs/>
                <w:color w:val="000000"/>
                <w:sz w:val="18"/>
                <w:szCs w:val="18"/>
              </w:rPr>
            </w:pPr>
            <w:r>
              <w:rPr>
                <w:rFonts w:cs="宋体"/>
                <w:b/>
                <w:bCs/>
                <w:color w:val="000000"/>
                <w:sz w:val="18"/>
                <w:szCs w:val="18"/>
              </w:rPr>
              <w:t>项目名称：</w:t>
            </w:r>
          </w:p>
        </w:tc>
        <w:tc>
          <w:tcPr>
            <w:tcW w:w="1554"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cs="宋体"/>
                <w:color w:val="000000"/>
                <w:sz w:val="18"/>
                <w:szCs w:val="18"/>
              </w:rPr>
            </w:pPr>
            <w:r>
              <w:rPr>
                <w:rFonts w:cs="宋体"/>
                <w:color w:val="000000"/>
                <w:sz w:val="18"/>
                <w:szCs w:val="18"/>
              </w:rPr>
              <w:t>港口岸电标准化建设</w:t>
            </w:r>
          </w:p>
        </w:tc>
        <w:tc>
          <w:tcPr>
            <w:tcW w:w="1338"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cs="宋体"/>
                <w:b/>
                <w:bCs/>
                <w:color w:val="000000"/>
                <w:sz w:val="18"/>
                <w:szCs w:val="18"/>
              </w:rPr>
            </w:pPr>
            <w:r>
              <w:rPr>
                <w:rFonts w:cs="宋体"/>
                <w:b/>
                <w:bCs/>
                <w:color w:val="000000"/>
                <w:sz w:val="18"/>
                <w:szCs w:val="18"/>
              </w:rPr>
              <w:t>执行率得分：</w:t>
            </w:r>
          </w:p>
        </w:tc>
        <w:tc>
          <w:tcPr>
            <w:tcW w:w="518" w:type="dxa"/>
            <w:gridSpan w:val="2"/>
            <w:tcBorders>
              <w:top w:val="single" w:color="auto" w:sz="4" w:space="0"/>
              <w:left w:val="nil"/>
              <w:bottom w:val="single" w:color="auto" w:sz="4" w:space="0"/>
              <w:right w:val="single" w:color="auto" w:sz="4" w:space="0"/>
            </w:tcBorders>
            <w:shd w:val="clear" w:color="auto" w:fill="auto"/>
            <w:vAlign w:val="center"/>
          </w:tcPr>
          <w:p>
            <w:pPr>
              <w:jc w:val="right"/>
              <w:rPr>
                <w:rFonts w:cs="宋体"/>
                <w:b/>
                <w:bCs/>
                <w:color w:val="000000"/>
                <w:sz w:val="18"/>
                <w:szCs w:val="18"/>
              </w:rPr>
            </w:pPr>
            <w:r>
              <w:rPr>
                <w:rFonts w:cs="宋体"/>
                <w:b/>
                <w:bCs/>
                <w:color w:val="000000"/>
                <w:sz w:val="18"/>
                <w:szCs w:val="18"/>
              </w:rPr>
              <w:t>10</w:t>
            </w:r>
          </w:p>
        </w:tc>
        <w:tc>
          <w:tcPr>
            <w:tcW w:w="1036"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cs="宋体"/>
                <w:b/>
                <w:bCs/>
                <w:color w:val="000000"/>
                <w:sz w:val="18"/>
                <w:szCs w:val="18"/>
              </w:rPr>
            </w:pPr>
            <w:r>
              <w:rPr>
                <w:rFonts w:cs="宋体"/>
                <w:b/>
                <w:bCs/>
                <w:color w:val="000000"/>
                <w:sz w:val="18"/>
                <w:szCs w:val="18"/>
              </w:rPr>
              <w:t>自评总分：</w:t>
            </w:r>
          </w:p>
        </w:tc>
        <w:tc>
          <w:tcPr>
            <w:tcW w:w="2472" w:type="dxa"/>
            <w:gridSpan w:val="4"/>
            <w:tcBorders>
              <w:top w:val="single" w:color="auto" w:sz="4" w:space="0"/>
              <w:left w:val="nil"/>
              <w:bottom w:val="single" w:color="auto" w:sz="4" w:space="0"/>
              <w:right w:val="single" w:color="auto" w:sz="4" w:space="0"/>
            </w:tcBorders>
            <w:shd w:val="clear" w:color="auto" w:fill="auto"/>
            <w:vAlign w:val="center"/>
          </w:tcPr>
          <w:p>
            <w:pPr>
              <w:rPr>
                <w:rFonts w:cs="宋体"/>
                <w:b/>
                <w:bCs/>
                <w:color w:val="000000"/>
                <w:sz w:val="18"/>
                <w:szCs w:val="18"/>
              </w:rPr>
            </w:pPr>
            <w:r>
              <w:rPr>
                <w:rFonts w:cs="宋体"/>
                <w:b/>
                <w:bCs/>
                <w:color w:val="000000"/>
                <w:sz w:val="18"/>
                <w:szCs w:val="18"/>
              </w:rPr>
              <w:t>100</w:t>
            </w:r>
          </w:p>
        </w:tc>
      </w:tr>
      <w:tr>
        <w:tblPrEx>
          <w:tblCellMar>
            <w:top w:w="0" w:type="dxa"/>
            <w:left w:w="108" w:type="dxa"/>
            <w:bottom w:w="0" w:type="dxa"/>
            <w:right w:w="108" w:type="dxa"/>
          </w:tblCellMar>
        </w:tblPrEx>
        <w:trPr>
          <w:trHeight w:val="435" w:hRule="atLeast"/>
          <w:jc w:val="center"/>
        </w:trPr>
        <w:tc>
          <w:tcPr>
            <w:tcW w:w="7954" w:type="dxa"/>
            <w:gridSpan w:val="1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宋体"/>
                <w:b/>
                <w:bCs/>
                <w:sz w:val="18"/>
                <w:szCs w:val="18"/>
              </w:rPr>
            </w:pPr>
            <w:r>
              <w:rPr>
                <w:rFonts w:ascii="微软雅黑" w:hAnsi="微软雅黑" w:eastAsia="微软雅黑" w:cs="宋体"/>
                <w:b/>
                <w:bCs/>
                <w:sz w:val="18"/>
                <w:szCs w:val="18"/>
              </w:rPr>
              <w:t>绩效目标</w:t>
            </w:r>
          </w:p>
        </w:tc>
      </w:tr>
      <w:tr>
        <w:tblPrEx>
          <w:tblCellMar>
            <w:top w:w="0" w:type="dxa"/>
            <w:left w:w="108" w:type="dxa"/>
            <w:bottom w:w="0" w:type="dxa"/>
            <w:right w:w="108" w:type="dxa"/>
          </w:tblCellMar>
        </w:tblPrEx>
        <w:trPr>
          <w:trHeight w:val="435" w:hRule="atLeast"/>
          <w:jc w:val="center"/>
        </w:trPr>
        <w:tc>
          <w:tcPr>
            <w:tcW w:w="207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b/>
                <w:bCs/>
                <w:sz w:val="18"/>
                <w:szCs w:val="18"/>
              </w:rPr>
            </w:pPr>
            <w:r>
              <w:rPr>
                <w:rFonts w:cs="宋体"/>
                <w:b/>
                <w:bCs/>
                <w:sz w:val="18"/>
                <w:szCs w:val="18"/>
              </w:rPr>
              <w:t>年初绩效目标</w:t>
            </w:r>
          </w:p>
        </w:tc>
        <w:tc>
          <w:tcPr>
            <w:tcW w:w="2374"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cs="宋体"/>
                <w:b/>
                <w:bCs/>
                <w:sz w:val="18"/>
                <w:szCs w:val="18"/>
              </w:rPr>
            </w:pPr>
            <w:r>
              <w:rPr>
                <w:rFonts w:cs="宋体"/>
                <w:b/>
                <w:bCs/>
                <w:sz w:val="18"/>
                <w:szCs w:val="18"/>
              </w:rPr>
              <w:t>全年（调整）绩效目标</w:t>
            </w:r>
          </w:p>
        </w:tc>
        <w:tc>
          <w:tcPr>
            <w:tcW w:w="3508" w:type="dxa"/>
            <w:gridSpan w:val="6"/>
            <w:tcBorders>
              <w:top w:val="single" w:color="auto" w:sz="4" w:space="0"/>
              <w:left w:val="nil"/>
              <w:bottom w:val="single" w:color="auto" w:sz="4" w:space="0"/>
              <w:right w:val="single" w:color="auto" w:sz="4" w:space="0"/>
            </w:tcBorders>
            <w:shd w:val="clear" w:color="auto" w:fill="auto"/>
            <w:vAlign w:val="center"/>
          </w:tcPr>
          <w:p>
            <w:pPr>
              <w:jc w:val="center"/>
              <w:rPr>
                <w:rFonts w:cs="宋体"/>
                <w:b/>
                <w:bCs/>
                <w:sz w:val="18"/>
                <w:szCs w:val="18"/>
              </w:rPr>
            </w:pPr>
            <w:r>
              <w:rPr>
                <w:rFonts w:cs="宋体"/>
                <w:b/>
                <w:bCs/>
                <w:sz w:val="18"/>
                <w:szCs w:val="18"/>
              </w:rPr>
              <w:t>全年目标实际完成情况</w:t>
            </w:r>
          </w:p>
        </w:tc>
      </w:tr>
      <w:tr>
        <w:tblPrEx>
          <w:tblCellMar>
            <w:top w:w="0" w:type="dxa"/>
            <w:left w:w="108" w:type="dxa"/>
            <w:bottom w:w="0" w:type="dxa"/>
            <w:right w:w="108" w:type="dxa"/>
          </w:tblCellMar>
        </w:tblPrEx>
        <w:trPr>
          <w:trHeight w:val="975" w:hRule="atLeast"/>
          <w:jc w:val="center"/>
        </w:trPr>
        <w:tc>
          <w:tcPr>
            <w:tcW w:w="2072" w:type="dxa"/>
            <w:gridSpan w:val="5"/>
            <w:tcBorders>
              <w:top w:val="single" w:color="auto" w:sz="4" w:space="0"/>
              <w:left w:val="single" w:color="auto" w:sz="4" w:space="0"/>
              <w:bottom w:val="single" w:color="auto" w:sz="4" w:space="0"/>
              <w:right w:val="single" w:color="auto" w:sz="4" w:space="0"/>
            </w:tcBorders>
            <w:shd w:val="clear" w:color="auto" w:fill="auto"/>
          </w:tcPr>
          <w:p>
            <w:pPr>
              <w:rPr>
                <w:rFonts w:cs="宋体"/>
                <w:sz w:val="18"/>
                <w:szCs w:val="18"/>
              </w:rPr>
            </w:pPr>
            <w:r>
              <w:rPr>
                <w:rFonts w:cs="宋体"/>
                <w:sz w:val="18"/>
                <w:szCs w:val="18"/>
              </w:rPr>
              <w:t>按照上级部门要求，推进辖区港口码头（危化品码头除外）岸电设施改造工程。</w:t>
            </w:r>
          </w:p>
        </w:tc>
        <w:tc>
          <w:tcPr>
            <w:tcW w:w="2374" w:type="dxa"/>
            <w:gridSpan w:val="5"/>
            <w:tcBorders>
              <w:top w:val="single" w:color="auto" w:sz="4" w:space="0"/>
              <w:left w:val="nil"/>
              <w:bottom w:val="single" w:color="auto" w:sz="4" w:space="0"/>
              <w:right w:val="single" w:color="auto" w:sz="4" w:space="0"/>
            </w:tcBorders>
            <w:shd w:val="clear" w:color="auto" w:fill="auto"/>
          </w:tcPr>
          <w:p>
            <w:pPr>
              <w:rPr>
                <w:rFonts w:cs="宋体"/>
                <w:sz w:val="18"/>
                <w:szCs w:val="18"/>
              </w:rPr>
            </w:pPr>
            <w:r>
              <w:rPr>
                <w:rFonts w:cs="宋体"/>
                <w:sz w:val="18"/>
                <w:szCs w:val="18"/>
              </w:rPr>
              <w:t>按照上级部门要求，推进辖区港口码头（危化品码头除外）岸电设施改造工程。</w:t>
            </w:r>
          </w:p>
        </w:tc>
        <w:tc>
          <w:tcPr>
            <w:tcW w:w="3508" w:type="dxa"/>
            <w:gridSpan w:val="6"/>
            <w:tcBorders>
              <w:top w:val="single" w:color="auto" w:sz="4" w:space="0"/>
              <w:left w:val="nil"/>
              <w:bottom w:val="single" w:color="auto" w:sz="4" w:space="0"/>
              <w:right w:val="single" w:color="auto" w:sz="4" w:space="0"/>
            </w:tcBorders>
            <w:shd w:val="clear" w:color="auto" w:fill="auto"/>
          </w:tcPr>
          <w:p>
            <w:pPr>
              <w:rPr>
                <w:rFonts w:cs="宋体"/>
                <w:sz w:val="18"/>
                <w:szCs w:val="18"/>
              </w:rPr>
            </w:pPr>
            <w:r>
              <w:rPr>
                <w:rFonts w:cs="宋体"/>
                <w:sz w:val="18"/>
                <w:szCs w:val="18"/>
              </w:rPr>
              <w:t>按照上级部门要求，推进辖区港口码头（危化品码头除外）岸电设施改造工程。</w:t>
            </w:r>
          </w:p>
        </w:tc>
      </w:tr>
      <w:tr>
        <w:tblPrEx>
          <w:tblCellMar>
            <w:top w:w="0" w:type="dxa"/>
            <w:left w:w="108" w:type="dxa"/>
            <w:bottom w:w="0" w:type="dxa"/>
            <w:right w:w="108" w:type="dxa"/>
          </w:tblCellMar>
        </w:tblPrEx>
        <w:trPr>
          <w:trHeight w:val="435" w:hRule="atLeast"/>
          <w:jc w:val="center"/>
        </w:trPr>
        <w:tc>
          <w:tcPr>
            <w:tcW w:w="7954" w:type="dxa"/>
            <w:gridSpan w:val="1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s="宋体"/>
                <w:b/>
                <w:bCs/>
                <w:sz w:val="18"/>
                <w:szCs w:val="18"/>
              </w:rPr>
            </w:pPr>
            <w:r>
              <w:rPr>
                <w:rFonts w:ascii="微软雅黑" w:hAnsi="微软雅黑" w:eastAsia="微软雅黑" w:cs="宋体"/>
                <w:b/>
                <w:bCs/>
                <w:sz w:val="18"/>
                <w:szCs w:val="18"/>
              </w:rPr>
              <w:t>绩效指标</w:t>
            </w:r>
          </w:p>
        </w:tc>
      </w:tr>
      <w:tr>
        <w:tblPrEx>
          <w:tblCellMar>
            <w:top w:w="0" w:type="dxa"/>
            <w:left w:w="108" w:type="dxa"/>
            <w:bottom w:w="0" w:type="dxa"/>
            <w:right w:w="108" w:type="dxa"/>
          </w:tblCellMar>
        </w:tblPrEx>
        <w:trPr>
          <w:trHeight w:val="1080" w:hRule="atLeast"/>
          <w:jc w:val="center"/>
        </w:trPr>
        <w:tc>
          <w:tcPr>
            <w:tcW w:w="1009" w:type="dxa"/>
            <w:tcBorders>
              <w:top w:val="nil"/>
              <w:left w:val="single" w:color="auto" w:sz="4" w:space="0"/>
              <w:bottom w:val="single" w:color="auto" w:sz="4" w:space="0"/>
              <w:right w:val="single" w:color="auto" w:sz="4" w:space="0"/>
            </w:tcBorders>
            <w:shd w:val="clear" w:color="auto" w:fill="auto"/>
            <w:vAlign w:val="center"/>
          </w:tcPr>
          <w:p>
            <w:pPr>
              <w:jc w:val="center"/>
              <w:rPr>
                <w:rFonts w:cs="宋体"/>
                <w:b/>
                <w:bCs/>
                <w:color w:val="000000"/>
                <w:sz w:val="18"/>
                <w:szCs w:val="18"/>
              </w:rPr>
            </w:pPr>
            <w:r>
              <w:rPr>
                <w:rFonts w:cs="宋体"/>
                <w:b/>
                <w:bCs/>
                <w:color w:val="000000"/>
                <w:sz w:val="18"/>
                <w:szCs w:val="18"/>
              </w:rPr>
              <w:t>指标名称</w:t>
            </w:r>
          </w:p>
        </w:tc>
        <w:tc>
          <w:tcPr>
            <w:tcW w:w="425" w:type="dxa"/>
            <w:gridSpan w:val="2"/>
            <w:tcBorders>
              <w:top w:val="nil"/>
              <w:left w:val="nil"/>
              <w:bottom w:val="single" w:color="auto" w:sz="4" w:space="0"/>
              <w:right w:val="single" w:color="auto" w:sz="4" w:space="0"/>
            </w:tcBorders>
            <w:shd w:val="clear" w:color="auto" w:fill="auto"/>
            <w:vAlign w:val="center"/>
          </w:tcPr>
          <w:p>
            <w:pPr>
              <w:jc w:val="center"/>
              <w:rPr>
                <w:rFonts w:cs="宋体"/>
                <w:b/>
                <w:bCs/>
                <w:color w:val="000000"/>
                <w:sz w:val="18"/>
                <w:szCs w:val="18"/>
              </w:rPr>
            </w:pPr>
            <w:r>
              <w:rPr>
                <w:rFonts w:cs="宋体"/>
                <w:b/>
                <w:bCs/>
                <w:color w:val="000000"/>
                <w:sz w:val="18"/>
                <w:szCs w:val="18"/>
              </w:rPr>
              <w:t>计量单位</w:t>
            </w:r>
          </w:p>
        </w:tc>
        <w:tc>
          <w:tcPr>
            <w:tcW w:w="567" w:type="dxa"/>
            <w:tcBorders>
              <w:top w:val="nil"/>
              <w:left w:val="nil"/>
              <w:bottom w:val="single" w:color="auto" w:sz="4" w:space="0"/>
              <w:right w:val="single" w:color="auto" w:sz="4" w:space="0"/>
            </w:tcBorders>
            <w:shd w:val="clear" w:color="auto" w:fill="auto"/>
            <w:vAlign w:val="center"/>
          </w:tcPr>
          <w:p>
            <w:pPr>
              <w:jc w:val="center"/>
              <w:rPr>
                <w:rFonts w:cs="宋体"/>
                <w:b/>
                <w:bCs/>
                <w:color w:val="000000"/>
                <w:sz w:val="18"/>
                <w:szCs w:val="18"/>
              </w:rPr>
            </w:pPr>
            <w:r>
              <w:rPr>
                <w:rFonts w:cs="宋体"/>
                <w:b/>
                <w:bCs/>
                <w:color w:val="000000"/>
                <w:sz w:val="18"/>
                <w:szCs w:val="18"/>
              </w:rPr>
              <w:t>指标性质</w:t>
            </w:r>
          </w:p>
        </w:tc>
        <w:tc>
          <w:tcPr>
            <w:tcW w:w="589" w:type="dxa"/>
            <w:gridSpan w:val="2"/>
            <w:tcBorders>
              <w:top w:val="nil"/>
              <w:left w:val="nil"/>
              <w:bottom w:val="single" w:color="auto" w:sz="4" w:space="0"/>
              <w:right w:val="single" w:color="auto" w:sz="4" w:space="0"/>
            </w:tcBorders>
            <w:shd w:val="clear" w:color="auto" w:fill="auto"/>
            <w:vAlign w:val="center"/>
          </w:tcPr>
          <w:p>
            <w:pPr>
              <w:jc w:val="center"/>
              <w:rPr>
                <w:rFonts w:cs="宋体"/>
                <w:b/>
                <w:bCs/>
                <w:color w:val="000000"/>
                <w:sz w:val="18"/>
                <w:szCs w:val="18"/>
              </w:rPr>
            </w:pPr>
            <w:r>
              <w:rPr>
                <w:rFonts w:cs="宋体"/>
                <w:b/>
                <w:bCs/>
                <w:color w:val="000000"/>
                <w:sz w:val="18"/>
                <w:szCs w:val="18"/>
              </w:rPr>
              <w:t>指标值</w:t>
            </w:r>
          </w:p>
        </w:tc>
        <w:tc>
          <w:tcPr>
            <w:tcW w:w="687" w:type="dxa"/>
            <w:tcBorders>
              <w:top w:val="nil"/>
              <w:left w:val="nil"/>
              <w:bottom w:val="single" w:color="auto" w:sz="4" w:space="0"/>
              <w:right w:val="single" w:color="auto" w:sz="4" w:space="0"/>
            </w:tcBorders>
            <w:shd w:val="clear" w:color="auto" w:fill="auto"/>
            <w:vAlign w:val="center"/>
          </w:tcPr>
          <w:p>
            <w:pPr>
              <w:jc w:val="center"/>
              <w:rPr>
                <w:rFonts w:cs="宋体"/>
                <w:b/>
                <w:bCs/>
                <w:color w:val="000000"/>
                <w:sz w:val="18"/>
                <w:szCs w:val="18"/>
              </w:rPr>
            </w:pPr>
            <w:r>
              <w:rPr>
                <w:rFonts w:cs="宋体"/>
                <w:b/>
                <w:bCs/>
                <w:color w:val="000000"/>
                <w:sz w:val="18"/>
                <w:szCs w:val="18"/>
              </w:rPr>
              <w:t>全年完成值</w:t>
            </w:r>
          </w:p>
        </w:tc>
        <w:tc>
          <w:tcPr>
            <w:tcW w:w="850" w:type="dxa"/>
            <w:gridSpan w:val="2"/>
            <w:tcBorders>
              <w:top w:val="nil"/>
              <w:left w:val="nil"/>
              <w:bottom w:val="single" w:color="auto" w:sz="4" w:space="0"/>
              <w:right w:val="single" w:color="auto" w:sz="4" w:space="0"/>
            </w:tcBorders>
            <w:shd w:val="clear" w:color="auto" w:fill="auto"/>
            <w:vAlign w:val="center"/>
          </w:tcPr>
          <w:p>
            <w:pPr>
              <w:jc w:val="center"/>
              <w:rPr>
                <w:rFonts w:cs="宋体"/>
                <w:b/>
                <w:bCs/>
                <w:color w:val="000000"/>
                <w:sz w:val="18"/>
                <w:szCs w:val="18"/>
              </w:rPr>
            </w:pPr>
            <w:r>
              <w:rPr>
                <w:rFonts w:cs="宋体"/>
                <w:b/>
                <w:bCs/>
                <w:color w:val="000000"/>
                <w:sz w:val="18"/>
                <w:szCs w:val="18"/>
              </w:rPr>
              <w:t>偏离度（%）</w:t>
            </w:r>
          </w:p>
        </w:tc>
        <w:tc>
          <w:tcPr>
            <w:tcW w:w="992" w:type="dxa"/>
            <w:gridSpan w:val="2"/>
            <w:tcBorders>
              <w:top w:val="nil"/>
              <w:left w:val="nil"/>
              <w:bottom w:val="single" w:color="auto" w:sz="4" w:space="0"/>
              <w:right w:val="single" w:color="auto" w:sz="4" w:space="0"/>
            </w:tcBorders>
            <w:shd w:val="clear" w:color="auto" w:fill="auto"/>
            <w:vAlign w:val="center"/>
          </w:tcPr>
          <w:p>
            <w:pPr>
              <w:jc w:val="center"/>
              <w:rPr>
                <w:rFonts w:cs="宋体"/>
                <w:b/>
                <w:bCs/>
                <w:color w:val="000000"/>
                <w:sz w:val="18"/>
                <w:szCs w:val="18"/>
              </w:rPr>
            </w:pPr>
            <w:r>
              <w:rPr>
                <w:rFonts w:cs="宋体"/>
                <w:b/>
                <w:bCs/>
                <w:color w:val="000000"/>
                <w:sz w:val="18"/>
                <w:szCs w:val="18"/>
              </w:rPr>
              <w:t>得分系数（%）</w:t>
            </w:r>
          </w:p>
        </w:tc>
        <w:tc>
          <w:tcPr>
            <w:tcW w:w="709" w:type="dxa"/>
            <w:gridSpan w:val="2"/>
            <w:tcBorders>
              <w:top w:val="nil"/>
              <w:left w:val="nil"/>
              <w:bottom w:val="single" w:color="auto" w:sz="4" w:space="0"/>
              <w:right w:val="single" w:color="auto" w:sz="4" w:space="0"/>
            </w:tcBorders>
            <w:shd w:val="clear" w:color="auto" w:fill="auto"/>
            <w:vAlign w:val="center"/>
          </w:tcPr>
          <w:p>
            <w:pPr>
              <w:jc w:val="center"/>
              <w:rPr>
                <w:rFonts w:cs="宋体"/>
                <w:b/>
                <w:bCs/>
                <w:color w:val="000000"/>
                <w:sz w:val="18"/>
                <w:szCs w:val="18"/>
              </w:rPr>
            </w:pPr>
            <w:r>
              <w:rPr>
                <w:rFonts w:cs="宋体"/>
                <w:b/>
                <w:bCs/>
                <w:color w:val="000000"/>
                <w:sz w:val="18"/>
                <w:szCs w:val="18"/>
              </w:rPr>
              <w:t>指标权重</w:t>
            </w:r>
          </w:p>
        </w:tc>
        <w:tc>
          <w:tcPr>
            <w:tcW w:w="709" w:type="dxa"/>
            <w:tcBorders>
              <w:top w:val="nil"/>
              <w:left w:val="nil"/>
              <w:bottom w:val="single" w:color="auto" w:sz="4" w:space="0"/>
              <w:right w:val="single" w:color="auto" w:sz="4" w:space="0"/>
            </w:tcBorders>
            <w:shd w:val="clear" w:color="auto" w:fill="auto"/>
            <w:vAlign w:val="center"/>
          </w:tcPr>
          <w:p>
            <w:pPr>
              <w:jc w:val="center"/>
              <w:rPr>
                <w:rFonts w:cs="宋体"/>
                <w:b/>
                <w:bCs/>
                <w:color w:val="000000"/>
                <w:sz w:val="18"/>
                <w:szCs w:val="18"/>
              </w:rPr>
            </w:pPr>
            <w:r>
              <w:rPr>
                <w:rFonts w:cs="宋体"/>
                <w:b/>
                <w:bCs/>
                <w:color w:val="000000"/>
                <w:sz w:val="18"/>
                <w:szCs w:val="18"/>
              </w:rPr>
              <w:t>指标得分</w:t>
            </w:r>
          </w:p>
        </w:tc>
        <w:tc>
          <w:tcPr>
            <w:tcW w:w="850" w:type="dxa"/>
            <w:tcBorders>
              <w:top w:val="nil"/>
              <w:left w:val="nil"/>
              <w:bottom w:val="single" w:color="auto" w:sz="4" w:space="0"/>
              <w:right w:val="single" w:color="auto" w:sz="4" w:space="0"/>
            </w:tcBorders>
            <w:shd w:val="clear" w:color="auto" w:fill="auto"/>
            <w:vAlign w:val="center"/>
          </w:tcPr>
          <w:p>
            <w:pPr>
              <w:jc w:val="center"/>
              <w:rPr>
                <w:rFonts w:cs="宋体"/>
                <w:b/>
                <w:bCs/>
                <w:color w:val="000000"/>
                <w:sz w:val="18"/>
                <w:szCs w:val="18"/>
              </w:rPr>
            </w:pPr>
            <w:r>
              <w:rPr>
                <w:rFonts w:cs="宋体"/>
                <w:b/>
                <w:bCs/>
                <w:color w:val="000000"/>
                <w:sz w:val="18"/>
                <w:szCs w:val="18"/>
              </w:rPr>
              <w:t>是否核心指标</w:t>
            </w:r>
          </w:p>
        </w:tc>
        <w:tc>
          <w:tcPr>
            <w:tcW w:w="567" w:type="dxa"/>
            <w:tcBorders>
              <w:top w:val="nil"/>
              <w:left w:val="nil"/>
              <w:bottom w:val="single" w:color="auto" w:sz="4" w:space="0"/>
              <w:right w:val="single" w:color="auto" w:sz="4" w:space="0"/>
            </w:tcBorders>
            <w:shd w:val="clear" w:color="auto" w:fill="auto"/>
            <w:vAlign w:val="center"/>
          </w:tcPr>
          <w:p>
            <w:pPr>
              <w:jc w:val="center"/>
              <w:rPr>
                <w:rFonts w:cs="宋体"/>
                <w:b/>
                <w:bCs/>
                <w:color w:val="000000"/>
                <w:sz w:val="18"/>
                <w:szCs w:val="18"/>
              </w:rPr>
            </w:pPr>
            <w:r>
              <w:rPr>
                <w:rFonts w:cs="宋体"/>
                <w:b/>
                <w:bCs/>
                <w:color w:val="000000"/>
                <w:sz w:val="18"/>
                <w:szCs w:val="18"/>
              </w:rPr>
              <w:t>说明</w:t>
            </w:r>
          </w:p>
        </w:tc>
      </w:tr>
      <w:tr>
        <w:tblPrEx>
          <w:tblCellMar>
            <w:top w:w="0" w:type="dxa"/>
            <w:left w:w="108" w:type="dxa"/>
            <w:bottom w:w="0" w:type="dxa"/>
            <w:right w:w="108" w:type="dxa"/>
          </w:tblCellMar>
        </w:tblPrEx>
        <w:trPr>
          <w:trHeight w:val="435" w:hRule="atLeast"/>
          <w:jc w:val="center"/>
        </w:trPr>
        <w:tc>
          <w:tcPr>
            <w:tcW w:w="1009" w:type="dxa"/>
            <w:tcBorders>
              <w:top w:val="nil"/>
              <w:left w:val="single" w:color="auto" w:sz="4" w:space="0"/>
              <w:bottom w:val="single" w:color="auto" w:sz="4" w:space="0"/>
              <w:right w:val="single" w:color="auto" w:sz="4" w:space="0"/>
            </w:tcBorders>
            <w:shd w:val="clear" w:color="auto" w:fill="auto"/>
            <w:vAlign w:val="center"/>
          </w:tcPr>
          <w:p>
            <w:pPr>
              <w:rPr>
                <w:rFonts w:cs="宋体"/>
                <w:color w:val="000000"/>
                <w:sz w:val="18"/>
                <w:szCs w:val="18"/>
              </w:rPr>
            </w:pPr>
            <w:r>
              <w:rPr>
                <w:color w:val="000000"/>
                <w:sz w:val="22"/>
                <w:szCs w:val="22"/>
              </w:rPr>
              <w:t>总投资完成率</w:t>
            </w:r>
          </w:p>
        </w:tc>
        <w:tc>
          <w:tcPr>
            <w:tcW w:w="425" w:type="dxa"/>
            <w:gridSpan w:val="2"/>
            <w:tcBorders>
              <w:top w:val="nil"/>
              <w:left w:val="nil"/>
              <w:bottom w:val="single" w:color="auto" w:sz="4" w:space="0"/>
              <w:right w:val="single" w:color="auto" w:sz="4" w:space="0"/>
            </w:tcBorders>
            <w:shd w:val="clear" w:color="auto" w:fill="auto"/>
            <w:vAlign w:val="center"/>
          </w:tcPr>
          <w:p>
            <w:pPr>
              <w:rPr>
                <w:rFonts w:cs="宋体"/>
                <w:color w:val="000000"/>
                <w:sz w:val="18"/>
                <w:szCs w:val="18"/>
              </w:rPr>
            </w:pPr>
            <w:r>
              <w:rPr>
                <w:color w:val="000000"/>
                <w:sz w:val="22"/>
                <w:szCs w:val="22"/>
              </w:rPr>
              <w:t>%</w:t>
            </w:r>
          </w:p>
        </w:tc>
        <w:tc>
          <w:tcPr>
            <w:tcW w:w="567" w:type="dxa"/>
            <w:tcBorders>
              <w:top w:val="nil"/>
              <w:left w:val="nil"/>
              <w:bottom w:val="single" w:color="auto" w:sz="4" w:space="0"/>
              <w:right w:val="single" w:color="auto" w:sz="4" w:space="0"/>
            </w:tcBorders>
            <w:shd w:val="clear" w:color="auto" w:fill="auto"/>
            <w:vAlign w:val="center"/>
          </w:tcPr>
          <w:p>
            <w:pPr>
              <w:rPr>
                <w:rFonts w:cs="宋体"/>
                <w:color w:val="000000"/>
                <w:sz w:val="18"/>
                <w:szCs w:val="18"/>
              </w:rPr>
            </w:pPr>
            <w:r>
              <w:rPr>
                <w:color w:val="000000"/>
                <w:sz w:val="22"/>
                <w:szCs w:val="22"/>
              </w:rPr>
              <w:t>≥</w:t>
            </w:r>
          </w:p>
        </w:tc>
        <w:tc>
          <w:tcPr>
            <w:tcW w:w="589" w:type="dxa"/>
            <w:gridSpan w:val="2"/>
            <w:tcBorders>
              <w:top w:val="nil"/>
              <w:left w:val="nil"/>
              <w:bottom w:val="single" w:color="auto" w:sz="4" w:space="0"/>
              <w:right w:val="single" w:color="auto" w:sz="4" w:space="0"/>
            </w:tcBorders>
            <w:shd w:val="clear" w:color="auto" w:fill="auto"/>
            <w:vAlign w:val="center"/>
          </w:tcPr>
          <w:p>
            <w:pPr>
              <w:jc w:val="right"/>
              <w:rPr>
                <w:rFonts w:cs="宋体"/>
                <w:color w:val="000000"/>
                <w:sz w:val="18"/>
                <w:szCs w:val="18"/>
              </w:rPr>
            </w:pPr>
            <w:r>
              <w:rPr>
                <w:color w:val="000000"/>
                <w:sz w:val="22"/>
                <w:szCs w:val="22"/>
              </w:rPr>
              <w:t>100</w:t>
            </w:r>
          </w:p>
        </w:tc>
        <w:tc>
          <w:tcPr>
            <w:tcW w:w="687" w:type="dxa"/>
            <w:tcBorders>
              <w:top w:val="nil"/>
              <w:left w:val="nil"/>
              <w:bottom w:val="single" w:color="auto" w:sz="4" w:space="0"/>
              <w:right w:val="single" w:color="auto" w:sz="4" w:space="0"/>
            </w:tcBorders>
            <w:shd w:val="clear" w:color="auto" w:fill="auto"/>
            <w:vAlign w:val="center"/>
          </w:tcPr>
          <w:p>
            <w:pPr>
              <w:jc w:val="right"/>
              <w:rPr>
                <w:rFonts w:cs="宋体"/>
                <w:color w:val="000000"/>
                <w:sz w:val="18"/>
                <w:szCs w:val="18"/>
              </w:rPr>
            </w:pPr>
            <w:r>
              <w:rPr>
                <w:color w:val="000000"/>
                <w:sz w:val="22"/>
                <w:szCs w:val="22"/>
              </w:rPr>
              <w:t>100</w:t>
            </w:r>
          </w:p>
        </w:tc>
        <w:tc>
          <w:tcPr>
            <w:tcW w:w="850" w:type="dxa"/>
            <w:gridSpan w:val="2"/>
            <w:tcBorders>
              <w:top w:val="nil"/>
              <w:left w:val="nil"/>
              <w:bottom w:val="single" w:color="auto" w:sz="4" w:space="0"/>
              <w:right w:val="single" w:color="auto" w:sz="4" w:space="0"/>
            </w:tcBorders>
            <w:shd w:val="clear" w:color="auto" w:fill="auto"/>
            <w:vAlign w:val="center"/>
          </w:tcPr>
          <w:p>
            <w:pPr>
              <w:jc w:val="right"/>
              <w:rPr>
                <w:rFonts w:cs="宋体"/>
                <w:color w:val="000000"/>
                <w:sz w:val="18"/>
                <w:szCs w:val="18"/>
              </w:rPr>
            </w:pPr>
            <w:r>
              <w:rPr>
                <w:color w:val="000000"/>
                <w:sz w:val="22"/>
                <w:szCs w:val="22"/>
              </w:rPr>
              <w:t>0</w:t>
            </w:r>
          </w:p>
        </w:tc>
        <w:tc>
          <w:tcPr>
            <w:tcW w:w="992" w:type="dxa"/>
            <w:gridSpan w:val="2"/>
            <w:tcBorders>
              <w:top w:val="nil"/>
              <w:left w:val="nil"/>
              <w:bottom w:val="single" w:color="auto" w:sz="4" w:space="0"/>
              <w:right w:val="single" w:color="auto" w:sz="4" w:space="0"/>
            </w:tcBorders>
            <w:shd w:val="clear" w:color="auto" w:fill="auto"/>
            <w:vAlign w:val="center"/>
          </w:tcPr>
          <w:p>
            <w:pPr>
              <w:jc w:val="right"/>
              <w:rPr>
                <w:rFonts w:cs="宋体"/>
                <w:color w:val="000000"/>
                <w:sz w:val="18"/>
                <w:szCs w:val="18"/>
              </w:rPr>
            </w:pPr>
            <w:r>
              <w:rPr>
                <w:color w:val="000000"/>
                <w:sz w:val="22"/>
                <w:szCs w:val="22"/>
              </w:rPr>
              <w:t>100</w:t>
            </w:r>
          </w:p>
        </w:tc>
        <w:tc>
          <w:tcPr>
            <w:tcW w:w="709" w:type="dxa"/>
            <w:gridSpan w:val="2"/>
            <w:tcBorders>
              <w:top w:val="nil"/>
              <w:left w:val="nil"/>
              <w:bottom w:val="single" w:color="auto" w:sz="4" w:space="0"/>
              <w:right w:val="single" w:color="auto" w:sz="4" w:space="0"/>
            </w:tcBorders>
            <w:shd w:val="clear" w:color="auto" w:fill="auto"/>
            <w:vAlign w:val="center"/>
          </w:tcPr>
          <w:p>
            <w:pPr>
              <w:jc w:val="right"/>
              <w:rPr>
                <w:rFonts w:cs="宋体"/>
                <w:color w:val="000000"/>
                <w:sz w:val="18"/>
                <w:szCs w:val="18"/>
              </w:rPr>
            </w:pPr>
            <w:r>
              <w:rPr>
                <w:color w:val="000000"/>
                <w:sz w:val="22"/>
                <w:szCs w:val="22"/>
              </w:rPr>
              <w:t>20</w:t>
            </w:r>
          </w:p>
        </w:tc>
        <w:tc>
          <w:tcPr>
            <w:tcW w:w="709" w:type="dxa"/>
            <w:tcBorders>
              <w:top w:val="nil"/>
              <w:left w:val="nil"/>
              <w:bottom w:val="single" w:color="auto" w:sz="4" w:space="0"/>
              <w:right w:val="single" w:color="auto" w:sz="4" w:space="0"/>
            </w:tcBorders>
            <w:shd w:val="clear" w:color="auto" w:fill="auto"/>
            <w:vAlign w:val="center"/>
          </w:tcPr>
          <w:p>
            <w:pPr>
              <w:jc w:val="right"/>
              <w:rPr>
                <w:rFonts w:cs="宋体"/>
                <w:color w:val="000000"/>
                <w:sz w:val="18"/>
                <w:szCs w:val="18"/>
              </w:rPr>
            </w:pPr>
            <w:r>
              <w:rPr>
                <w:color w:val="000000"/>
                <w:sz w:val="22"/>
                <w:szCs w:val="22"/>
              </w:rPr>
              <w:t>20</w:t>
            </w:r>
          </w:p>
        </w:tc>
        <w:tc>
          <w:tcPr>
            <w:tcW w:w="850" w:type="dxa"/>
            <w:tcBorders>
              <w:top w:val="nil"/>
              <w:left w:val="nil"/>
              <w:bottom w:val="single" w:color="auto" w:sz="4" w:space="0"/>
              <w:right w:val="single" w:color="auto" w:sz="4" w:space="0"/>
            </w:tcBorders>
            <w:shd w:val="clear" w:color="auto" w:fill="auto"/>
            <w:vAlign w:val="center"/>
          </w:tcPr>
          <w:p>
            <w:pPr>
              <w:rPr>
                <w:rFonts w:cs="宋体"/>
                <w:color w:val="000000"/>
                <w:sz w:val="18"/>
                <w:szCs w:val="18"/>
              </w:rPr>
            </w:pPr>
            <w:r>
              <w:rPr>
                <w:color w:val="000000"/>
                <w:sz w:val="22"/>
                <w:szCs w:val="22"/>
              </w:rPr>
              <w:t>否</w:t>
            </w:r>
          </w:p>
        </w:tc>
        <w:tc>
          <w:tcPr>
            <w:tcW w:w="567" w:type="dxa"/>
            <w:tcBorders>
              <w:top w:val="nil"/>
              <w:left w:val="nil"/>
              <w:bottom w:val="single" w:color="auto" w:sz="4" w:space="0"/>
              <w:right w:val="single" w:color="auto" w:sz="4" w:space="0"/>
            </w:tcBorders>
            <w:shd w:val="clear" w:color="auto" w:fill="auto"/>
            <w:vAlign w:val="center"/>
          </w:tcPr>
          <w:p>
            <w:pPr>
              <w:rPr>
                <w:rFonts w:cs="宋体"/>
                <w:color w:val="000000"/>
                <w:sz w:val="18"/>
                <w:szCs w:val="18"/>
              </w:rPr>
            </w:pPr>
          </w:p>
        </w:tc>
      </w:tr>
      <w:tr>
        <w:tblPrEx>
          <w:tblCellMar>
            <w:top w:w="0" w:type="dxa"/>
            <w:left w:w="108" w:type="dxa"/>
            <w:bottom w:w="0" w:type="dxa"/>
            <w:right w:w="108" w:type="dxa"/>
          </w:tblCellMar>
        </w:tblPrEx>
        <w:trPr>
          <w:trHeight w:val="435" w:hRule="atLeast"/>
          <w:jc w:val="center"/>
        </w:trPr>
        <w:tc>
          <w:tcPr>
            <w:tcW w:w="1009" w:type="dxa"/>
            <w:tcBorders>
              <w:top w:val="nil"/>
              <w:left w:val="single" w:color="auto" w:sz="4" w:space="0"/>
              <w:bottom w:val="single" w:color="auto" w:sz="4" w:space="0"/>
              <w:right w:val="single" w:color="auto" w:sz="4" w:space="0"/>
            </w:tcBorders>
            <w:shd w:val="clear" w:color="auto" w:fill="auto"/>
            <w:vAlign w:val="center"/>
          </w:tcPr>
          <w:p>
            <w:pPr>
              <w:rPr>
                <w:rFonts w:cs="宋体"/>
                <w:color w:val="000000"/>
                <w:sz w:val="18"/>
                <w:szCs w:val="18"/>
              </w:rPr>
            </w:pPr>
            <w:r>
              <w:rPr>
                <w:color w:val="000000"/>
                <w:sz w:val="22"/>
                <w:szCs w:val="22"/>
              </w:rPr>
              <w:t>项目开工率</w:t>
            </w:r>
          </w:p>
        </w:tc>
        <w:tc>
          <w:tcPr>
            <w:tcW w:w="425" w:type="dxa"/>
            <w:gridSpan w:val="2"/>
            <w:tcBorders>
              <w:top w:val="nil"/>
              <w:left w:val="nil"/>
              <w:bottom w:val="single" w:color="auto" w:sz="4" w:space="0"/>
              <w:right w:val="single" w:color="auto" w:sz="4" w:space="0"/>
            </w:tcBorders>
            <w:shd w:val="clear" w:color="auto" w:fill="auto"/>
            <w:vAlign w:val="center"/>
          </w:tcPr>
          <w:p>
            <w:pPr>
              <w:rPr>
                <w:rFonts w:cs="宋体"/>
                <w:color w:val="000000"/>
                <w:sz w:val="18"/>
                <w:szCs w:val="18"/>
              </w:rPr>
            </w:pPr>
            <w:r>
              <w:rPr>
                <w:color w:val="000000"/>
                <w:sz w:val="22"/>
                <w:szCs w:val="22"/>
              </w:rPr>
              <w:t>%</w:t>
            </w:r>
          </w:p>
        </w:tc>
        <w:tc>
          <w:tcPr>
            <w:tcW w:w="567" w:type="dxa"/>
            <w:tcBorders>
              <w:top w:val="nil"/>
              <w:left w:val="nil"/>
              <w:bottom w:val="single" w:color="auto" w:sz="4" w:space="0"/>
              <w:right w:val="single" w:color="auto" w:sz="4" w:space="0"/>
            </w:tcBorders>
            <w:shd w:val="clear" w:color="auto" w:fill="auto"/>
            <w:vAlign w:val="center"/>
          </w:tcPr>
          <w:p>
            <w:pPr>
              <w:rPr>
                <w:rFonts w:cs="宋体"/>
                <w:color w:val="000000"/>
                <w:sz w:val="18"/>
                <w:szCs w:val="18"/>
              </w:rPr>
            </w:pPr>
            <w:r>
              <w:rPr>
                <w:color w:val="000000"/>
                <w:sz w:val="22"/>
                <w:szCs w:val="22"/>
              </w:rPr>
              <w:t>≥</w:t>
            </w:r>
          </w:p>
        </w:tc>
        <w:tc>
          <w:tcPr>
            <w:tcW w:w="589" w:type="dxa"/>
            <w:gridSpan w:val="2"/>
            <w:tcBorders>
              <w:top w:val="nil"/>
              <w:left w:val="nil"/>
              <w:bottom w:val="single" w:color="auto" w:sz="4" w:space="0"/>
              <w:right w:val="single" w:color="auto" w:sz="4" w:space="0"/>
            </w:tcBorders>
            <w:shd w:val="clear" w:color="auto" w:fill="auto"/>
            <w:vAlign w:val="center"/>
          </w:tcPr>
          <w:p>
            <w:pPr>
              <w:jc w:val="right"/>
              <w:rPr>
                <w:rFonts w:cs="宋体"/>
                <w:color w:val="000000"/>
                <w:sz w:val="18"/>
                <w:szCs w:val="18"/>
              </w:rPr>
            </w:pPr>
            <w:r>
              <w:rPr>
                <w:color w:val="000000"/>
                <w:sz w:val="22"/>
                <w:szCs w:val="22"/>
              </w:rPr>
              <w:t>100</w:t>
            </w:r>
          </w:p>
        </w:tc>
        <w:tc>
          <w:tcPr>
            <w:tcW w:w="687" w:type="dxa"/>
            <w:tcBorders>
              <w:top w:val="nil"/>
              <w:left w:val="nil"/>
              <w:bottom w:val="single" w:color="auto" w:sz="4" w:space="0"/>
              <w:right w:val="single" w:color="auto" w:sz="4" w:space="0"/>
            </w:tcBorders>
            <w:shd w:val="clear" w:color="auto" w:fill="auto"/>
            <w:vAlign w:val="center"/>
          </w:tcPr>
          <w:p>
            <w:pPr>
              <w:jc w:val="right"/>
              <w:rPr>
                <w:rFonts w:cs="宋体"/>
                <w:color w:val="000000"/>
                <w:sz w:val="18"/>
                <w:szCs w:val="18"/>
              </w:rPr>
            </w:pPr>
            <w:r>
              <w:rPr>
                <w:color w:val="000000"/>
                <w:sz w:val="22"/>
                <w:szCs w:val="22"/>
              </w:rPr>
              <w:t>100</w:t>
            </w:r>
          </w:p>
        </w:tc>
        <w:tc>
          <w:tcPr>
            <w:tcW w:w="850" w:type="dxa"/>
            <w:gridSpan w:val="2"/>
            <w:tcBorders>
              <w:top w:val="nil"/>
              <w:left w:val="nil"/>
              <w:bottom w:val="single" w:color="auto" w:sz="4" w:space="0"/>
              <w:right w:val="single" w:color="auto" w:sz="4" w:space="0"/>
            </w:tcBorders>
            <w:shd w:val="clear" w:color="auto" w:fill="auto"/>
            <w:vAlign w:val="center"/>
          </w:tcPr>
          <w:p>
            <w:pPr>
              <w:jc w:val="right"/>
              <w:rPr>
                <w:rFonts w:cs="宋体"/>
                <w:color w:val="000000"/>
                <w:sz w:val="18"/>
                <w:szCs w:val="18"/>
              </w:rPr>
            </w:pPr>
            <w:r>
              <w:rPr>
                <w:color w:val="000000"/>
                <w:sz w:val="22"/>
                <w:szCs w:val="22"/>
              </w:rPr>
              <w:t>0</w:t>
            </w:r>
          </w:p>
        </w:tc>
        <w:tc>
          <w:tcPr>
            <w:tcW w:w="992" w:type="dxa"/>
            <w:gridSpan w:val="2"/>
            <w:tcBorders>
              <w:top w:val="nil"/>
              <w:left w:val="nil"/>
              <w:bottom w:val="single" w:color="auto" w:sz="4" w:space="0"/>
              <w:right w:val="single" w:color="auto" w:sz="4" w:space="0"/>
            </w:tcBorders>
            <w:shd w:val="clear" w:color="auto" w:fill="auto"/>
            <w:vAlign w:val="center"/>
          </w:tcPr>
          <w:p>
            <w:pPr>
              <w:jc w:val="right"/>
              <w:rPr>
                <w:rFonts w:cs="宋体"/>
                <w:color w:val="000000"/>
                <w:sz w:val="18"/>
                <w:szCs w:val="18"/>
              </w:rPr>
            </w:pPr>
            <w:r>
              <w:rPr>
                <w:color w:val="000000"/>
                <w:sz w:val="22"/>
                <w:szCs w:val="22"/>
              </w:rPr>
              <w:t>100</w:t>
            </w:r>
          </w:p>
        </w:tc>
        <w:tc>
          <w:tcPr>
            <w:tcW w:w="709" w:type="dxa"/>
            <w:gridSpan w:val="2"/>
            <w:tcBorders>
              <w:top w:val="nil"/>
              <w:left w:val="nil"/>
              <w:bottom w:val="single" w:color="auto" w:sz="4" w:space="0"/>
              <w:right w:val="single" w:color="auto" w:sz="4" w:space="0"/>
            </w:tcBorders>
            <w:shd w:val="clear" w:color="auto" w:fill="auto"/>
            <w:vAlign w:val="center"/>
          </w:tcPr>
          <w:p>
            <w:pPr>
              <w:jc w:val="right"/>
              <w:rPr>
                <w:rFonts w:cs="宋体"/>
                <w:color w:val="000000"/>
                <w:sz w:val="18"/>
                <w:szCs w:val="18"/>
              </w:rPr>
            </w:pPr>
            <w:r>
              <w:rPr>
                <w:color w:val="000000"/>
                <w:sz w:val="22"/>
                <w:szCs w:val="22"/>
              </w:rPr>
              <w:t>20</w:t>
            </w:r>
          </w:p>
        </w:tc>
        <w:tc>
          <w:tcPr>
            <w:tcW w:w="709" w:type="dxa"/>
            <w:tcBorders>
              <w:top w:val="nil"/>
              <w:left w:val="nil"/>
              <w:bottom w:val="single" w:color="auto" w:sz="4" w:space="0"/>
              <w:right w:val="single" w:color="auto" w:sz="4" w:space="0"/>
            </w:tcBorders>
            <w:shd w:val="clear" w:color="auto" w:fill="auto"/>
            <w:vAlign w:val="center"/>
          </w:tcPr>
          <w:p>
            <w:pPr>
              <w:jc w:val="right"/>
              <w:rPr>
                <w:rFonts w:cs="宋体"/>
                <w:color w:val="000000"/>
                <w:sz w:val="18"/>
                <w:szCs w:val="18"/>
              </w:rPr>
            </w:pPr>
            <w:r>
              <w:rPr>
                <w:color w:val="000000"/>
                <w:sz w:val="22"/>
                <w:szCs w:val="22"/>
              </w:rPr>
              <w:t>20</w:t>
            </w:r>
          </w:p>
        </w:tc>
        <w:tc>
          <w:tcPr>
            <w:tcW w:w="850" w:type="dxa"/>
            <w:tcBorders>
              <w:top w:val="nil"/>
              <w:left w:val="nil"/>
              <w:bottom w:val="single" w:color="auto" w:sz="4" w:space="0"/>
              <w:right w:val="single" w:color="auto" w:sz="4" w:space="0"/>
            </w:tcBorders>
            <w:shd w:val="clear" w:color="auto" w:fill="auto"/>
            <w:vAlign w:val="center"/>
          </w:tcPr>
          <w:p>
            <w:pPr>
              <w:rPr>
                <w:rFonts w:cs="宋体"/>
                <w:color w:val="000000"/>
                <w:sz w:val="18"/>
                <w:szCs w:val="18"/>
              </w:rPr>
            </w:pPr>
            <w:r>
              <w:rPr>
                <w:color w:val="000000"/>
                <w:sz w:val="22"/>
                <w:szCs w:val="22"/>
              </w:rPr>
              <w:t>是</w:t>
            </w:r>
          </w:p>
        </w:tc>
        <w:tc>
          <w:tcPr>
            <w:tcW w:w="567" w:type="dxa"/>
            <w:tcBorders>
              <w:top w:val="nil"/>
              <w:left w:val="nil"/>
              <w:bottom w:val="single" w:color="auto" w:sz="4" w:space="0"/>
              <w:right w:val="single" w:color="auto" w:sz="4" w:space="0"/>
            </w:tcBorders>
            <w:shd w:val="clear" w:color="auto" w:fill="auto"/>
            <w:vAlign w:val="center"/>
          </w:tcPr>
          <w:p>
            <w:pPr>
              <w:rPr>
                <w:rFonts w:cs="宋体"/>
                <w:color w:val="000000"/>
                <w:sz w:val="18"/>
                <w:szCs w:val="18"/>
              </w:rPr>
            </w:pPr>
          </w:p>
        </w:tc>
      </w:tr>
      <w:tr>
        <w:tblPrEx>
          <w:tblCellMar>
            <w:top w:w="0" w:type="dxa"/>
            <w:left w:w="108" w:type="dxa"/>
            <w:bottom w:w="0" w:type="dxa"/>
            <w:right w:w="108" w:type="dxa"/>
          </w:tblCellMar>
        </w:tblPrEx>
        <w:trPr>
          <w:trHeight w:val="435" w:hRule="atLeast"/>
          <w:jc w:val="center"/>
        </w:trPr>
        <w:tc>
          <w:tcPr>
            <w:tcW w:w="1009" w:type="dxa"/>
            <w:tcBorders>
              <w:top w:val="nil"/>
              <w:left w:val="single" w:color="auto" w:sz="4" w:space="0"/>
              <w:bottom w:val="single" w:color="auto" w:sz="4" w:space="0"/>
              <w:right w:val="single" w:color="auto" w:sz="4" w:space="0"/>
            </w:tcBorders>
            <w:shd w:val="clear" w:color="auto" w:fill="auto"/>
            <w:vAlign w:val="center"/>
          </w:tcPr>
          <w:p>
            <w:pPr>
              <w:rPr>
                <w:rFonts w:cs="宋体"/>
                <w:color w:val="000000"/>
                <w:sz w:val="18"/>
                <w:szCs w:val="18"/>
              </w:rPr>
            </w:pPr>
            <w:r>
              <w:rPr>
                <w:color w:val="000000"/>
                <w:sz w:val="22"/>
                <w:szCs w:val="22"/>
              </w:rPr>
              <w:t>岸电使用率</w:t>
            </w:r>
          </w:p>
        </w:tc>
        <w:tc>
          <w:tcPr>
            <w:tcW w:w="425" w:type="dxa"/>
            <w:gridSpan w:val="2"/>
            <w:tcBorders>
              <w:top w:val="nil"/>
              <w:left w:val="nil"/>
              <w:bottom w:val="single" w:color="auto" w:sz="4" w:space="0"/>
              <w:right w:val="single" w:color="auto" w:sz="4" w:space="0"/>
            </w:tcBorders>
            <w:shd w:val="clear" w:color="auto" w:fill="auto"/>
            <w:vAlign w:val="center"/>
          </w:tcPr>
          <w:p>
            <w:pPr>
              <w:rPr>
                <w:rFonts w:cs="宋体"/>
                <w:color w:val="000000"/>
                <w:sz w:val="18"/>
                <w:szCs w:val="18"/>
              </w:rPr>
            </w:pPr>
            <w:r>
              <w:rPr>
                <w:color w:val="000000"/>
                <w:sz w:val="22"/>
                <w:szCs w:val="22"/>
              </w:rPr>
              <w:t>%</w:t>
            </w:r>
          </w:p>
        </w:tc>
        <w:tc>
          <w:tcPr>
            <w:tcW w:w="567" w:type="dxa"/>
            <w:tcBorders>
              <w:top w:val="nil"/>
              <w:left w:val="nil"/>
              <w:bottom w:val="single" w:color="auto" w:sz="4" w:space="0"/>
              <w:right w:val="single" w:color="auto" w:sz="4" w:space="0"/>
            </w:tcBorders>
            <w:shd w:val="clear" w:color="auto" w:fill="auto"/>
            <w:vAlign w:val="center"/>
          </w:tcPr>
          <w:p>
            <w:pPr>
              <w:rPr>
                <w:rFonts w:cs="宋体"/>
                <w:color w:val="000000"/>
                <w:sz w:val="18"/>
                <w:szCs w:val="18"/>
              </w:rPr>
            </w:pPr>
            <w:r>
              <w:rPr>
                <w:color w:val="000000"/>
                <w:sz w:val="22"/>
                <w:szCs w:val="22"/>
              </w:rPr>
              <w:t>≥</w:t>
            </w:r>
          </w:p>
        </w:tc>
        <w:tc>
          <w:tcPr>
            <w:tcW w:w="589" w:type="dxa"/>
            <w:gridSpan w:val="2"/>
            <w:tcBorders>
              <w:top w:val="nil"/>
              <w:left w:val="nil"/>
              <w:bottom w:val="single" w:color="auto" w:sz="4" w:space="0"/>
              <w:right w:val="single" w:color="auto" w:sz="4" w:space="0"/>
            </w:tcBorders>
            <w:shd w:val="clear" w:color="auto" w:fill="auto"/>
            <w:vAlign w:val="center"/>
          </w:tcPr>
          <w:p>
            <w:pPr>
              <w:jc w:val="right"/>
              <w:rPr>
                <w:rFonts w:cs="宋体"/>
                <w:color w:val="000000"/>
                <w:sz w:val="18"/>
                <w:szCs w:val="18"/>
              </w:rPr>
            </w:pPr>
            <w:r>
              <w:rPr>
                <w:color w:val="000000"/>
                <w:sz w:val="22"/>
                <w:szCs w:val="22"/>
              </w:rPr>
              <w:t>100</w:t>
            </w:r>
          </w:p>
        </w:tc>
        <w:tc>
          <w:tcPr>
            <w:tcW w:w="687" w:type="dxa"/>
            <w:tcBorders>
              <w:top w:val="nil"/>
              <w:left w:val="nil"/>
              <w:bottom w:val="single" w:color="auto" w:sz="4" w:space="0"/>
              <w:right w:val="single" w:color="auto" w:sz="4" w:space="0"/>
            </w:tcBorders>
            <w:shd w:val="clear" w:color="auto" w:fill="auto"/>
            <w:vAlign w:val="center"/>
          </w:tcPr>
          <w:p>
            <w:pPr>
              <w:jc w:val="right"/>
              <w:rPr>
                <w:rFonts w:cs="宋体"/>
                <w:color w:val="000000"/>
                <w:sz w:val="18"/>
                <w:szCs w:val="18"/>
              </w:rPr>
            </w:pPr>
            <w:r>
              <w:rPr>
                <w:color w:val="000000"/>
                <w:sz w:val="22"/>
                <w:szCs w:val="22"/>
              </w:rPr>
              <w:t>100</w:t>
            </w:r>
          </w:p>
        </w:tc>
        <w:tc>
          <w:tcPr>
            <w:tcW w:w="850" w:type="dxa"/>
            <w:gridSpan w:val="2"/>
            <w:tcBorders>
              <w:top w:val="nil"/>
              <w:left w:val="nil"/>
              <w:bottom w:val="single" w:color="auto" w:sz="4" w:space="0"/>
              <w:right w:val="single" w:color="auto" w:sz="4" w:space="0"/>
            </w:tcBorders>
            <w:shd w:val="clear" w:color="auto" w:fill="auto"/>
            <w:vAlign w:val="center"/>
          </w:tcPr>
          <w:p>
            <w:pPr>
              <w:jc w:val="right"/>
              <w:rPr>
                <w:rFonts w:cs="宋体"/>
                <w:color w:val="000000"/>
                <w:sz w:val="18"/>
                <w:szCs w:val="18"/>
              </w:rPr>
            </w:pPr>
            <w:r>
              <w:rPr>
                <w:color w:val="000000"/>
                <w:sz w:val="22"/>
                <w:szCs w:val="22"/>
              </w:rPr>
              <w:t>0</w:t>
            </w:r>
          </w:p>
        </w:tc>
        <w:tc>
          <w:tcPr>
            <w:tcW w:w="992" w:type="dxa"/>
            <w:gridSpan w:val="2"/>
            <w:tcBorders>
              <w:top w:val="nil"/>
              <w:left w:val="nil"/>
              <w:bottom w:val="single" w:color="auto" w:sz="4" w:space="0"/>
              <w:right w:val="single" w:color="auto" w:sz="4" w:space="0"/>
            </w:tcBorders>
            <w:shd w:val="clear" w:color="auto" w:fill="auto"/>
            <w:vAlign w:val="center"/>
          </w:tcPr>
          <w:p>
            <w:pPr>
              <w:jc w:val="right"/>
              <w:rPr>
                <w:rFonts w:cs="宋体"/>
                <w:color w:val="000000"/>
                <w:sz w:val="18"/>
                <w:szCs w:val="18"/>
              </w:rPr>
            </w:pPr>
            <w:r>
              <w:rPr>
                <w:color w:val="000000"/>
                <w:sz w:val="22"/>
                <w:szCs w:val="22"/>
              </w:rPr>
              <w:t>100</w:t>
            </w:r>
          </w:p>
        </w:tc>
        <w:tc>
          <w:tcPr>
            <w:tcW w:w="709" w:type="dxa"/>
            <w:gridSpan w:val="2"/>
            <w:tcBorders>
              <w:top w:val="nil"/>
              <w:left w:val="nil"/>
              <w:bottom w:val="single" w:color="auto" w:sz="4" w:space="0"/>
              <w:right w:val="single" w:color="auto" w:sz="4" w:space="0"/>
            </w:tcBorders>
            <w:shd w:val="clear" w:color="auto" w:fill="auto"/>
            <w:vAlign w:val="center"/>
          </w:tcPr>
          <w:p>
            <w:pPr>
              <w:jc w:val="right"/>
              <w:rPr>
                <w:rFonts w:cs="宋体"/>
                <w:color w:val="000000"/>
                <w:sz w:val="18"/>
                <w:szCs w:val="18"/>
              </w:rPr>
            </w:pPr>
            <w:r>
              <w:rPr>
                <w:color w:val="000000"/>
                <w:sz w:val="22"/>
                <w:szCs w:val="22"/>
              </w:rPr>
              <w:t>20</w:t>
            </w:r>
          </w:p>
        </w:tc>
        <w:tc>
          <w:tcPr>
            <w:tcW w:w="709" w:type="dxa"/>
            <w:tcBorders>
              <w:top w:val="nil"/>
              <w:left w:val="nil"/>
              <w:bottom w:val="single" w:color="auto" w:sz="4" w:space="0"/>
              <w:right w:val="single" w:color="auto" w:sz="4" w:space="0"/>
            </w:tcBorders>
            <w:shd w:val="clear" w:color="auto" w:fill="auto"/>
            <w:vAlign w:val="center"/>
          </w:tcPr>
          <w:p>
            <w:pPr>
              <w:jc w:val="right"/>
              <w:rPr>
                <w:rFonts w:cs="宋体"/>
                <w:color w:val="000000"/>
                <w:sz w:val="18"/>
                <w:szCs w:val="18"/>
              </w:rPr>
            </w:pPr>
            <w:r>
              <w:rPr>
                <w:color w:val="000000"/>
                <w:sz w:val="22"/>
                <w:szCs w:val="22"/>
              </w:rPr>
              <w:t>20</w:t>
            </w:r>
          </w:p>
        </w:tc>
        <w:tc>
          <w:tcPr>
            <w:tcW w:w="850" w:type="dxa"/>
            <w:tcBorders>
              <w:top w:val="nil"/>
              <w:left w:val="nil"/>
              <w:bottom w:val="single" w:color="auto" w:sz="4" w:space="0"/>
              <w:right w:val="single" w:color="auto" w:sz="4" w:space="0"/>
            </w:tcBorders>
            <w:shd w:val="clear" w:color="auto" w:fill="auto"/>
            <w:vAlign w:val="center"/>
          </w:tcPr>
          <w:p>
            <w:pPr>
              <w:rPr>
                <w:rFonts w:cs="宋体"/>
                <w:color w:val="000000"/>
                <w:sz w:val="18"/>
                <w:szCs w:val="18"/>
              </w:rPr>
            </w:pPr>
            <w:r>
              <w:rPr>
                <w:color w:val="000000"/>
                <w:sz w:val="22"/>
                <w:szCs w:val="22"/>
              </w:rPr>
              <w:t>否</w:t>
            </w:r>
          </w:p>
        </w:tc>
        <w:tc>
          <w:tcPr>
            <w:tcW w:w="567" w:type="dxa"/>
            <w:tcBorders>
              <w:top w:val="nil"/>
              <w:left w:val="nil"/>
              <w:bottom w:val="single" w:color="auto" w:sz="4" w:space="0"/>
              <w:right w:val="single" w:color="auto" w:sz="4" w:space="0"/>
            </w:tcBorders>
            <w:shd w:val="clear" w:color="auto" w:fill="auto"/>
            <w:vAlign w:val="center"/>
          </w:tcPr>
          <w:p>
            <w:pPr>
              <w:rPr>
                <w:rFonts w:cs="宋体"/>
                <w:color w:val="000000"/>
                <w:sz w:val="18"/>
                <w:szCs w:val="18"/>
              </w:rPr>
            </w:pPr>
          </w:p>
        </w:tc>
      </w:tr>
      <w:tr>
        <w:tblPrEx>
          <w:tblCellMar>
            <w:top w:w="0" w:type="dxa"/>
            <w:left w:w="108" w:type="dxa"/>
            <w:bottom w:w="0" w:type="dxa"/>
            <w:right w:w="108" w:type="dxa"/>
          </w:tblCellMar>
        </w:tblPrEx>
        <w:trPr>
          <w:trHeight w:val="435" w:hRule="atLeast"/>
          <w:jc w:val="center"/>
        </w:trPr>
        <w:tc>
          <w:tcPr>
            <w:tcW w:w="1009" w:type="dxa"/>
            <w:tcBorders>
              <w:top w:val="nil"/>
              <w:left w:val="single" w:color="auto" w:sz="4" w:space="0"/>
              <w:bottom w:val="single" w:color="auto" w:sz="4" w:space="0"/>
              <w:right w:val="single" w:color="auto" w:sz="4" w:space="0"/>
            </w:tcBorders>
            <w:shd w:val="clear" w:color="auto" w:fill="auto"/>
            <w:vAlign w:val="center"/>
          </w:tcPr>
          <w:p>
            <w:pPr>
              <w:rPr>
                <w:rFonts w:cs="宋体"/>
                <w:color w:val="000000"/>
                <w:sz w:val="18"/>
                <w:szCs w:val="18"/>
              </w:rPr>
            </w:pPr>
            <w:r>
              <w:rPr>
                <w:color w:val="000000"/>
                <w:sz w:val="22"/>
                <w:szCs w:val="22"/>
              </w:rPr>
              <w:t>减少碳排放</w:t>
            </w:r>
          </w:p>
        </w:tc>
        <w:tc>
          <w:tcPr>
            <w:tcW w:w="425" w:type="dxa"/>
            <w:gridSpan w:val="2"/>
            <w:tcBorders>
              <w:top w:val="nil"/>
              <w:left w:val="nil"/>
              <w:bottom w:val="single" w:color="auto" w:sz="4" w:space="0"/>
              <w:right w:val="single" w:color="auto" w:sz="4" w:space="0"/>
            </w:tcBorders>
            <w:shd w:val="clear" w:color="auto" w:fill="auto"/>
            <w:vAlign w:val="center"/>
          </w:tcPr>
          <w:p>
            <w:pPr>
              <w:rPr>
                <w:rFonts w:cs="宋体"/>
                <w:color w:val="000000"/>
                <w:sz w:val="18"/>
                <w:szCs w:val="18"/>
              </w:rPr>
            </w:pPr>
            <w:r>
              <w:rPr>
                <w:color w:val="000000"/>
                <w:sz w:val="22"/>
                <w:szCs w:val="22"/>
              </w:rPr>
              <w:t>%</w:t>
            </w:r>
          </w:p>
        </w:tc>
        <w:tc>
          <w:tcPr>
            <w:tcW w:w="567" w:type="dxa"/>
            <w:tcBorders>
              <w:top w:val="nil"/>
              <w:left w:val="nil"/>
              <w:bottom w:val="single" w:color="auto" w:sz="4" w:space="0"/>
              <w:right w:val="single" w:color="auto" w:sz="4" w:space="0"/>
            </w:tcBorders>
            <w:shd w:val="clear" w:color="auto" w:fill="auto"/>
            <w:vAlign w:val="center"/>
          </w:tcPr>
          <w:p>
            <w:pPr>
              <w:rPr>
                <w:rFonts w:cs="宋体"/>
                <w:color w:val="000000"/>
                <w:sz w:val="18"/>
                <w:szCs w:val="18"/>
              </w:rPr>
            </w:pPr>
            <w:r>
              <w:rPr>
                <w:color w:val="000000"/>
                <w:sz w:val="22"/>
                <w:szCs w:val="22"/>
              </w:rPr>
              <w:t>≥</w:t>
            </w:r>
          </w:p>
        </w:tc>
        <w:tc>
          <w:tcPr>
            <w:tcW w:w="589" w:type="dxa"/>
            <w:gridSpan w:val="2"/>
            <w:tcBorders>
              <w:top w:val="nil"/>
              <w:left w:val="nil"/>
              <w:bottom w:val="single" w:color="auto" w:sz="4" w:space="0"/>
              <w:right w:val="single" w:color="auto" w:sz="4" w:space="0"/>
            </w:tcBorders>
            <w:shd w:val="clear" w:color="auto" w:fill="auto"/>
            <w:vAlign w:val="center"/>
          </w:tcPr>
          <w:p>
            <w:pPr>
              <w:jc w:val="right"/>
              <w:rPr>
                <w:rFonts w:cs="宋体"/>
                <w:color w:val="000000"/>
                <w:sz w:val="18"/>
                <w:szCs w:val="18"/>
              </w:rPr>
            </w:pPr>
            <w:r>
              <w:rPr>
                <w:color w:val="000000"/>
                <w:sz w:val="22"/>
                <w:szCs w:val="22"/>
              </w:rPr>
              <w:t>60</w:t>
            </w:r>
          </w:p>
        </w:tc>
        <w:tc>
          <w:tcPr>
            <w:tcW w:w="687" w:type="dxa"/>
            <w:tcBorders>
              <w:top w:val="nil"/>
              <w:left w:val="nil"/>
              <w:bottom w:val="single" w:color="auto" w:sz="4" w:space="0"/>
              <w:right w:val="single" w:color="auto" w:sz="4" w:space="0"/>
            </w:tcBorders>
            <w:shd w:val="clear" w:color="auto" w:fill="auto"/>
            <w:vAlign w:val="center"/>
          </w:tcPr>
          <w:p>
            <w:pPr>
              <w:jc w:val="right"/>
              <w:rPr>
                <w:rFonts w:cs="宋体"/>
                <w:color w:val="000000"/>
                <w:sz w:val="18"/>
                <w:szCs w:val="18"/>
              </w:rPr>
            </w:pPr>
            <w:r>
              <w:rPr>
                <w:color w:val="000000"/>
                <w:sz w:val="22"/>
                <w:szCs w:val="22"/>
              </w:rPr>
              <w:t>60</w:t>
            </w:r>
          </w:p>
        </w:tc>
        <w:tc>
          <w:tcPr>
            <w:tcW w:w="850" w:type="dxa"/>
            <w:gridSpan w:val="2"/>
            <w:tcBorders>
              <w:top w:val="nil"/>
              <w:left w:val="nil"/>
              <w:bottom w:val="single" w:color="auto" w:sz="4" w:space="0"/>
              <w:right w:val="single" w:color="auto" w:sz="4" w:space="0"/>
            </w:tcBorders>
            <w:shd w:val="clear" w:color="auto" w:fill="auto"/>
            <w:vAlign w:val="center"/>
          </w:tcPr>
          <w:p>
            <w:pPr>
              <w:jc w:val="right"/>
              <w:rPr>
                <w:rFonts w:cs="宋体"/>
                <w:color w:val="000000"/>
                <w:sz w:val="18"/>
                <w:szCs w:val="18"/>
              </w:rPr>
            </w:pPr>
            <w:r>
              <w:rPr>
                <w:color w:val="000000"/>
                <w:sz w:val="22"/>
                <w:szCs w:val="22"/>
              </w:rPr>
              <w:t>0</w:t>
            </w:r>
          </w:p>
        </w:tc>
        <w:tc>
          <w:tcPr>
            <w:tcW w:w="992" w:type="dxa"/>
            <w:gridSpan w:val="2"/>
            <w:tcBorders>
              <w:top w:val="nil"/>
              <w:left w:val="nil"/>
              <w:bottom w:val="single" w:color="auto" w:sz="4" w:space="0"/>
              <w:right w:val="single" w:color="auto" w:sz="4" w:space="0"/>
            </w:tcBorders>
            <w:shd w:val="clear" w:color="auto" w:fill="auto"/>
            <w:vAlign w:val="center"/>
          </w:tcPr>
          <w:p>
            <w:pPr>
              <w:jc w:val="right"/>
              <w:rPr>
                <w:rFonts w:cs="宋体"/>
                <w:color w:val="000000"/>
                <w:sz w:val="18"/>
                <w:szCs w:val="18"/>
              </w:rPr>
            </w:pPr>
            <w:r>
              <w:rPr>
                <w:color w:val="000000"/>
                <w:sz w:val="22"/>
                <w:szCs w:val="22"/>
              </w:rPr>
              <w:t>100</w:t>
            </w:r>
          </w:p>
        </w:tc>
        <w:tc>
          <w:tcPr>
            <w:tcW w:w="709" w:type="dxa"/>
            <w:gridSpan w:val="2"/>
            <w:tcBorders>
              <w:top w:val="nil"/>
              <w:left w:val="nil"/>
              <w:bottom w:val="single" w:color="auto" w:sz="4" w:space="0"/>
              <w:right w:val="single" w:color="auto" w:sz="4" w:space="0"/>
            </w:tcBorders>
            <w:shd w:val="clear" w:color="auto" w:fill="auto"/>
            <w:vAlign w:val="center"/>
          </w:tcPr>
          <w:p>
            <w:pPr>
              <w:jc w:val="right"/>
              <w:rPr>
                <w:rFonts w:cs="宋体"/>
                <w:color w:val="000000"/>
                <w:sz w:val="18"/>
                <w:szCs w:val="18"/>
              </w:rPr>
            </w:pPr>
            <w:r>
              <w:rPr>
                <w:color w:val="000000"/>
                <w:sz w:val="22"/>
                <w:szCs w:val="22"/>
              </w:rPr>
              <w:t>20</w:t>
            </w:r>
          </w:p>
        </w:tc>
        <w:tc>
          <w:tcPr>
            <w:tcW w:w="709" w:type="dxa"/>
            <w:tcBorders>
              <w:top w:val="nil"/>
              <w:left w:val="nil"/>
              <w:bottom w:val="single" w:color="auto" w:sz="4" w:space="0"/>
              <w:right w:val="single" w:color="auto" w:sz="4" w:space="0"/>
            </w:tcBorders>
            <w:shd w:val="clear" w:color="auto" w:fill="auto"/>
            <w:vAlign w:val="center"/>
          </w:tcPr>
          <w:p>
            <w:pPr>
              <w:jc w:val="right"/>
              <w:rPr>
                <w:rFonts w:cs="宋体"/>
                <w:color w:val="000000"/>
                <w:sz w:val="18"/>
                <w:szCs w:val="18"/>
              </w:rPr>
            </w:pPr>
            <w:r>
              <w:rPr>
                <w:color w:val="000000"/>
                <w:sz w:val="22"/>
                <w:szCs w:val="22"/>
              </w:rPr>
              <w:t>20</w:t>
            </w:r>
          </w:p>
        </w:tc>
        <w:tc>
          <w:tcPr>
            <w:tcW w:w="850" w:type="dxa"/>
            <w:tcBorders>
              <w:top w:val="nil"/>
              <w:left w:val="nil"/>
              <w:bottom w:val="single" w:color="auto" w:sz="4" w:space="0"/>
              <w:right w:val="single" w:color="auto" w:sz="4" w:space="0"/>
            </w:tcBorders>
            <w:shd w:val="clear" w:color="auto" w:fill="auto"/>
            <w:vAlign w:val="center"/>
          </w:tcPr>
          <w:p>
            <w:pPr>
              <w:rPr>
                <w:rFonts w:cs="宋体"/>
                <w:color w:val="000000"/>
                <w:sz w:val="18"/>
                <w:szCs w:val="18"/>
              </w:rPr>
            </w:pPr>
            <w:r>
              <w:rPr>
                <w:color w:val="000000"/>
                <w:sz w:val="22"/>
                <w:szCs w:val="22"/>
              </w:rPr>
              <w:t>否</w:t>
            </w:r>
          </w:p>
        </w:tc>
        <w:tc>
          <w:tcPr>
            <w:tcW w:w="567" w:type="dxa"/>
            <w:tcBorders>
              <w:top w:val="nil"/>
              <w:left w:val="nil"/>
              <w:bottom w:val="single" w:color="auto" w:sz="4" w:space="0"/>
              <w:right w:val="single" w:color="auto" w:sz="4" w:space="0"/>
            </w:tcBorders>
            <w:shd w:val="clear" w:color="auto" w:fill="auto"/>
            <w:vAlign w:val="center"/>
          </w:tcPr>
          <w:p>
            <w:pPr>
              <w:rPr>
                <w:rFonts w:cs="宋体"/>
                <w:color w:val="000000"/>
                <w:sz w:val="18"/>
                <w:szCs w:val="18"/>
              </w:rPr>
            </w:pPr>
          </w:p>
        </w:tc>
      </w:tr>
      <w:tr>
        <w:tblPrEx>
          <w:tblCellMar>
            <w:top w:w="0" w:type="dxa"/>
            <w:left w:w="108" w:type="dxa"/>
            <w:bottom w:w="0" w:type="dxa"/>
            <w:right w:w="108" w:type="dxa"/>
          </w:tblCellMar>
        </w:tblPrEx>
        <w:trPr>
          <w:trHeight w:val="435" w:hRule="atLeast"/>
          <w:jc w:val="center"/>
        </w:trPr>
        <w:tc>
          <w:tcPr>
            <w:tcW w:w="1009" w:type="dxa"/>
            <w:tcBorders>
              <w:top w:val="nil"/>
              <w:left w:val="single" w:color="auto" w:sz="4" w:space="0"/>
              <w:bottom w:val="single" w:color="auto" w:sz="4" w:space="0"/>
              <w:right w:val="single" w:color="auto" w:sz="4" w:space="0"/>
            </w:tcBorders>
            <w:shd w:val="clear" w:color="auto" w:fill="auto"/>
            <w:vAlign w:val="center"/>
          </w:tcPr>
          <w:p>
            <w:pPr>
              <w:rPr>
                <w:rFonts w:cs="宋体"/>
                <w:color w:val="000000"/>
                <w:sz w:val="18"/>
                <w:szCs w:val="18"/>
              </w:rPr>
            </w:pPr>
            <w:r>
              <w:rPr>
                <w:color w:val="000000"/>
                <w:sz w:val="22"/>
                <w:szCs w:val="22"/>
              </w:rPr>
              <w:t>受益港口企业满意度</w:t>
            </w:r>
          </w:p>
        </w:tc>
        <w:tc>
          <w:tcPr>
            <w:tcW w:w="425" w:type="dxa"/>
            <w:gridSpan w:val="2"/>
            <w:tcBorders>
              <w:top w:val="nil"/>
              <w:left w:val="nil"/>
              <w:bottom w:val="single" w:color="auto" w:sz="4" w:space="0"/>
              <w:right w:val="single" w:color="auto" w:sz="4" w:space="0"/>
            </w:tcBorders>
            <w:shd w:val="clear" w:color="auto" w:fill="auto"/>
            <w:vAlign w:val="center"/>
          </w:tcPr>
          <w:p>
            <w:pPr>
              <w:rPr>
                <w:rFonts w:cs="宋体"/>
                <w:color w:val="000000"/>
                <w:sz w:val="18"/>
                <w:szCs w:val="18"/>
              </w:rPr>
            </w:pPr>
            <w:r>
              <w:rPr>
                <w:color w:val="000000"/>
                <w:sz w:val="22"/>
                <w:szCs w:val="22"/>
              </w:rPr>
              <w:t>%</w:t>
            </w:r>
          </w:p>
        </w:tc>
        <w:tc>
          <w:tcPr>
            <w:tcW w:w="567" w:type="dxa"/>
            <w:tcBorders>
              <w:top w:val="nil"/>
              <w:left w:val="nil"/>
              <w:bottom w:val="single" w:color="auto" w:sz="4" w:space="0"/>
              <w:right w:val="single" w:color="auto" w:sz="4" w:space="0"/>
            </w:tcBorders>
            <w:shd w:val="clear" w:color="auto" w:fill="auto"/>
            <w:vAlign w:val="center"/>
          </w:tcPr>
          <w:p>
            <w:pPr>
              <w:rPr>
                <w:rFonts w:cs="宋体"/>
                <w:color w:val="000000"/>
                <w:sz w:val="18"/>
                <w:szCs w:val="18"/>
              </w:rPr>
            </w:pPr>
            <w:r>
              <w:rPr>
                <w:color w:val="000000"/>
                <w:sz w:val="22"/>
                <w:szCs w:val="22"/>
              </w:rPr>
              <w:t>≥</w:t>
            </w:r>
          </w:p>
        </w:tc>
        <w:tc>
          <w:tcPr>
            <w:tcW w:w="589" w:type="dxa"/>
            <w:gridSpan w:val="2"/>
            <w:tcBorders>
              <w:top w:val="nil"/>
              <w:left w:val="nil"/>
              <w:bottom w:val="single" w:color="auto" w:sz="4" w:space="0"/>
              <w:right w:val="single" w:color="auto" w:sz="4" w:space="0"/>
            </w:tcBorders>
            <w:shd w:val="clear" w:color="auto" w:fill="auto"/>
            <w:vAlign w:val="center"/>
          </w:tcPr>
          <w:p>
            <w:pPr>
              <w:jc w:val="right"/>
              <w:rPr>
                <w:rFonts w:cs="宋体"/>
                <w:color w:val="000000"/>
                <w:sz w:val="18"/>
                <w:szCs w:val="18"/>
              </w:rPr>
            </w:pPr>
            <w:r>
              <w:rPr>
                <w:color w:val="000000"/>
                <w:sz w:val="22"/>
                <w:szCs w:val="22"/>
              </w:rPr>
              <w:t>100</w:t>
            </w:r>
          </w:p>
        </w:tc>
        <w:tc>
          <w:tcPr>
            <w:tcW w:w="687" w:type="dxa"/>
            <w:tcBorders>
              <w:top w:val="nil"/>
              <w:left w:val="nil"/>
              <w:bottom w:val="single" w:color="auto" w:sz="4" w:space="0"/>
              <w:right w:val="single" w:color="auto" w:sz="4" w:space="0"/>
            </w:tcBorders>
            <w:shd w:val="clear" w:color="auto" w:fill="auto"/>
            <w:vAlign w:val="center"/>
          </w:tcPr>
          <w:p>
            <w:pPr>
              <w:jc w:val="right"/>
              <w:rPr>
                <w:rFonts w:cs="宋体"/>
                <w:color w:val="000000"/>
                <w:sz w:val="18"/>
                <w:szCs w:val="18"/>
              </w:rPr>
            </w:pPr>
            <w:r>
              <w:rPr>
                <w:color w:val="000000"/>
                <w:sz w:val="22"/>
                <w:szCs w:val="22"/>
              </w:rPr>
              <w:t>100</w:t>
            </w:r>
          </w:p>
        </w:tc>
        <w:tc>
          <w:tcPr>
            <w:tcW w:w="850" w:type="dxa"/>
            <w:gridSpan w:val="2"/>
            <w:tcBorders>
              <w:top w:val="nil"/>
              <w:left w:val="nil"/>
              <w:bottom w:val="single" w:color="auto" w:sz="4" w:space="0"/>
              <w:right w:val="single" w:color="auto" w:sz="4" w:space="0"/>
            </w:tcBorders>
            <w:shd w:val="clear" w:color="auto" w:fill="auto"/>
            <w:vAlign w:val="center"/>
          </w:tcPr>
          <w:p>
            <w:pPr>
              <w:jc w:val="right"/>
              <w:rPr>
                <w:rFonts w:cs="宋体"/>
                <w:color w:val="000000"/>
                <w:sz w:val="18"/>
                <w:szCs w:val="18"/>
              </w:rPr>
            </w:pPr>
            <w:r>
              <w:rPr>
                <w:color w:val="000000"/>
                <w:sz w:val="22"/>
                <w:szCs w:val="22"/>
              </w:rPr>
              <w:t>0</w:t>
            </w:r>
          </w:p>
        </w:tc>
        <w:tc>
          <w:tcPr>
            <w:tcW w:w="992" w:type="dxa"/>
            <w:gridSpan w:val="2"/>
            <w:tcBorders>
              <w:top w:val="nil"/>
              <w:left w:val="nil"/>
              <w:bottom w:val="single" w:color="auto" w:sz="4" w:space="0"/>
              <w:right w:val="single" w:color="auto" w:sz="4" w:space="0"/>
            </w:tcBorders>
            <w:shd w:val="clear" w:color="auto" w:fill="auto"/>
            <w:vAlign w:val="center"/>
          </w:tcPr>
          <w:p>
            <w:pPr>
              <w:jc w:val="right"/>
              <w:rPr>
                <w:rFonts w:cs="宋体"/>
                <w:color w:val="000000"/>
                <w:sz w:val="18"/>
                <w:szCs w:val="18"/>
              </w:rPr>
            </w:pPr>
            <w:r>
              <w:rPr>
                <w:color w:val="000000"/>
                <w:sz w:val="22"/>
                <w:szCs w:val="22"/>
              </w:rPr>
              <w:t>100</w:t>
            </w:r>
          </w:p>
        </w:tc>
        <w:tc>
          <w:tcPr>
            <w:tcW w:w="709" w:type="dxa"/>
            <w:gridSpan w:val="2"/>
            <w:tcBorders>
              <w:top w:val="nil"/>
              <w:left w:val="nil"/>
              <w:bottom w:val="single" w:color="auto" w:sz="4" w:space="0"/>
              <w:right w:val="single" w:color="auto" w:sz="4" w:space="0"/>
            </w:tcBorders>
            <w:shd w:val="clear" w:color="auto" w:fill="auto"/>
            <w:vAlign w:val="center"/>
          </w:tcPr>
          <w:p>
            <w:pPr>
              <w:jc w:val="right"/>
              <w:rPr>
                <w:rFonts w:cs="宋体"/>
                <w:color w:val="000000"/>
                <w:sz w:val="18"/>
                <w:szCs w:val="18"/>
              </w:rPr>
            </w:pPr>
            <w:r>
              <w:rPr>
                <w:color w:val="000000"/>
                <w:sz w:val="22"/>
                <w:szCs w:val="22"/>
              </w:rPr>
              <w:t>10</w:t>
            </w:r>
          </w:p>
        </w:tc>
        <w:tc>
          <w:tcPr>
            <w:tcW w:w="709" w:type="dxa"/>
            <w:tcBorders>
              <w:top w:val="nil"/>
              <w:left w:val="nil"/>
              <w:bottom w:val="single" w:color="auto" w:sz="4" w:space="0"/>
              <w:right w:val="single" w:color="auto" w:sz="4" w:space="0"/>
            </w:tcBorders>
            <w:shd w:val="clear" w:color="auto" w:fill="auto"/>
            <w:vAlign w:val="center"/>
          </w:tcPr>
          <w:p>
            <w:pPr>
              <w:jc w:val="right"/>
              <w:rPr>
                <w:rFonts w:cs="宋体"/>
                <w:color w:val="000000"/>
                <w:sz w:val="18"/>
                <w:szCs w:val="18"/>
              </w:rPr>
            </w:pPr>
            <w:r>
              <w:rPr>
                <w:color w:val="000000"/>
                <w:sz w:val="22"/>
                <w:szCs w:val="22"/>
              </w:rPr>
              <w:t>10</w:t>
            </w:r>
          </w:p>
        </w:tc>
        <w:tc>
          <w:tcPr>
            <w:tcW w:w="850" w:type="dxa"/>
            <w:tcBorders>
              <w:top w:val="nil"/>
              <w:left w:val="nil"/>
              <w:bottom w:val="single" w:color="auto" w:sz="4" w:space="0"/>
              <w:right w:val="single" w:color="auto" w:sz="4" w:space="0"/>
            </w:tcBorders>
            <w:shd w:val="clear" w:color="auto" w:fill="auto"/>
            <w:vAlign w:val="center"/>
          </w:tcPr>
          <w:p>
            <w:pPr>
              <w:rPr>
                <w:rFonts w:cs="宋体"/>
                <w:color w:val="000000"/>
                <w:sz w:val="18"/>
                <w:szCs w:val="18"/>
              </w:rPr>
            </w:pPr>
            <w:r>
              <w:rPr>
                <w:color w:val="000000"/>
                <w:sz w:val="22"/>
                <w:szCs w:val="22"/>
              </w:rPr>
              <w:t>否</w:t>
            </w:r>
          </w:p>
        </w:tc>
        <w:tc>
          <w:tcPr>
            <w:tcW w:w="567" w:type="dxa"/>
            <w:tcBorders>
              <w:top w:val="nil"/>
              <w:left w:val="nil"/>
              <w:bottom w:val="single" w:color="auto" w:sz="4" w:space="0"/>
              <w:right w:val="single" w:color="auto" w:sz="4" w:space="0"/>
            </w:tcBorders>
            <w:shd w:val="clear" w:color="auto" w:fill="auto"/>
            <w:vAlign w:val="center"/>
          </w:tcPr>
          <w:p>
            <w:pPr>
              <w:rPr>
                <w:rFonts w:cs="宋体"/>
                <w:color w:val="000000"/>
                <w:sz w:val="18"/>
                <w:szCs w:val="18"/>
              </w:rPr>
            </w:pPr>
          </w:p>
        </w:tc>
      </w:tr>
    </w:tbl>
    <w:p>
      <w:pPr>
        <w:pStyle w:val="15"/>
        <w:autoSpaceDE w:val="0"/>
        <w:spacing w:before="0" w:beforeAutospacing="0" w:after="0" w:afterAutospacing="0" w:line="596" w:lineRule="exact"/>
        <w:ind w:firstLine="643" w:firstLineChars="20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9"/>
        <w:autoSpaceDE w:val="0"/>
        <w:spacing w:line="596"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本单位没有委托第三方开展绩效评价。</w:t>
      </w:r>
    </w:p>
    <w:p>
      <w:pPr>
        <w:pStyle w:val="19"/>
        <w:autoSpaceDE w:val="0"/>
        <w:spacing w:line="596" w:lineRule="exact"/>
        <w:ind w:firstLine="643"/>
        <w:rPr>
          <w:rFonts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9"/>
        <w:autoSpaceDE w:val="0"/>
        <w:spacing w:line="596"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区财政局未委托第三方对我单位开展绩效评价。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六、专业名词解释</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5"/>
        <w:spacing w:before="0" w:beforeAutospacing="0" w:after="0" w:afterAutospacing="0" w:line="596" w:lineRule="exact"/>
        <w:rPr>
          <w:rFonts w:hint="eastAsia"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pPr>
        <w:pStyle w:val="9"/>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9"/>
        <w:snapToGrid w:val="0"/>
        <w:spacing w:before="0" w:beforeAutospacing="0" w:after="0" w:afterAutospacing="0" w:line="600" w:lineRule="exact"/>
        <w:ind w:firstLine="640" w:firstLineChars="200"/>
        <w:jc w:val="both"/>
        <w:rPr>
          <w:rStyle w:val="13"/>
          <w:rFonts w:hint="eastAsia" w:ascii="方正仿宋_GBK" w:hAnsi="方正仿宋_GBK" w:eastAsia="方正仿宋_GBK" w:cs="方正仿宋_GBK"/>
          <w:b w:val="0"/>
          <w:sz w:val="32"/>
          <w:szCs w:val="32"/>
          <w:shd w:val="clear" w:color="auto" w:fill="FFFFFF"/>
          <w:lang w:eastAsia="zh-CN"/>
        </w:rPr>
        <w:sectPr>
          <w:footerReference r:id="rId5"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黄瑕瑜</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023-72221306</w:t>
      </w:r>
      <w:r>
        <w:rPr>
          <w:rFonts w:hint="eastAsia" w:ascii="方正仿宋_GBK" w:hAnsi="方正仿宋_GBK" w:eastAsia="方正仿宋_GBK" w:cs="方正仿宋_GBK"/>
          <w:sz w:val="32"/>
          <w:szCs w:val="32"/>
          <w:shd w:val="clear" w:color="auto" w:fill="FFFFFF"/>
          <w:lang w:eastAsia="zh-CN"/>
        </w:rPr>
        <w:t>。</w:t>
      </w:r>
    </w:p>
    <w:p>
      <w:pPr>
        <w:rPr>
          <w:sz w:val="18"/>
          <w:szCs w:val="18"/>
        </w:rPr>
      </w:pPr>
    </w:p>
    <w:sectPr>
      <w:headerReference r:id="rId6" w:type="default"/>
      <w:footerReference r:id="rId7" w:type="default"/>
      <w:pgSz w:w="16783" w:h="11850" w:orient="landscape"/>
      <w:pgMar w:top="567" w:right="454" w:bottom="567" w:left="1037" w:header="0" w:footer="283" w:gutter="0"/>
      <w:pgNumType w:fmt="numberInDash"/>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6"/>
                  <w:jc w:val="both"/>
                  <w:rPr>
                    <w:rFonts w:cs="宋体"/>
                  </w:rPr>
                </w:pPr>
                <w:r>
                  <w:rPr>
                    <w:rFonts w:cs="宋体"/>
                  </w:rPr>
                  <w:t>— 27.1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0445A3"/>
    <w:rsid w:val="00075289"/>
    <w:rsid w:val="00081E2A"/>
    <w:rsid w:val="000B79A2"/>
    <w:rsid w:val="00104D45"/>
    <w:rsid w:val="00185D50"/>
    <w:rsid w:val="001D3BB7"/>
    <w:rsid w:val="00242478"/>
    <w:rsid w:val="002B254B"/>
    <w:rsid w:val="002B2E62"/>
    <w:rsid w:val="0034050A"/>
    <w:rsid w:val="00376898"/>
    <w:rsid w:val="00381904"/>
    <w:rsid w:val="00385C02"/>
    <w:rsid w:val="003A36C6"/>
    <w:rsid w:val="003D7A49"/>
    <w:rsid w:val="00440295"/>
    <w:rsid w:val="0044504F"/>
    <w:rsid w:val="00466C9B"/>
    <w:rsid w:val="00482972"/>
    <w:rsid w:val="00486CFC"/>
    <w:rsid w:val="00491DDD"/>
    <w:rsid w:val="00503575"/>
    <w:rsid w:val="00521640"/>
    <w:rsid w:val="00534B2D"/>
    <w:rsid w:val="00550ABE"/>
    <w:rsid w:val="005D77F0"/>
    <w:rsid w:val="00623A85"/>
    <w:rsid w:val="00675497"/>
    <w:rsid w:val="007032AD"/>
    <w:rsid w:val="00770383"/>
    <w:rsid w:val="007819D4"/>
    <w:rsid w:val="00794B81"/>
    <w:rsid w:val="007B419D"/>
    <w:rsid w:val="007B7C4B"/>
    <w:rsid w:val="007D3D39"/>
    <w:rsid w:val="0087780F"/>
    <w:rsid w:val="00984C6A"/>
    <w:rsid w:val="00994AF7"/>
    <w:rsid w:val="00995467"/>
    <w:rsid w:val="00997E93"/>
    <w:rsid w:val="009B67B8"/>
    <w:rsid w:val="009C14C9"/>
    <w:rsid w:val="009D2B67"/>
    <w:rsid w:val="009E1452"/>
    <w:rsid w:val="00A07B7D"/>
    <w:rsid w:val="00A11528"/>
    <w:rsid w:val="00A566F9"/>
    <w:rsid w:val="00AF2751"/>
    <w:rsid w:val="00B03CCD"/>
    <w:rsid w:val="00B05B11"/>
    <w:rsid w:val="00BE2B89"/>
    <w:rsid w:val="00BF0D89"/>
    <w:rsid w:val="00C040AF"/>
    <w:rsid w:val="00C10E9E"/>
    <w:rsid w:val="00C20C3E"/>
    <w:rsid w:val="00C5163E"/>
    <w:rsid w:val="00CA3F29"/>
    <w:rsid w:val="00CF2ACF"/>
    <w:rsid w:val="00D03AAF"/>
    <w:rsid w:val="00DD0539"/>
    <w:rsid w:val="00DD19CA"/>
    <w:rsid w:val="00DE7D9B"/>
    <w:rsid w:val="00E07662"/>
    <w:rsid w:val="00E368E9"/>
    <w:rsid w:val="00E77FC9"/>
    <w:rsid w:val="00E97F43"/>
    <w:rsid w:val="00EC5A52"/>
    <w:rsid w:val="00EE1E33"/>
    <w:rsid w:val="00F07257"/>
    <w:rsid w:val="00F11EE9"/>
    <w:rsid w:val="00F73F90"/>
    <w:rsid w:val="00FA72D5"/>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1F0B4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4675474"/>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88388C"/>
    <w:rsid w:val="4D1F53CA"/>
    <w:rsid w:val="4DAC4ACA"/>
    <w:rsid w:val="4DBE01D2"/>
    <w:rsid w:val="4EF77689"/>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585F69"/>
    <w:rsid w:val="567700D3"/>
    <w:rsid w:val="56FF7E9E"/>
    <w:rsid w:val="578867FC"/>
    <w:rsid w:val="5842572D"/>
    <w:rsid w:val="5A3B59D6"/>
    <w:rsid w:val="5AD134D8"/>
    <w:rsid w:val="5BAC2AF6"/>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8E47B3"/>
    <w:rsid w:val="76BD23AB"/>
    <w:rsid w:val="772E1EBA"/>
    <w:rsid w:val="781926BC"/>
    <w:rsid w:val="78DF1CCF"/>
    <w:rsid w:val="796D60A4"/>
    <w:rsid w:val="79A031D5"/>
    <w:rsid w:val="79B47FDF"/>
    <w:rsid w:val="79E569A9"/>
    <w:rsid w:val="7A1525F7"/>
    <w:rsid w:val="7B420052"/>
    <w:rsid w:val="7BD06A28"/>
    <w:rsid w:val="7C3A7C0B"/>
    <w:rsid w:val="7C5248E4"/>
    <w:rsid w:val="7C566698"/>
    <w:rsid w:val="7C5866A3"/>
    <w:rsid w:val="7D7406BB"/>
    <w:rsid w:val="7DE37B5F"/>
    <w:rsid w:val="7DE94331"/>
    <w:rsid w:val="7F446A19"/>
    <w:rsid w:val="7F7452B9"/>
    <w:rsid w:val="7F8C0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pPr>
      <w:spacing w:after="160" w:line="278" w:lineRule="auto"/>
    </w:pPr>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line="278" w:lineRule="auto"/>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spacing w:after="160" w:line="278" w:lineRule="auto"/>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表段落1"/>
    <w:basedOn w:val="1"/>
    <w:qFormat/>
    <w:uiPriority w:val="99"/>
    <w:pPr>
      <w:spacing w:after="0"/>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5057</Words>
  <Characters>5591</Characters>
  <Lines>41</Lines>
  <Paragraphs>11</Paragraphs>
  <TotalTime>154</TotalTime>
  <ScaleCrop>false</ScaleCrop>
  <LinksUpToDate>false</LinksUpToDate>
  <CharactersWithSpaces>5595</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2025-11-10T01:58:52Z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BB46EABDBB2749749395447164B066B3_12</vt:lpwstr>
  </property>
  <property fmtid="{D5CDD505-2E9C-101B-9397-08002B2CF9AE}" pid="4" name="KSOTemplateDocerSaveRecord">
    <vt:lpwstr>eyJoZGlkIjoiMWJjZmNlZWJjN2M3NThlZTk0YjZlMjVmYmVmNTU1ZjkiLCJ1c2VySWQiOiIyNzM5NjM1NjQifQ==</vt:lpwstr>
  </property>
</Properties>
</file>