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44"/>
          <w:szCs w:val="44"/>
        </w:rPr>
        <w:t>重庆市涪陵区交通规划与技术发展中心2024年度决算公开说明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1.参与交通运输发展战略、规划、政策的研究，提供咨询服务。</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2.为交通工程建设、运行维护提供技术支撑和服务。</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3.承担交通工程造价事务工作。</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4.承担交通技术开发和推广的事务工作。</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5.承担交通规划、工程等档案管理的事务工作。</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6.完成区交通局交办的其他工作。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widowControl w:val="0"/>
        <w:autoSpaceDE w:val="0"/>
        <w:autoSpaceDN w:val="0"/>
        <w:spacing w:line="560" w:lineRule="exact"/>
        <w:ind w:firstLine="640" w:firstLineChars="200"/>
        <w:jc w:val="both"/>
        <w:rPr>
          <w:rFonts w:hint="default" w:ascii="方正仿宋_GBK" w:hAnsi="Calibri" w:eastAsia="方正仿宋_GBK" w:cs="宋体"/>
          <w:kern w:val="2"/>
          <w:sz w:val="32"/>
          <w:szCs w:val="32"/>
        </w:rPr>
      </w:pPr>
      <w:r>
        <w:rPr>
          <w:rFonts w:ascii="方正仿宋_GBK" w:hAnsi="方正仿宋_GBK" w:eastAsia="方正仿宋_GBK" w:cs="方正仿宋_GBK"/>
          <w:kern w:val="2"/>
          <w:sz w:val="32"/>
          <w:szCs w:val="32"/>
        </w:rPr>
        <w:t>重庆市涪陵区交通规划与技术发展中心是隶属重庆市涪陵区交通运输委员会管理的正科级公益一类全额拨款事业单位，内设综合办公室和事务科两个科室，现有编制数19人，实有16人。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2024年度收入总计364.08万元，支出总计</w:t>
      </w:r>
      <w:r>
        <w:rPr>
          <w:rFonts w:ascii="方正仿宋_GBK" w:hAnsi="方正仿宋_GBK" w:eastAsia="方正仿宋_GBK" w:cs="方正仿宋_GBK"/>
          <w:sz w:val="32"/>
          <w:szCs w:val="32"/>
        </w:rPr>
        <w:t>364.08</w:t>
      </w:r>
      <w:r>
        <w:rPr>
          <w:rFonts w:ascii="方正仿宋_GBK" w:hAnsi="方正仿宋_GBK" w:eastAsia="方正仿宋_GBK" w:cs="方正仿宋_GBK"/>
          <w:sz w:val="32"/>
          <w:szCs w:val="32"/>
          <w:shd w:val="clear" w:color="auto" w:fill="FFFFFF"/>
        </w:rPr>
        <w:t>万元。收、支与2023年度相比，增加20.26万元，增长5.9%，主要原因是养老保险、职业年金等社会保障费用上涨，相应收、支均增加。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2024年度收入合计362.87万元，与2023年度相比，增加19.05万元，增长5.5%，主要原因是养老保险、职业年金等社会保障费用上涨，</w:t>
      </w:r>
      <w:r>
        <w:rPr>
          <w:rFonts w:ascii="方正仿宋_GBK" w:hAnsi="方正仿宋_GBK" w:eastAsia="方正仿宋_GBK" w:cs="方正仿宋_GBK"/>
          <w:kern w:val="2"/>
          <w:sz w:val="32"/>
          <w:szCs w:val="32"/>
        </w:rPr>
        <w:t>相应增加预算收入</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362.87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364.08</w:t>
      </w:r>
      <w:r>
        <w:rPr>
          <w:rFonts w:ascii="方正仿宋_GBK" w:hAnsi="方正仿宋_GBK" w:eastAsia="方正仿宋_GBK" w:cs="方正仿宋_GBK"/>
          <w:sz w:val="32"/>
          <w:szCs w:val="32"/>
          <w:shd w:val="clear" w:color="auto" w:fill="FFFFFF"/>
        </w:rPr>
        <w:t>万元，与2023年度相比，增加20.26万元，增长5.9%，主要原因是养老保险、职业年金等社会保障费用上涨，</w:t>
      </w:r>
      <w:r>
        <w:rPr>
          <w:rFonts w:ascii="方正仿宋_GBK" w:hAnsi="方正仿宋_GBK" w:eastAsia="方正仿宋_GBK" w:cs="方正仿宋_GBK"/>
          <w:kern w:val="2"/>
          <w:sz w:val="32"/>
          <w:szCs w:val="32"/>
        </w:rPr>
        <w:t>相应增加支出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327.87</w:t>
      </w:r>
      <w:r>
        <w:rPr>
          <w:rFonts w:ascii="方正仿宋_GBK" w:hAnsi="方正仿宋_GBK" w:eastAsia="方正仿宋_GBK" w:cs="方正仿宋_GBK"/>
          <w:sz w:val="32"/>
          <w:szCs w:val="32"/>
          <w:shd w:val="clear" w:color="auto" w:fill="FFFFFF"/>
        </w:rPr>
        <w:t>万元，占90.06%；项目支出</w:t>
      </w:r>
      <w:r>
        <w:rPr>
          <w:rFonts w:ascii="方正仿宋_GBK" w:hAnsi="方正仿宋_GBK" w:eastAsia="方正仿宋_GBK" w:cs="方正仿宋_GBK"/>
          <w:sz w:val="32"/>
          <w:szCs w:val="32"/>
        </w:rPr>
        <w:t>36.20</w:t>
      </w:r>
      <w:r>
        <w:rPr>
          <w:rFonts w:ascii="方正仿宋_GBK" w:hAnsi="方正仿宋_GBK" w:eastAsia="方正仿宋_GBK" w:cs="方正仿宋_GBK"/>
          <w:sz w:val="32"/>
          <w:szCs w:val="32"/>
          <w:shd w:val="clear" w:color="auto" w:fill="FFFFFF"/>
        </w:rPr>
        <w:t>万元，占9.94%；经营支出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严格按照财政预算执行。</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2024年度财政拨款收、支总计364.08万元。与2022年相比，财政拨款收、支总计各增加20.26万元，增长5.9%。主要原因是养老保险、职业年金等社会保障费用上涨，相应财政拨款收、支均增加。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362.87</w:t>
      </w:r>
      <w:r>
        <w:rPr>
          <w:rFonts w:ascii="方正仿宋_GBK" w:hAnsi="方正仿宋_GBK" w:eastAsia="方正仿宋_GBK" w:cs="方正仿宋_GBK"/>
          <w:sz w:val="32"/>
          <w:szCs w:val="32"/>
          <w:shd w:val="clear" w:color="auto" w:fill="FFFFFF"/>
        </w:rPr>
        <w:t>万元，与2023年度相比，增加19.05万元，增长5.5%。主要原因是养老保险、职业年金等社会保障费用上涨。较年初预算数增加29.60万元，增长8.9%。主要原因是养老保险、职业年金等社会保障费用上涨，导致追加预算。此外，年初财政拨款结转和结余</w:t>
      </w:r>
      <w:r>
        <w:rPr>
          <w:rFonts w:ascii="方正仿宋_GBK" w:hAnsi="方正仿宋_GBK" w:eastAsia="方正仿宋_GBK" w:cs="方正仿宋_GBK"/>
          <w:sz w:val="32"/>
          <w:szCs w:val="32"/>
        </w:rPr>
        <w:t>1.20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364.08</w:t>
      </w:r>
      <w:r>
        <w:rPr>
          <w:rFonts w:ascii="方正仿宋_GBK" w:hAnsi="方正仿宋_GBK" w:eastAsia="方正仿宋_GBK" w:cs="方正仿宋_GBK"/>
          <w:sz w:val="32"/>
          <w:szCs w:val="32"/>
          <w:shd w:val="clear" w:color="auto" w:fill="FFFFFF"/>
        </w:rPr>
        <w:t>万元，与2023年度相比，增加20.26万元，增长5.9%。主要原因是养老保险、职业年金等社会保障费用上涨。较年初预算数增加30.81万元，增长9.2%。主要原因是养老保险、职业年金等社会保障费用上涨。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严格按照财政预算执行。</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56.75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15.59</w:t>
      </w:r>
      <w:r>
        <w:rPr>
          <w:rFonts w:ascii="方正仿宋_GBK" w:hAnsi="方正仿宋_GBK" w:eastAsia="方正仿宋_GBK" w:cs="方正仿宋_GBK"/>
          <w:sz w:val="32"/>
          <w:szCs w:val="32"/>
          <w:shd w:val="clear" w:color="auto" w:fill="FFFFFF"/>
        </w:rPr>
        <w:t>%，较年初预算数增加29.00万元，增长104.5%，主要原因是</w:t>
      </w:r>
      <w:r>
        <w:rPr>
          <w:rFonts w:ascii="方正仿宋_GBK" w:hAnsi="方正仿宋_GBK" w:eastAsia="方正仿宋_GBK" w:cs="方正仿宋_GBK"/>
          <w:kern w:val="2"/>
          <w:sz w:val="32"/>
          <w:szCs w:val="32"/>
        </w:rPr>
        <w:t>预算追加职工基本养老保险、职业年金缴费。</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14.82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%，较年初预算数减少0.45万元，下降3.0%，主要原因一方面是2</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24年初财政调剂收回了基本医疗保险预算0.74万元，另一方面是2024年8、9月份由于工资变动财政追加基本医疗保险预算0.29万元</w:t>
      </w:r>
      <w:r>
        <w:rPr>
          <w:rFonts w:ascii="方正仿宋_GBK" w:hAnsi="方正仿宋_GBK" w:eastAsia="方正仿宋_GBK" w:cs="方正仿宋_GBK"/>
          <w:kern w:val="2"/>
          <w:sz w:val="32"/>
          <w:szCs w:val="32"/>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（3）交通运输支出</w:t>
      </w:r>
      <w:r>
        <w:rPr>
          <w:rFonts w:ascii="方正仿宋_GBK" w:hAnsi="方正仿宋_GBK" w:eastAsia="方正仿宋_GBK" w:cs="方正仿宋_GBK"/>
          <w:sz w:val="32"/>
          <w:szCs w:val="32"/>
        </w:rPr>
        <w:t>279.15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76.67</w:t>
      </w:r>
      <w:r>
        <w:rPr>
          <w:rFonts w:ascii="方正仿宋_GBK" w:hAnsi="方正仿宋_GBK" w:eastAsia="方正仿宋_GBK" w:cs="方正仿宋_GBK"/>
          <w:sz w:val="32"/>
          <w:szCs w:val="32"/>
          <w:shd w:val="clear" w:color="auto" w:fill="FFFFFF"/>
        </w:rPr>
        <w:t>%，较年初预算数增加2.77万元，增长1.0%，主要原因是在职人员工资福利增加。</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住房保障支出13.36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3.67</w:t>
      </w:r>
      <w:r>
        <w:rPr>
          <w:rFonts w:ascii="方正仿宋_GBK" w:hAnsi="方正仿宋_GBK" w:eastAsia="方正仿宋_GBK" w:cs="方正仿宋_GBK"/>
          <w:sz w:val="32"/>
          <w:szCs w:val="32"/>
          <w:shd w:val="clear" w:color="auto" w:fill="FFFFFF"/>
        </w:rPr>
        <w:t>%，较年初预算数减少0.51万元，下降3.7%，主要原因是一方面是2</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24年初财政调剂收回了公积金预算0.86万元，另一方面是2</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24年8、9月份由于工资变动财政追加公积金预算0.34万元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327.87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295.87</w:t>
      </w:r>
      <w:r>
        <w:rPr>
          <w:rFonts w:ascii="方正仿宋_GBK" w:hAnsi="方正仿宋_GBK" w:eastAsia="方正仿宋_GBK" w:cs="方正仿宋_GBK"/>
          <w:sz w:val="32"/>
          <w:szCs w:val="32"/>
          <w:shd w:val="clear" w:color="auto" w:fill="FFFFFF"/>
        </w:rPr>
        <w:t>万元，与2023年度相比，增加11.21万元，增长3.9%，主要原因是工资福利支出增加。人员经费用途主要包括</w:t>
      </w:r>
      <w:r>
        <w:rPr>
          <w:rFonts w:ascii="方正仿宋_GBK" w:hAnsi="方正仿宋_GBK" w:eastAsia="方正仿宋_GBK" w:cs="方正仿宋_GBK"/>
          <w:kern w:val="2"/>
          <w:sz w:val="32"/>
          <w:szCs w:val="32"/>
        </w:rPr>
        <w:t>基本工资、津贴补贴、绩效工资、机关事业单位基本养老保险缴费、职业年金缴费、职工基本医疗保险缴费、其他社会保障缴费、住房公积金、医疗费、其他工资福利支出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32.01</w:t>
      </w:r>
      <w:r>
        <w:rPr>
          <w:rFonts w:ascii="方正仿宋_GBK" w:hAnsi="方正仿宋_GBK" w:eastAsia="方正仿宋_GBK" w:cs="方正仿宋_GBK"/>
          <w:sz w:val="32"/>
          <w:szCs w:val="32"/>
          <w:shd w:val="clear" w:color="auto" w:fill="FFFFFF"/>
        </w:rPr>
        <w:t>万元，与2023年度相比，增加13.35万元，增长71.5%，主要原因是用于保障日常运转的公务用车运行维护费及其他交通费用增加，用于保障通信的邮电费增加，开展工会活动增加工会经费等。公用经费用途主要包括办公费、水电费、邮电费、培训费、维修（护）费、劳务费、工会经费、公务用车运行维护费、委托业务费、其他交通费用、其他商品和服务支出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5.14</w:t>
      </w:r>
      <w:r>
        <w:rPr>
          <w:rFonts w:ascii="方正仿宋_GBK" w:hAnsi="方正仿宋_GBK" w:eastAsia="方正仿宋_GBK" w:cs="方正仿宋_GBK"/>
          <w:sz w:val="32"/>
          <w:szCs w:val="32"/>
          <w:shd w:val="clear" w:color="auto" w:fill="FFFFFF"/>
        </w:rPr>
        <w:t>万元，较年初预算数减少2.16万元，下降29.6%，主要原因是2024年实际未产生公务接待。较上年支出数增加0.28万元，增长5.8%，主要原因是公务车辆使用年限比较久，产生的维修次数变多，费用上涨。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ascii="方正仿宋_GBK" w:hAnsi="方正仿宋_GBK" w:eastAsia="方正仿宋_GBK" w:cs="方正仿宋_GBK"/>
          <w:kern w:val="2"/>
          <w:sz w:val="32"/>
          <w:szCs w:val="32"/>
        </w:rPr>
        <w:t>公务出国。</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kern w:val="2"/>
          <w:sz w:val="32"/>
          <w:szCs w:val="32"/>
        </w:rPr>
        <w:t>严格按照预算执行。</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kern w:val="2"/>
          <w:sz w:val="32"/>
          <w:szCs w:val="32"/>
        </w:rPr>
        <w:t>本单位2024年度未发生因公出国（境）费用支出。</w:t>
      </w:r>
    </w:p>
    <w:p>
      <w:pPr>
        <w:pStyle w:val="6"/>
        <w:snapToGrid w:val="0"/>
        <w:spacing w:before="0" w:beforeAutospacing="0" w:after="0" w:afterAutospacing="0" w:line="600" w:lineRule="exact"/>
        <w:ind w:firstLine="640" w:firstLineChars="200"/>
        <w:jc w:val="both"/>
        <w:rPr>
          <w:rFonts w:hint="default" w:ascii="Cambria" w:hAnsi="Cambria" w:eastAsia="方正仿宋_GBK" w:cs="Cambria"/>
          <w:sz w:val="32"/>
          <w:szCs w:val="32"/>
          <w:shd w:val="clear" w:color="auto" w:fill="FFFFFF"/>
        </w:rPr>
      </w:pPr>
      <w:r>
        <w:rPr>
          <w:rFonts w:hint="default" w:ascii="方正仿宋_GBK" w:hAnsi="方正仿宋_GBK" w:eastAsia="方正仿宋_GBK" w:cs="方正仿宋_GBK"/>
          <w:sz w:val="32"/>
          <w:szCs w:val="32"/>
          <w:shd w:val="clear" w:color="auto" w:fill="FFFFFF"/>
        </w:rPr>
        <w:t>公务车购置费0.00万元，主要用于公务用车。费用支出较年初预算数无增减，主要原因是严格按照预算执行。较上年支出数无增减，主要原因是本单位2024年度未发生公务车购置费支出。</w:t>
      </w:r>
      <w:r>
        <w:rPr>
          <w:rFonts w:hint="default" w:ascii="Cambria" w:hAnsi="Cambria" w:eastAsia="方正仿宋_GBK" w:cs="Cambria"/>
          <w:sz w:val="32"/>
          <w:szCs w:val="32"/>
          <w:shd w:val="clear" w:color="auto" w:fill="FFFFFF"/>
        </w:rPr>
        <w:t>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5.14</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kern w:val="2"/>
          <w:sz w:val="32"/>
          <w:szCs w:val="32"/>
        </w:rPr>
        <w:t>因公出行和专项业务检查等工</w:t>
      </w:r>
      <w:bookmarkStart w:id="0" w:name="_GoBack"/>
      <w:bookmarkEnd w:id="0"/>
      <w:r>
        <w:rPr>
          <w:rFonts w:ascii="方正仿宋_GBK" w:hAnsi="方正仿宋_GBK" w:eastAsia="方正仿宋_GBK" w:cs="方正仿宋_GBK"/>
          <w:kern w:val="2"/>
          <w:sz w:val="32"/>
          <w:szCs w:val="32"/>
        </w:rPr>
        <w:t>作所需车辆的燃料费、通行费、洗车费、维修费、保险费</w:t>
      </w:r>
      <w:r>
        <w:rPr>
          <w:rFonts w:ascii="方正仿宋_GBK" w:hAnsi="方正仿宋_GBK" w:eastAsia="方正仿宋_GBK" w:cs="方正仿宋_GBK"/>
          <w:sz w:val="32"/>
          <w:szCs w:val="32"/>
          <w:shd w:val="clear" w:color="auto" w:fill="FFFFFF"/>
        </w:rPr>
        <w:t>。费用支出较年初预算数减少0.86万元，下降14.3%，主要原因是</w:t>
      </w:r>
      <w:r>
        <w:rPr>
          <w:rFonts w:ascii="方正仿宋_GBK" w:hAnsi="方正仿宋_GBK" w:eastAsia="方正仿宋_GBK" w:cs="方正仿宋_GBK"/>
          <w:kern w:val="2"/>
          <w:sz w:val="32"/>
          <w:szCs w:val="32"/>
        </w:rPr>
        <w:t>厉行节约，从严控制</w:t>
      </w:r>
      <w:r>
        <w:rPr>
          <w:rFonts w:ascii="方正仿宋_GBK" w:hAnsi="方正仿宋_GBK" w:eastAsia="方正仿宋_GBK" w:cs="方正仿宋_GBK"/>
          <w:sz w:val="32"/>
          <w:szCs w:val="32"/>
          <w:shd w:val="clear" w:color="auto" w:fill="FFFFFF"/>
        </w:rPr>
        <w:t>公务车运行维护费支出。较上年支出数增加0.29万元，增长6.0%，主要原因是公务车辆使用年限比较久，产生的维修次数变多，费用上涨。</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kern w:val="2"/>
          <w:sz w:val="32"/>
          <w:szCs w:val="32"/>
        </w:rPr>
        <w:t>其他单位到我单位学习调研、接受相关单位检查指导工作发生的接待支出</w:t>
      </w:r>
      <w:r>
        <w:rPr>
          <w:rFonts w:ascii="方正仿宋_GBK" w:hAnsi="方正仿宋_GBK" w:eastAsia="方正仿宋_GBK" w:cs="方正仿宋_GBK"/>
          <w:sz w:val="32"/>
          <w:szCs w:val="32"/>
          <w:shd w:val="clear" w:color="auto" w:fill="FFFFFF"/>
        </w:rPr>
        <w:t>。费用支出较年初预算数减少1.30万元，下降100.0%，主要原因是本年未发生接待。较上年支出数减少0.01万元，下降100.0%，主要原因是本年未发生接待。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5.14</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739" w:firstLineChars="2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万元，与2023年度相比，减少0.61万元，下降100.0%，主要原因是因单位会议为内部办公会议，财政未保障我单位会议费。本年度培训费支出</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万元，与2023年度相比，减少2.25万元，下降94.9%，主要原因是较上年聚集培训减少。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kern w:val="2"/>
          <w:sz w:val="32"/>
          <w:szCs w:val="32"/>
        </w:rPr>
        <w:t>机关运行相关费用</w:t>
      </w:r>
      <w:r>
        <w:rPr>
          <w:rFonts w:ascii="方正仿宋_GBK" w:hAnsi="方正仿宋_GBK" w:eastAsia="方正仿宋_GBK" w:cs="方正仿宋_GBK"/>
          <w:sz w:val="32"/>
          <w:szCs w:val="32"/>
          <w:shd w:val="clear" w:color="auto" w:fill="FFFFFF"/>
        </w:rPr>
        <w:t>。机关运行经费较上年决算数无增减，主要原因是</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0.13万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sz w:val="32"/>
          <w:szCs w:val="32"/>
        </w:rPr>
        <w:t>A4复印纸及打印机硒鼓零件。</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640"/>
        <w:rPr>
          <w:rFonts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个项目开展了绩效自评。</w:t>
      </w:r>
    </w:p>
    <w:p>
      <w:pPr>
        <w:pStyle w:val="16"/>
        <w:numPr>
          <w:ilvl w:val="0"/>
          <w:numId w:val="2"/>
        </w:numPr>
        <w:ind w:firstLineChars="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项目支出绩效自评汇总表</w:t>
      </w:r>
    </w:p>
    <w:tbl>
      <w:tblPr>
        <w:tblStyle w:val="7"/>
        <w:tblW w:w="9566" w:type="dxa"/>
        <w:tblInd w:w="0" w:type="dxa"/>
        <w:tblLayout w:type="autofit"/>
        <w:tblCellMar>
          <w:top w:w="0" w:type="dxa"/>
          <w:left w:w="108" w:type="dxa"/>
          <w:bottom w:w="0" w:type="dxa"/>
          <w:right w:w="108" w:type="dxa"/>
        </w:tblCellMar>
      </w:tblPr>
      <w:tblGrid>
        <w:gridCol w:w="694"/>
        <w:gridCol w:w="6820"/>
        <w:gridCol w:w="2052"/>
      </w:tblGrid>
      <w:tr>
        <w:tblPrEx>
          <w:tblCellMar>
            <w:top w:w="0" w:type="dxa"/>
            <w:left w:w="108" w:type="dxa"/>
            <w:bottom w:w="0" w:type="dxa"/>
            <w:right w:w="108" w:type="dxa"/>
          </w:tblCellMar>
        </w:tblPrEx>
        <w:trPr>
          <w:trHeight w:val="465" w:hRule="atLeast"/>
        </w:trPr>
        <w:tc>
          <w:tcPr>
            <w:tcW w:w="9566" w:type="dxa"/>
            <w:gridSpan w:val="3"/>
            <w:tcBorders>
              <w:top w:val="nil"/>
              <w:left w:val="nil"/>
              <w:bottom w:val="single" w:color="auto" w:sz="4" w:space="0"/>
              <w:right w:val="nil"/>
            </w:tcBorders>
            <w:shd w:val="clear" w:color="auto" w:fill="auto"/>
            <w:vAlign w:val="center"/>
          </w:tcPr>
          <w:p>
            <w:pPr>
              <w:spacing w:line="560" w:lineRule="exact"/>
              <w:jc w:val="both"/>
              <w:rPr>
                <w:rFonts w:hint="default" w:ascii="方正仿宋_GBK" w:eastAsia="方正仿宋_GBK" w:cs="宋体"/>
                <w:b/>
                <w:color w:val="000000"/>
                <w:sz w:val="15"/>
                <w:szCs w:val="15"/>
              </w:rPr>
            </w:pPr>
          </w:p>
        </w:tc>
      </w:tr>
      <w:tr>
        <w:tblPrEx>
          <w:tblCellMar>
            <w:top w:w="0" w:type="dxa"/>
            <w:left w:w="108" w:type="dxa"/>
            <w:bottom w:w="0" w:type="dxa"/>
            <w:right w:w="108" w:type="dxa"/>
          </w:tblCellMar>
        </w:tblPrEx>
        <w:trPr>
          <w:trHeight w:val="648" w:hRule="atLeast"/>
        </w:trPr>
        <w:tc>
          <w:tcPr>
            <w:tcW w:w="694"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序号</w:t>
            </w:r>
          </w:p>
        </w:tc>
        <w:tc>
          <w:tcPr>
            <w:tcW w:w="6820"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项目名称</w:t>
            </w:r>
          </w:p>
        </w:tc>
        <w:tc>
          <w:tcPr>
            <w:tcW w:w="20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自评得分</w:t>
            </w:r>
          </w:p>
        </w:tc>
      </w:tr>
      <w:tr>
        <w:tblPrEx>
          <w:tblCellMar>
            <w:top w:w="0" w:type="dxa"/>
            <w:left w:w="108" w:type="dxa"/>
            <w:bottom w:w="0" w:type="dxa"/>
            <w:right w:w="108" w:type="dxa"/>
          </w:tblCellMar>
        </w:tblPrEx>
        <w:trPr>
          <w:trHeight w:val="699" w:hRule="atLeast"/>
        </w:trPr>
        <w:tc>
          <w:tcPr>
            <w:tcW w:w="694"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1</w:t>
            </w:r>
          </w:p>
        </w:tc>
        <w:tc>
          <w:tcPr>
            <w:tcW w:w="6820"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开展工程质量安全监督检查指导专项工作</w:t>
            </w:r>
          </w:p>
        </w:tc>
        <w:tc>
          <w:tcPr>
            <w:tcW w:w="20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default" w:asciiTheme="minorEastAsia" w:hAnsiTheme="minorEastAsia" w:eastAsiaTheme="minorEastAsia" w:cstheme="minorEastAsia"/>
                <w:b/>
                <w:color w:val="000000"/>
                <w:sz w:val="18"/>
                <w:szCs w:val="18"/>
              </w:rPr>
            </w:pPr>
            <w:r>
              <w:rPr>
                <w:rFonts w:asciiTheme="minorEastAsia" w:hAnsiTheme="minorEastAsia" w:eastAsiaTheme="minorEastAsia" w:cstheme="minorEastAsia"/>
                <w:b/>
                <w:color w:val="000000"/>
                <w:sz w:val="18"/>
                <w:szCs w:val="18"/>
              </w:rPr>
              <w:t>100</w:t>
            </w:r>
          </w:p>
        </w:tc>
      </w:tr>
    </w:tbl>
    <w:p>
      <w:pPr>
        <w:pStyle w:val="16"/>
        <w:ind w:left="870" w:firstLine="0" w:firstLineChars="0"/>
      </w:pPr>
    </w:p>
    <w:p>
      <w:pPr>
        <w:pStyle w:val="12"/>
        <w:numPr>
          <w:ilvl w:val="0"/>
          <w:numId w:val="2"/>
        </w:numPr>
        <w:spacing w:before="0" w:beforeAutospacing="0" w:after="0" w:after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p>
    <w:tbl>
      <w:tblPr>
        <w:tblStyle w:val="7"/>
        <w:tblW w:w="9627" w:type="dxa"/>
        <w:tblInd w:w="0" w:type="dxa"/>
        <w:tblLayout w:type="autofit"/>
        <w:tblCellMar>
          <w:top w:w="0" w:type="dxa"/>
          <w:left w:w="108" w:type="dxa"/>
          <w:bottom w:w="0" w:type="dxa"/>
          <w:right w:w="108" w:type="dxa"/>
        </w:tblCellMar>
      </w:tblPr>
      <w:tblGrid>
        <w:gridCol w:w="855"/>
        <w:gridCol w:w="397"/>
        <w:gridCol w:w="274"/>
        <w:gridCol w:w="893"/>
        <w:gridCol w:w="89"/>
        <w:gridCol w:w="624"/>
        <w:gridCol w:w="830"/>
        <w:gridCol w:w="788"/>
        <w:gridCol w:w="240"/>
        <w:gridCol w:w="389"/>
        <w:gridCol w:w="675"/>
        <w:gridCol w:w="577"/>
        <w:gridCol w:w="417"/>
        <w:gridCol w:w="739"/>
        <w:gridCol w:w="975"/>
        <w:gridCol w:w="865"/>
      </w:tblGrid>
      <w:tr>
        <w:tblPrEx>
          <w:tblCellMar>
            <w:top w:w="0" w:type="dxa"/>
            <w:left w:w="108" w:type="dxa"/>
            <w:bottom w:w="0" w:type="dxa"/>
            <w:right w:w="108" w:type="dxa"/>
          </w:tblCellMar>
        </w:tblPrEx>
        <w:trPr>
          <w:trHeight w:val="601" w:hRule="atLeast"/>
        </w:trPr>
        <w:tc>
          <w:tcPr>
            <w:tcW w:w="12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项目名称：</w:t>
            </w:r>
          </w:p>
        </w:tc>
        <w:tc>
          <w:tcPr>
            <w:tcW w:w="1880"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18"/>
                <w:szCs w:val="18"/>
              </w:rPr>
            </w:pPr>
            <w:r>
              <w:rPr>
                <w:rFonts w:ascii="方正仿宋_GBK" w:hAnsi="Times New Roman" w:eastAsia="方正仿宋_GBK"/>
                <w:b/>
                <w:color w:val="000000"/>
                <w:sz w:val="15"/>
                <w:szCs w:val="15"/>
              </w:rPr>
              <w:t>开展工程质量安全监督检查指导专项工作</w:t>
            </w:r>
          </w:p>
        </w:tc>
        <w:tc>
          <w:tcPr>
            <w:tcW w:w="1618" w:type="dxa"/>
            <w:gridSpan w:val="2"/>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执行率得分：</w:t>
            </w:r>
          </w:p>
        </w:tc>
        <w:tc>
          <w:tcPr>
            <w:tcW w:w="628" w:type="dxa"/>
            <w:gridSpan w:val="2"/>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color w:val="000000"/>
                <w:sz w:val="18"/>
                <w:szCs w:val="18"/>
              </w:rPr>
            </w:pPr>
            <w:r>
              <w:rPr>
                <w:rFonts w:cs="宋体"/>
                <w:b/>
                <w:bCs/>
                <w:color w:val="000000"/>
                <w:sz w:val="18"/>
                <w:szCs w:val="18"/>
              </w:rPr>
              <w:t>10</w:t>
            </w:r>
          </w:p>
        </w:tc>
        <w:tc>
          <w:tcPr>
            <w:tcW w:w="1252" w:type="dxa"/>
            <w:gridSpan w:val="2"/>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自评总分：</w:t>
            </w:r>
          </w:p>
        </w:tc>
        <w:tc>
          <w:tcPr>
            <w:tcW w:w="2994" w:type="dxa"/>
            <w:gridSpan w:val="4"/>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r>
      <w:tr>
        <w:tblPrEx>
          <w:tblCellMar>
            <w:top w:w="0" w:type="dxa"/>
            <w:left w:w="108" w:type="dxa"/>
            <w:bottom w:w="0" w:type="dxa"/>
            <w:right w:w="108" w:type="dxa"/>
          </w:tblCellMar>
        </w:tblPrEx>
        <w:trPr>
          <w:trHeight w:val="521" w:hRule="atLeast"/>
        </w:trPr>
        <w:tc>
          <w:tcPr>
            <w:tcW w:w="962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trHeight w:val="614" w:hRule="atLeast"/>
        </w:trPr>
        <w:tc>
          <w:tcPr>
            <w:tcW w:w="25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sz w:val="18"/>
                <w:szCs w:val="18"/>
              </w:rPr>
            </w:pPr>
            <w:r>
              <w:rPr>
                <w:rFonts w:cs="宋体"/>
                <w:b/>
                <w:bCs/>
                <w:sz w:val="18"/>
                <w:szCs w:val="18"/>
              </w:rPr>
              <w:t>年初绩效目标</w:t>
            </w:r>
          </w:p>
        </w:tc>
        <w:tc>
          <w:tcPr>
            <w:tcW w:w="2871" w:type="dxa"/>
            <w:gridSpan w:val="5"/>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b/>
                <w:bCs/>
                <w:sz w:val="18"/>
                <w:szCs w:val="18"/>
              </w:rPr>
            </w:pPr>
            <w:r>
              <w:rPr>
                <w:rFonts w:cs="宋体"/>
                <w:b/>
                <w:bCs/>
                <w:sz w:val="18"/>
                <w:szCs w:val="18"/>
              </w:rPr>
              <w:t>全年（调整）绩效目标</w:t>
            </w:r>
          </w:p>
        </w:tc>
        <w:tc>
          <w:tcPr>
            <w:tcW w:w="4247" w:type="dxa"/>
            <w:gridSpan w:val="6"/>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trHeight w:val="759" w:hRule="atLeast"/>
        </w:trPr>
        <w:tc>
          <w:tcPr>
            <w:tcW w:w="2508" w:type="dxa"/>
            <w:gridSpan w:val="5"/>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sz w:val="18"/>
                <w:szCs w:val="18"/>
              </w:rPr>
            </w:pPr>
            <w:r>
              <w:rPr>
                <w:rFonts w:cs="宋体"/>
                <w:b/>
                <w:bCs/>
                <w:color w:val="000000"/>
                <w:sz w:val="18"/>
                <w:szCs w:val="18"/>
              </w:rPr>
              <w:t>当年纳入监督检查指导的交通建设工程项目，质量合格率达98%以上</w:t>
            </w:r>
          </w:p>
        </w:tc>
        <w:tc>
          <w:tcPr>
            <w:tcW w:w="2871" w:type="dxa"/>
            <w:gridSpan w:val="5"/>
            <w:tcBorders>
              <w:top w:val="single" w:color="auto" w:sz="4" w:space="0"/>
              <w:left w:val="nil"/>
              <w:bottom w:val="single" w:color="auto" w:sz="4" w:space="0"/>
              <w:right w:val="single" w:color="auto" w:sz="4" w:space="0"/>
            </w:tcBorders>
            <w:shd w:val="clear" w:color="auto" w:fill="auto"/>
          </w:tcPr>
          <w:p>
            <w:pPr>
              <w:jc w:val="center"/>
              <w:rPr>
                <w:rFonts w:hint="default" w:cs="宋体"/>
                <w:sz w:val="18"/>
                <w:szCs w:val="18"/>
              </w:rPr>
            </w:pPr>
          </w:p>
        </w:tc>
        <w:tc>
          <w:tcPr>
            <w:tcW w:w="4247" w:type="dxa"/>
            <w:gridSpan w:val="6"/>
            <w:tcBorders>
              <w:top w:val="single" w:color="auto" w:sz="4" w:space="0"/>
              <w:left w:val="nil"/>
              <w:bottom w:val="single" w:color="auto" w:sz="4" w:space="0"/>
              <w:right w:val="single" w:color="auto" w:sz="4" w:space="0"/>
            </w:tcBorders>
            <w:shd w:val="clear" w:color="auto" w:fill="auto"/>
          </w:tcPr>
          <w:p>
            <w:pPr>
              <w:jc w:val="center"/>
              <w:rPr>
                <w:rFonts w:hint="default" w:cs="宋体"/>
                <w:sz w:val="18"/>
                <w:szCs w:val="18"/>
              </w:rPr>
            </w:pPr>
            <w:r>
              <w:rPr>
                <w:rFonts w:cs="宋体"/>
                <w:b/>
                <w:bCs/>
                <w:color w:val="000000"/>
                <w:sz w:val="18"/>
                <w:szCs w:val="18"/>
              </w:rPr>
              <w:t>当年纳入监督检查指导的交通建设工程项目，质量合格率达98%以上</w:t>
            </w:r>
          </w:p>
        </w:tc>
      </w:tr>
      <w:tr>
        <w:tblPrEx>
          <w:tblCellMar>
            <w:top w:w="0" w:type="dxa"/>
            <w:left w:w="108" w:type="dxa"/>
            <w:bottom w:w="0" w:type="dxa"/>
            <w:right w:w="108" w:type="dxa"/>
          </w:tblCellMar>
        </w:tblPrEx>
        <w:trPr>
          <w:trHeight w:val="521" w:hRule="atLeast"/>
        </w:trPr>
        <w:tc>
          <w:tcPr>
            <w:tcW w:w="962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trHeight w:val="1006" w:hRule="atLeast"/>
        </w:trPr>
        <w:tc>
          <w:tcPr>
            <w:tcW w:w="855"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指标名称</w:t>
            </w:r>
          </w:p>
        </w:tc>
        <w:tc>
          <w:tcPr>
            <w:tcW w:w="671" w:type="dxa"/>
            <w:gridSpan w:val="2"/>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计量单位</w:t>
            </w:r>
          </w:p>
        </w:tc>
        <w:tc>
          <w:tcPr>
            <w:tcW w:w="893"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指标性质</w:t>
            </w:r>
          </w:p>
        </w:tc>
        <w:tc>
          <w:tcPr>
            <w:tcW w:w="712" w:type="dxa"/>
            <w:gridSpan w:val="2"/>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指标值</w:t>
            </w:r>
          </w:p>
        </w:tc>
        <w:tc>
          <w:tcPr>
            <w:tcW w:w="830"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全年完成值</w:t>
            </w:r>
          </w:p>
        </w:tc>
        <w:tc>
          <w:tcPr>
            <w:tcW w:w="1028" w:type="dxa"/>
            <w:gridSpan w:val="2"/>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偏离度（%）</w:t>
            </w:r>
          </w:p>
        </w:tc>
        <w:tc>
          <w:tcPr>
            <w:tcW w:w="1063" w:type="dxa"/>
            <w:gridSpan w:val="2"/>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得分系数（%）</w:t>
            </w:r>
          </w:p>
        </w:tc>
        <w:tc>
          <w:tcPr>
            <w:tcW w:w="994" w:type="dxa"/>
            <w:gridSpan w:val="2"/>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指标权重</w:t>
            </w:r>
          </w:p>
        </w:tc>
        <w:tc>
          <w:tcPr>
            <w:tcW w:w="739"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指标得分</w:t>
            </w:r>
          </w:p>
        </w:tc>
        <w:tc>
          <w:tcPr>
            <w:tcW w:w="975"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是否核心指标</w:t>
            </w:r>
          </w:p>
        </w:tc>
        <w:tc>
          <w:tcPr>
            <w:tcW w:w="862" w:type="dxa"/>
            <w:tcBorders>
              <w:top w:val="nil"/>
              <w:left w:val="nil"/>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1279"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检查项目次数</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次</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75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99</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32</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否</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本年新增交通项目，检查项目次数增多且针对已发生安全事故的项目加大检测频率</w:t>
            </w:r>
          </w:p>
        </w:tc>
      </w:tr>
      <w:tr>
        <w:tblPrEx>
          <w:tblCellMar>
            <w:top w:w="0" w:type="dxa"/>
            <w:left w:w="108" w:type="dxa"/>
            <w:bottom w:w="0" w:type="dxa"/>
            <w:right w:w="108" w:type="dxa"/>
          </w:tblCellMar>
        </w:tblPrEx>
        <w:trPr>
          <w:trHeight w:val="1923"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排查消除交通建设项目安全隐患</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个</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140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313</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123.57</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是</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随项目数量增加，检查次数变多，隐患排查增加</w:t>
            </w:r>
          </w:p>
        </w:tc>
      </w:tr>
      <w:tr>
        <w:tblPrEx>
          <w:tblCellMar>
            <w:top w:w="0" w:type="dxa"/>
            <w:left w:w="108" w:type="dxa"/>
            <w:bottom w:w="0" w:type="dxa"/>
            <w:right w:w="108" w:type="dxa"/>
          </w:tblCellMar>
        </w:tblPrEx>
        <w:trPr>
          <w:trHeight w:val="972"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受监项目数</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个</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53</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6</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否</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随项目数量增加，检测次数增加</w:t>
            </w:r>
          </w:p>
        </w:tc>
      </w:tr>
      <w:tr>
        <w:tblPrEx>
          <w:tblCellMar>
            <w:top w:w="0" w:type="dxa"/>
            <w:left w:w="108" w:type="dxa"/>
            <w:bottom w:w="0" w:type="dxa"/>
            <w:right w:w="108" w:type="dxa"/>
          </w:tblCellMar>
        </w:tblPrEx>
        <w:trPr>
          <w:trHeight w:val="862"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完工工程项目合格率</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98</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2.04</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是</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p>
        </w:tc>
      </w:tr>
      <w:tr>
        <w:tblPrEx>
          <w:tblCellMar>
            <w:top w:w="0" w:type="dxa"/>
            <w:left w:w="108" w:type="dxa"/>
            <w:bottom w:w="0" w:type="dxa"/>
            <w:right w:w="108" w:type="dxa"/>
          </w:tblCellMar>
        </w:tblPrEx>
        <w:trPr>
          <w:trHeight w:val="521"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交通建设项目检测率</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90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100</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11.1</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20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否</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p>
        </w:tc>
      </w:tr>
      <w:tr>
        <w:tblPrEx>
          <w:tblCellMar>
            <w:top w:w="0" w:type="dxa"/>
            <w:left w:w="108" w:type="dxa"/>
            <w:bottom w:w="0" w:type="dxa"/>
            <w:right w:w="108" w:type="dxa"/>
          </w:tblCellMar>
        </w:tblPrEx>
        <w:trPr>
          <w:trHeight w:val="706" w:hRule="atLeast"/>
        </w:trPr>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受益群众满意度</w:t>
            </w:r>
          </w:p>
        </w:tc>
        <w:tc>
          <w:tcPr>
            <w:tcW w:w="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8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95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9</w:t>
            </w:r>
            <w:r>
              <w:rPr>
                <w:rFonts w:hint="default" w:cs="宋体"/>
                <w:b/>
                <w:bCs/>
                <w:color w:val="000000"/>
                <w:sz w:val="18"/>
                <w:szCs w:val="18"/>
              </w:rPr>
              <w:t>5</w:t>
            </w:r>
          </w:p>
        </w:tc>
        <w:tc>
          <w:tcPr>
            <w:tcW w:w="10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hint="default" w:cs="宋体"/>
                <w:b/>
                <w:bCs/>
                <w:color w:val="000000"/>
                <w:sz w:val="18"/>
                <w:szCs w:val="18"/>
              </w:rPr>
              <w:t>0</w:t>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100</w:t>
            </w:r>
          </w:p>
        </w:tc>
        <w:tc>
          <w:tcPr>
            <w:tcW w:w="9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10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r>
              <w:rPr>
                <w:rFonts w:cs="宋体"/>
                <w:b/>
                <w:bCs/>
                <w:color w:val="000000"/>
                <w:sz w:val="18"/>
                <w:szCs w:val="18"/>
              </w:rPr>
              <w:t>否</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cs="宋体"/>
                <w:b/>
                <w:bCs/>
                <w:color w:val="000000"/>
                <w:sz w:val="18"/>
                <w:szCs w:val="18"/>
              </w:rPr>
            </w:pPr>
          </w:p>
        </w:tc>
      </w:tr>
    </w:tbl>
    <w:p>
      <w:pPr>
        <w:pStyle w:val="11"/>
        <w:autoSpaceDE w:val="0"/>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tabs>
          <w:tab w:val="center" w:pos="4153"/>
          <w:tab w:val="left" w:pos="7275"/>
        </w:tabs>
        <w:spacing w:line="600" w:lineRule="exact"/>
        <w:ind w:firstLine="419" w:firstLineChars="131"/>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本单位没有委托第三方开展绩效评价。</w:t>
      </w:r>
    </w:p>
    <w:p>
      <w:pPr>
        <w:pStyle w:val="11"/>
        <w:keepNext w:val="0"/>
        <w:keepLines w:val="0"/>
        <w:pageBreakBefore w:val="0"/>
        <w:widowControl/>
        <w:kinsoku/>
        <w:wordWrap/>
        <w:overflowPunct/>
        <w:topLinePunct w:val="0"/>
        <w:autoSpaceDE w:val="0"/>
        <w:autoSpaceDN/>
        <w:bidi w:val="0"/>
        <w:adjustRightInd/>
        <w:snapToGrid/>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区财政局未委托第三方对我单位开展绩效评价。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杨笛</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0</w:t>
      </w:r>
      <w:r>
        <w:rPr>
          <w:rFonts w:hint="default" w:ascii="方正仿宋_GBK" w:hAnsi="方正仿宋_GBK" w:eastAsia="方正仿宋_GBK" w:cs="方正仿宋_GBK"/>
          <w:sz w:val="32"/>
          <w:szCs w:val="32"/>
          <w:shd w:val="clear" w:color="auto" w:fill="FFFFFF"/>
        </w:rPr>
        <w:t>23-72807781</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4795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7.05pt;mso-position-horizontal:center;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26lT0gAAAAMBAAAPAAAAAAAAAAEAIAAAACIAAABkcnMvZG93bnJldi54bWxQ&#10;SwECFAAUAAAACACHTuJAhNS54P0BAAAEBAAADgAAAAAAAAABACAAAAAhAQAAZHJzL2Uyb0RvYy54&#10;bWxQSwUGAAAAAAYABgBZAQAAkAU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lDqPLRAAAAAwEAAA8AAAAAAAAAAQAgAAAAIgAAAGRycy9kb3ducmV2LnhtbFBL&#10;AQIUABQAAAAIAIdO4kDl+7e2/QEAAAQEAAAOAAAAAAAAAAEAIAAAACABAABkcnMvZTJvRG9jLnht&#10;bFBLBQYAAAAABgAGAFkBAACPBQ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102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JfoUNYAAAAJAQAADwAAAAAAAAABACAAAAAiAAAAZHJzL2Rvd25yZXYu&#10;eG1sUEsBAhQAFAAAAAgAh07iQC/Sa0T9AQAABAQAAA4AAAAAAAAAAQAgAAAAJQEAAGRycy9lMm9E&#10;b2MueG1sUEsFBgAAAAAGAAYAWQEAAJQFA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22665EE6"/>
    <w:multiLevelType w:val="multilevel"/>
    <w:tmpl w:val="22665EE6"/>
    <w:lvl w:ilvl="0" w:tentative="0">
      <w:start w:val="1"/>
      <w:numFmt w:val="decimal"/>
      <w:lvlText w:val="%1."/>
      <w:lvlJc w:val="left"/>
      <w:pPr>
        <w:ind w:left="870" w:hanging="36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12B8A"/>
    <w:rsid w:val="001E048B"/>
    <w:rsid w:val="001E66E7"/>
    <w:rsid w:val="00270E53"/>
    <w:rsid w:val="002B254B"/>
    <w:rsid w:val="004A597F"/>
    <w:rsid w:val="00550ABE"/>
    <w:rsid w:val="006E1C3E"/>
    <w:rsid w:val="0072757B"/>
    <w:rsid w:val="00770383"/>
    <w:rsid w:val="00776039"/>
    <w:rsid w:val="007819D4"/>
    <w:rsid w:val="007B419D"/>
    <w:rsid w:val="007E69AA"/>
    <w:rsid w:val="00853209"/>
    <w:rsid w:val="009B67B8"/>
    <w:rsid w:val="009D2B67"/>
    <w:rsid w:val="009D314B"/>
    <w:rsid w:val="00A7714A"/>
    <w:rsid w:val="00AA32AF"/>
    <w:rsid w:val="00B03CCD"/>
    <w:rsid w:val="00B05EC2"/>
    <w:rsid w:val="00BF694A"/>
    <w:rsid w:val="00C20C3E"/>
    <w:rsid w:val="00C951B7"/>
    <w:rsid w:val="00D067F8"/>
    <w:rsid w:val="00D53FB4"/>
    <w:rsid w:val="00F6560B"/>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57C14"/>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73665"/>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9E334F6"/>
    <w:rsid w:val="4A263DF2"/>
    <w:rsid w:val="4A6F6675"/>
    <w:rsid w:val="4B135857"/>
    <w:rsid w:val="4B7951CB"/>
    <w:rsid w:val="4B7C315C"/>
    <w:rsid w:val="4DAC4ACA"/>
    <w:rsid w:val="4DBE01D2"/>
    <w:rsid w:val="4F0C6BA3"/>
    <w:rsid w:val="4F186D58"/>
    <w:rsid w:val="50F06B6E"/>
    <w:rsid w:val="51D21804"/>
    <w:rsid w:val="52234D33"/>
    <w:rsid w:val="522F6E0C"/>
    <w:rsid w:val="52463BA1"/>
    <w:rsid w:val="52476C1B"/>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438A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4845</Words>
  <Characters>5423</Characters>
  <Lines>39</Lines>
  <Paragraphs>27</Paragraphs>
  <TotalTime>78</TotalTime>
  <ScaleCrop>false</ScaleCrop>
  <LinksUpToDate>false</LinksUpToDate>
  <CharactersWithSpaces>5457</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2025-10-11T08:12:00Z</dcterms:created>
  <dc:creator>Administrator</dc:creator>
  <cp:lastModifiedBy>Administrator</cp:lastModifiedBy>
  <dcterms:modified xsi:type="dcterms:W3CDTF">2025-11-10T07:44:32Z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BB46EABDBB2749749395447164B066B3_12</vt:lpwstr>
  </property>
  <property fmtid="{D5CDD505-2E9C-101B-9397-08002B2CF9AE}" pid="4" name="KSOTemplateDocerSaveRecord">
    <vt:lpwstr>eyJoZGlkIjoiMWJjZmNlZWJjN2M3NThlZTk0YjZlMjVmYmVmNTU1ZjkiLCJ1c2VySWQiOiIyNzM5NjM1NjQifQ==</vt:lpwstr>
  </property>
</Properties>
</file>