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重庆市涪陵区交通运输综合行政执法支队2024年度决算公开说明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sz w:val="44"/>
          <w:szCs w:val="44"/>
        </w:rPr>
      </w:pPr>
    </w:p>
    <w:p>
      <w:pPr>
        <w:pStyle w:val="6"/>
        <w:shd w:val="clear" w:color="auto" w:fill="FFFFFF"/>
        <w:spacing w:before="0" w:beforeAutospacing="0" w:after="0" w:afterAutospacing="0" w:line="560" w:lineRule="exact"/>
        <w:jc w:val="both"/>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pPr>
        <w:pStyle w:val="6"/>
        <w:shd w:val="clear" w:color="auto" w:fill="FFFFFF"/>
        <w:spacing w:before="0" w:beforeAutospacing="0" w:after="0" w:afterAutospacing="0" w:line="560" w:lineRule="exact"/>
        <w:ind w:firstLine="643" w:firstLineChars="200"/>
        <w:jc w:val="both"/>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（一）职能职责</w:t>
      </w:r>
    </w:p>
    <w:p>
      <w:pPr>
        <w:pStyle w:val="6"/>
        <w:shd w:val="clear" w:color="auto" w:fill="FFFFFF"/>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1.协调并组织开展全区交通运输领域综合行政执法工作。</w:t>
      </w:r>
    </w:p>
    <w:p>
      <w:pPr>
        <w:pStyle w:val="6"/>
        <w:shd w:val="clear" w:color="auto" w:fill="FFFFFF"/>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2.承担公路路政、道路运政、水路运政、地方航道行政、港口行政、地方海事行政的职能。组织、协调公路超限运输治理的执法工作。</w:t>
      </w:r>
    </w:p>
    <w:p>
      <w:pPr>
        <w:pStyle w:val="6"/>
        <w:shd w:val="clear" w:color="auto" w:fill="FFFFFF"/>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3.承担公路、水运等交通建设工程质量和安全生产监督管理的执法职能。</w:t>
      </w:r>
    </w:p>
    <w:p>
      <w:pPr>
        <w:pStyle w:val="6"/>
        <w:shd w:val="clear" w:color="auto" w:fill="FFFFFF"/>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4.依法承担交通运输领域的其他行政执法工作。</w:t>
      </w:r>
    </w:p>
    <w:p>
      <w:pPr>
        <w:pStyle w:val="6"/>
        <w:shd w:val="clear" w:color="auto" w:fill="FFFFFF"/>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5.承担交通运输综合行政执法信息化建设工作。</w:t>
      </w:r>
    </w:p>
    <w:p>
      <w:pPr>
        <w:pStyle w:val="6"/>
        <w:shd w:val="clear" w:color="auto" w:fill="FFFFFF"/>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6.完成区委、区政府和区交通局交办的其他任务。</w:t>
      </w:r>
    </w:p>
    <w:p>
      <w:pPr>
        <w:pStyle w:val="6"/>
        <w:shd w:val="clear" w:color="auto" w:fill="FFFFFF"/>
        <w:spacing w:before="0" w:beforeAutospacing="0" w:after="0" w:afterAutospacing="0" w:line="560" w:lineRule="exact"/>
        <w:ind w:firstLine="643" w:firstLineChars="200"/>
        <w:jc w:val="both"/>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涪委编委〔2019〕378号文件改革方案，2020年10月重庆市涪陵区交通运输综合行政执法支队整合设立，隶属重庆市涪陵区交通局管理的副处级全额拨款事业单位，无下属单位。内设办公室、组织人事教育科、法规科、科技信息中心、财务科、纪检科、安全科、交通执法一大队、交通执法二大队、交通执法三大队、交通执法四大队、港航海事执法一大队、港航海事执法二大队、工程质量监督大队。</w:t>
      </w:r>
    </w:p>
    <w:p>
      <w:pPr>
        <w:pStyle w:val="6"/>
        <w:shd w:val="clear" w:color="auto" w:fill="FFFFFF"/>
        <w:spacing w:before="0" w:beforeAutospacing="0" w:after="0" w:afterAutospacing="0" w:line="560" w:lineRule="exact"/>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2024年度收入总计3654.00万元，支出总计</w:t>
      </w:r>
      <w:r>
        <w:rPr>
          <w:rFonts w:ascii="方正仿宋_GBK" w:hAnsi="方正仿宋_GBK" w:eastAsia="方正仿宋_GBK" w:cs="方正仿宋_GBK"/>
          <w:sz w:val="32"/>
          <w:szCs w:val="32"/>
        </w:rPr>
        <w:t>3654.00</w:t>
      </w:r>
      <w:r>
        <w:rPr>
          <w:rFonts w:ascii="方正仿宋_GBK" w:hAnsi="方正仿宋_GBK" w:eastAsia="方正仿宋_GBK" w:cs="方正仿宋_GBK"/>
          <w:sz w:val="32"/>
          <w:szCs w:val="32"/>
          <w:shd w:val="clear" w:color="auto" w:fill="FFFFFF"/>
        </w:rPr>
        <w:t>万元。收支较上年决算数增加21.36万元，增长0.6%，主要原因是社会保险系数上调，追加相应部分；新增普通公路非现场治超点建设项目、交通综合执法质量提升专项两个专项项目；追加交通工作运行经费缺口；退休职工6人、新进人员4人等，导致预算收支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3654.00万元，较上年决算数增加21.36万元，增长0.6%，主要原因是社会保险系数上调，追加相应部分；新增普通公路非现场治超点建设项目、交通综合执法质量提升专项两个专项项目；追加交通工作运行经费缺口。其中：财政拨款收入</w:t>
      </w:r>
      <w:r>
        <w:rPr>
          <w:rFonts w:ascii="方正仿宋_GBK" w:hAnsi="方正仿宋_GBK" w:eastAsia="方正仿宋_GBK" w:cs="方正仿宋_GBK"/>
          <w:sz w:val="32"/>
          <w:szCs w:val="32"/>
        </w:rPr>
        <w:t>3654.00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2024年度支出合计3654.00万元，较上年决算数增加25.74万元，增长0.7%，主要原因是社会保险系数上调，退休职工6人、新进人员</w:t>
      </w:r>
      <w:r>
        <w:rPr>
          <w:rFonts w:hint="default" w:ascii="方正仿宋_GBK" w:hAnsi="方正仿宋_GBK" w:eastAsia="方正仿宋_GBK" w:cs="方正仿宋_GBK"/>
          <w:sz w:val="32"/>
          <w:szCs w:val="32"/>
          <w:shd w:val="clear" w:color="auto" w:fill="FFFFFF"/>
        </w:rPr>
        <w:t>4人，经费支出增加</w:t>
      </w:r>
      <w:r>
        <w:rPr>
          <w:rFonts w:ascii="方正仿宋_GBK" w:hAnsi="方正仿宋_GBK" w:eastAsia="方正仿宋_GBK" w:cs="方正仿宋_GBK"/>
          <w:sz w:val="32"/>
          <w:szCs w:val="32"/>
          <w:shd w:val="clear" w:color="auto" w:fill="FFFFFF"/>
        </w:rPr>
        <w:t>。其中：基本支出2549.08万元，占69.76%；项目支出1104.92万元，占30.24%；经营支出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万元，较上年决算数减少4.38万元，下降100.00%，主要原因是已将上年末结转和结余资金在本年度据实列支，且本年无新增结转结余。</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3654.00万元。与2023年相比，财政拨款收、支总计各增加21.36万元，增长0.6%。主要原因是社会保险系数上调，追加相应部分；新增普通公路非现场治超点建设项目、交通综合执法质量提升专项两个专项项目；追加交通工作运行经费缺口；退休职工6人、新进人员4人等。</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3654.00</w:t>
      </w:r>
      <w:r>
        <w:rPr>
          <w:rFonts w:ascii="方正仿宋_GBK" w:hAnsi="方正仿宋_GBK" w:eastAsia="方正仿宋_GBK" w:cs="方正仿宋_GBK"/>
          <w:sz w:val="32"/>
          <w:szCs w:val="32"/>
          <w:shd w:val="clear" w:color="auto" w:fill="FFFFFF"/>
        </w:rPr>
        <w:t>万元，较上年决算数增加21.36万元，增长0.6%，主要原因是社会保险系数上调，追加相应部分；新增普通公路非现场治超点建设项目、交通综合执法质量提升专项两个专项项目；追加交通工作运行经费缺口。较年初预算数减少111.50万元，下降3.0%，主要原因是厉行节约，严格控制经费开支。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3654.00</w:t>
      </w:r>
      <w:r>
        <w:rPr>
          <w:rFonts w:ascii="方正仿宋_GBK" w:hAnsi="方正仿宋_GBK" w:eastAsia="方正仿宋_GBK" w:cs="方正仿宋_GBK"/>
          <w:sz w:val="32"/>
          <w:szCs w:val="32"/>
          <w:shd w:val="clear" w:color="auto" w:fill="FFFFFF"/>
        </w:rPr>
        <w:t>万元，较上年决算数增加25.74万元，增长0.7%，主要原因是社会保险系数上调，退休职工6人、新进人员</w:t>
      </w:r>
      <w:r>
        <w:rPr>
          <w:rFonts w:hint="default" w:ascii="方正仿宋_GBK" w:hAnsi="方正仿宋_GBK" w:eastAsia="方正仿宋_GBK" w:cs="方正仿宋_GBK"/>
          <w:sz w:val="32"/>
          <w:szCs w:val="32"/>
          <w:shd w:val="clear" w:color="auto" w:fill="FFFFFF"/>
        </w:rPr>
        <w:t>4人，经费支出增加</w:t>
      </w:r>
      <w:r>
        <w:rPr>
          <w:rFonts w:ascii="方正仿宋_GBK" w:hAnsi="方正仿宋_GBK" w:eastAsia="方正仿宋_GBK" w:cs="方正仿宋_GBK"/>
          <w:sz w:val="32"/>
          <w:szCs w:val="32"/>
          <w:shd w:val="clear" w:color="auto" w:fill="FFFFFF"/>
        </w:rPr>
        <w:t>。较年初预算数少111.50万元，下降3.0%，主要原因是厉行节约，严格控制经费开支。</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万元，较上年决算数减少4.38万元，下降100.0%，主要原因是已将上年末结转和结余资金在本年度据实列支，且本年无新增结转结余。</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highlight w:val="yellow"/>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428.7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11.73%</w:t>
      </w:r>
      <w:r>
        <w:rPr>
          <w:rFonts w:ascii="方正仿宋_GBK" w:hAnsi="方正仿宋_GBK" w:eastAsia="方正仿宋_GBK" w:cs="方正仿宋_GBK"/>
          <w:sz w:val="32"/>
          <w:szCs w:val="32"/>
          <w:shd w:val="clear" w:color="auto" w:fill="FFFFFF"/>
        </w:rPr>
        <w:t>，较年初预算数增加206.74万元，增长93.1%，主要原因是</w:t>
      </w:r>
      <w:r>
        <w:rPr>
          <w:rFonts w:ascii="方正仿宋_GBK" w:hAnsi="方正仿宋_GBK" w:eastAsia="方正仿宋_GBK" w:cs="方正仿宋_GBK"/>
          <w:sz w:val="32"/>
          <w:szCs w:val="32"/>
        </w:rPr>
        <w:t>区财政追加保险基数调整部分、退休职工一次性补贴及新进人员增员增资，相应支出增加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114.68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3.14%</w:t>
      </w:r>
      <w:r>
        <w:rPr>
          <w:rFonts w:ascii="方正仿宋_GBK" w:hAnsi="方正仿宋_GBK" w:eastAsia="方正仿宋_GBK" w:cs="方正仿宋_GBK"/>
          <w:sz w:val="32"/>
          <w:szCs w:val="32"/>
          <w:shd w:val="clear" w:color="auto" w:fill="FFFFFF"/>
        </w:rPr>
        <w:t>，较年初预算数减少3.38万元，下降2.9%，主要原因是本年度退休人员6人导致减资。</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（3）交通运输支出</w:t>
      </w:r>
      <w:r>
        <w:rPr>
          <w:rFonts w:ascii="方正仿宋_GBK" w:hAnsi="方正仿宋_GBK" w:eastAsia="方正仿宋_GBK" w:cs="方正仿宋_GBK"/>
          <w:sz w:val="32"/>
          <w:szCs w:val="32"/>
        </w:rPr>
        <w:t>3003.58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82.20%</w:t>
      </w:r>
      <w:r>
        <w:rPr>
          <w:rFonts w:ascii="方正仿宋_GBK" w:hAnsi="方正仿宋_GBK" w:eastAsia="方正仿宋_GBK" w:cs="方正仿宋_GBK"/>
          <w:sz w:val="32"/>
          <w:szCs w:val="32"/>
          <w:shd w:val="clear" w:color="auto" w:fill="FFFFFF"/>
        </w:rPr>
        <w:t>，较年初预算数减少310.92万元，下降9.4%，主要原因是本单位厉行节俭，严格管控支出。</w:t>
      </w:r>
    </w:p>
    <w:p>
      <w:pPr>
        <w:spacing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住房保障支出107.04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2.93%</w:t>
      </w:r>
      <w:r>
        <w:rPr>
          <w:rFonts w:ascii="方正仿宋_GBK" w:hAnsi="方正仿宋_GBK" w:eastAsia="方正仿宋_GBK" w:cs="方正仿宋_GBK"/>
          <w:sz w:val="32"/>
          <w:szCs w:val="32"/>
          <w:shd w:val="clear" w:color="auto" w:fill="FFFFFF"/>
        </w:rPr>
        <w:t>，较年初预算数减少3.94万元，下降3.6%，主要原因是本年度退休人员6人导致减资。</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2549.08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2289.56</w:t>
      </w:r>
      <w:r>
        <w:rPr>
          <w:rFonts w:ascii="方正仿宋_GBK" w:hAnsi="方正仿宋_GBK" w:eastAsia="方正仿宋_GBK" w:cs="方正仿宋_GBK"/>
          <w:sz w:val="32"/>
          <w:szCs w:val="32"/>
          <w:shd w:val="clear" w:color="auto" w:fill="FFFFFF"/>
        </w:rPr>
        <w:t>万元，较上年决算数增加77.82万元，增长3.5%，主要原因</w:t>
      </w:r>
      <w:r>
        <w:rPr>
          <w:rFonts w:ascii="方正仿宋_GBK" w:hAnsi="方正仿宋_GBK" w:eastAsia="方正仿宋_GBK" w:cs="方正仿宋_GBK"/>
          <w:sz w:val="32"/>
          <w:szCs w:val="32"/>
        </w:rPr>
        <w:t>是社会保险系数上调，</w:t>
      </w:r>
      <w:r>
        <w:rPr>
          <w:rFonts w:ascii="方正仿宋_GBK" w:hAnsi="方正仿宋_GBK" w:eastAsia="方正仿宋_GBK" w:cs="方正仿宋_GBK"/>
          <w:sz w:val="32"/>
          <w:szCs w:val="32"/>
          <w:shd w:val="clear" w:color="auto" w:fill="FFFFFF"/>
        </w:rPr>
        <w:t>退休职工6人、</w:t>
      </w:r>
      <w:r>
        <w:rPr>
          <w:rFonts w:ascii="方正仿宋_GBK" w:hAnsi="方正仿宋_GBK" w:eastAsia="方正仿宋_GBK" w:cs="方正仿宋_GBK"/>
          <w:sz w:val="32"/>
          <w:szCs w:val="32"/>
        </w:rPr>
        <w:t>新进人员4人，增加人员经费支出。人</w:t>
      </w:r>
      <w:r>
        <w:rPr>
          <w:rFonts w:ascii="方正仿宋_GBK" w:hAnsi="方正仿宋_GBK" w:eastAsia="方正仿宋_GBK" w:cs="方正仿宋_GBK"/>
          <w:sz w:val="32"/>
          <w:szCs w:val="32"/>
          <w:shd w:val="clear" w:color="auto" w:fill="FFFFFF"/>
        </w:rPr>
        <w:t>员经费用途主要包括基本工资、津贴补贴、绩效工资、社会保障缴费、住房公积金、伤残抚恤金等。公用经费</w:t>
      </w:r>
      <w:r>
        <w:rPr>
          <w:rFonts w:ascii="方正仿宋_GBK" w:hAnsi="方正仿宋_GBK" w:eastAsia="方正仿宋_GBK" w:cs="方正仿宋_GBK"/>
          <w:sz w:val="32"/>
          <w:szCs w:val="32"/>
        </w:rPr>
        <w:t>259.52</w:t>
      </w:r>
      <w:r>
        <w:rPr>
          <w:rFonts w:ascii="方正仿宋_GBK" w:hAnsi="方正仿宋_GBK" w:eastAsia="方正仿宋_GBK" w:cs="方正仿宋_GBK"/>
          <w:sz w:val="32"/>
          <w:szCs w:val="32"/>
          <w:shd w:val="clear" w:color="auto" w:fill="FFFFFF"/>
        </w:rPr>
        <w:t>万元，较上年决算数减少7.17万元，下降2.7%，主要原因是厉行节俭，严格管控支出。公用经费用途主要包括公费、水费、电费、邮电费、物业管理费、差旅费、公务接待费、培训费、工会经费、福利费、劳务费、其他交通费用、其他商品和服务支出等。</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本单位2024年度无政府性基金预算财政拨款收支。</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b/>
          <w:sz w:val="32"/>
          <w:szCs w:val="32"/>
        </w:rPr>
      </w:pPr>
      <w:r>
        <w:rPr>
          <w:rFonts w:ascii="方正仿宋_GBK" w:hAnsi="方正仿宋_GBK" w:eastAsia="方正仿宋_GBK" w:cs="方正仿宋_GBK"/>
          <w:sz w:val="32"/>
          <w:szCs w:val="32"/>
          <w:shd w:val="clear" w:color="auto" w:fill="FFFFFF"/>
        </w:rPr>
        <w:t>本单位2024年度无国有资本经营预算财政</w:t>
      </w:r>
      <w:r>
        <w:rPr>
          <w:rFonts w:hint="eastAsia" w:ascii="方正仿宋_GBK" w:hAnsi="方正仿宋_GBK" w:eastAsia="方正仿宋_GBK" w:cs="方正仿宋_GBK"/>
          <w:sz w:val="32"/>
          <w:szCs w:val="32"/>
          <w:shd w:val="clear" w:color="auto" w:fill="FFFFFF"/>
          <w:lang w:val="en-US" w:eastAsia="zh-CN"/>
        </w:rPr>
        <w:t>拨款</w:t>
      </w:r>
      <w:bookmarkStart w:id="0" w:name="_GoBack"/>
      <w:bookmarkEnd w:id="0"/>
      <w:r>
        <w:rPr>
          <w:rFonts w:ascii="方正仿宋_GBK" w:hAnsi="方正仿宋_GBK" w:eastAsia="方正仿宋_GBK" w:cs="方正仿宋_GBK"/>
          <w:sz w:val="32"/>
          <w:szCs w:val="32"/>
          <w:shd w:val="clear" w:color="auto" w:fill="FFFFFF"/>
        </w:rPr>
        <w:t>支出。</w:t>
      </w:r>
    </w:p>
    <w:p>
      <w:pPr>
        <w:pStyle w:val="6"/>
        <w:shd w:val="clear" w:color="auto" w:fill="FFFFFF"/>
        <w:spacing w:before="0" w:beforeAutospacing="0" w:after="0" w:afterAutospacing="0" w:line="560" w:lineRule="exact"/>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（一）“三公”经费支出总体情况说明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51.76</w:t>
      </w:r>
      <w:r>
        <w:rPr>
          <w:rFonts w:ascii="方正仿宋_GBK" w:hAnsi="方正仿宋_GBK" w:eastAsia="方正仿宋_GBK" w:cs="方正仿宋_GBK"/>
          <w:sz w:val="32"/>
          <w:szCs w:val="32"/>
          <w:shd w:val="clear" w:color="auto" w:fill="FFFFFF"/>
        </w:rPr>
        <w:t>万元，较年初预算数减少64.24万元，下降55.4%，主要原因是认真贯彻落实中央八项规定精神，按照只减不增的要求从严控制“三公”经费。较上年支出数减少75.14万元，下降59.2%，主要原因是认真贯彻落实中央八项规定精神，按照只减不增的要求从严控制“三公”经费。</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（二）“三公”经费分项支出情况</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根据工作需要安排的出国（境）业务交流、考察培训等。较年初预算数增加0.00万元，主要原因是本单位2024年度未发生因公出国（境）费用。较上年支出数增加0.00万元，主要原因是本单位2024年度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专项业务检查等工作所需车辆。较年初预算数增加0.00万元，主要原因是本单位2024年度未发生公务车购置费。较上年支出数减少35.96万元，下降100.0%，主要原因是本单位2024年度未发生公务车购置费。</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49.76</w:t>
      </w:r>
      <w:r>
        <w:rPr>
          <w:rFonts w:ascii="方正仿宋_GBK" w:hAnsi="方正仿宋_GBK" w:eastAsia="方正仿宋_GBK" w:cs="方正仿宋_GBK"/>
          <w:sz w:val="32"/>
          <w:szCs w:val="32"/>
          <w:shd w:val="clear" w:color="auto" w:fill="FFFFFF"/>
        </w:rPr>
        <w:t>万元，主要用于机要文件交换、市内因公出行、专项业务检查等工作所需车辆的燃料费、维修费、通行费、保险费等。较年初预算数减少64.24万元，下降56.4%，主要原因是厉行节约，严格控制公务用车使用。较上年支出数减少40.89万元，下降45.1%，主要原因是厉行节约，严格控制公务用车使用。</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主要用于接待其他区县相关单位到我单位学习调研交通工作、接受相关部门检查指导工作发生的接待支出。较年初预算数无增减，主要原因按照预算数严格控制公务接待费用。较上年支出数增加1.70万元，增长566.7%，主要原因是接受相关部门检查指导工作及其他单位学习等次数增多。</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（三）“三公”经费实物量情况</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286</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20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286</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69.93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1.66</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60" w:lineRule="exact"/>
        <w:jc w:val="both"/>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（一）财政拨款会议费和培训费情况说明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万元，较上年决算数增加7.00万元，增长100.0%，主要原因是召开法规政策的贯彻宣传、专项治理行动、信息化平台的建设和培训等相关会议。本年度培训费支出</w:t>
      </w:r>
      <w:r>
        <w:rPr>
          <w:rFonts w:ascii="方正仿宋_GBK" w:hAnsi="方正仿宋_GBK" w:eastAsia="方正仿宋_GBK" w:cs="方正仿宋_GBK"/>
          <w:sz w:val="32"/>
          <w:szCs w:val="32"/>
        </w:rPr>
        <w:t>15.38</w:t>
      </w:r>
      <w:r>
        <w:rPr>
          <w:rFonts w:ascii="方正仿宋_GBK" w:hAnsi="方正仿宋_GBK" w:eastAsia="方正仿宋_GBK" w:cs="方正仿宋_GBK"/>
          <w:sz w:val="32"/>
          <w:szCs w:val="32"/>
          <w:shd w:val="clear" w:color="auto" w:fill="FFFFFF"/>
        </w:rPr>
        <w:t>万元，较上年决算数减少9.91万元，下降39.2%，主要原因是本年度按照工作计划正常开展相关培训，上年存在支付往年培训款项的情况。</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（二）机关运行经费情况说明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0.00万元，机关运行经费主要用于开支办公费。机关运行经费较上年决算数增加0万元，增长0.00%，比年初预算数增加0万元，增长0.00%，与上年决算数和年初预算数持平。按照部门决算列报口径，我单位不在机关运行经费统计范围之内。</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（三）国有资产占用情况说明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30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17</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1.76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1.76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1.76万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1.76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。主要用于采购办公用</w:t>
      </w:r>
      <w:r>
        <w:rPr>
          <w:rFonts w:ascii="方正仿宋_GBK" w:hAnsi="方正仿宋_GBK" w:eastAsia="方正仿宋_GBK" w:cs="方正仿宋_GBK"/>
          <w:sz w:val="32"/>
          <w:szCs w:val="32"/>
        </w:rPr>
        <w:t>复印纸和电脑。</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五、预算绩效管理情况说明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（一）部门自评情况</w:t>
      </w:r>
    </w:p>
    <w:p>
      <w:pPr>
        <w:pStyle w:val="13"/>
        <w:autoSpaceDE w:val="0"/>
        <w:spacing w:before="0" w:beforeAutospacing="0" w:after="0" w:afterAutospacing="0" w:line="560" w:lineRule="exact"/>
        <w:ind w:firstLine="640"/>
        <w:rPr>
          <w:rFonts w:ascii="方正仿宋_GBK" w:eastAsia="方正仿宋_GBK" w:cs="宋体"/>
          <w:sz w:val="32"/>
          <w:szCs w:val="32"/>
          <w:highlight w:val="yellow"/>
        </w:rPr>
      </w:pPr>
      <w:r>
        <w:rPr>
          <w:rFonts w:hint="eastAsia" w:ascii="方正仿宋_GBK" w:hAnsi="方正仿宋_GBK" w:eastAsia="方正仿宋_GBK" w:cs="方正仿宋_GBK"/>
          <w:sz w:val="32"/>
          <w:szCs w:val="32"/>
          <w:shd w:val="clear" w:color="auto" w:fill="FFFFFF"/>
        </w:rPr>
        <w:t>根据预算绩效管理要求，我单位对4个项目开展了绩效评价。</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1.项目支出绩效自评汇总表</w:t>
      </w:r>
    </w:p>
    <w:tbl>
      <w:tblPr>
        <w:tblStyle w:val="7"/>
        <w:tblW w:w="4972" w:type="pct"/>
        <w:tblInd w:w="0" w:type="dxa"/>
        <w:tblLayout w:type="autofit"/>
        <w:tblCellMar>
          <w:top w:w="0" w:type="dxa"/>
          <w:left w:w="108" w:type="dxa"/>
          <w:bottom w:w="0" w:type="dxa"/>
          <w:right w:w="108" w:type="dxa"/>
        </w:tblCellMar>
      </w:tblPr>
      <w:tblGrid>
        <w:gridCol w:w="708"/>
        <w:gridCol w:w="5821"/>
        <w:gridCol w:w="1890"/>
      </w:tblGrid>
      <w:tr>
        <w:tblPrEx>
          <w:tblCellMar>
            <w:top w:w="0" w:type="dxa"/>
            <w:left w:w="108" w:type="dxa"/>
            <w:bottom w:w="0" w:type="dxa"/>
            <w:right w:w="108" w:type="dxa"/>
          </w:tblCellMar>
        </w:tblPrEx>
        <w:trPr>
          <w:trHeight w:val="585"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bCs w:val="0"/>
                <w:color w:val="000000"/>
                <w:sz w:val="22"/>
                <w:szCs w:val="22"/>
              </w:rPr>
            </w:pPr>
            <w:r>
              <w:rPr>
                <w:rFonts w:hint="eastAsia" w:ascii="微软雅黑" w:hAnsi="微软雅黑" w:eastAsia="微软雅黑" w:cs="微软雅黑"/>
                <w:b/>
                <w:bCs w:val="0"/>
                <w:color w:val="000000"/>
                <w:sz w:val="22"/>
                <w:szCs w:val="22"/>
              </w:rPr>
              <w:t>序号</w:t>
            </w:r>
          </w:p>
        </w:tc>
        <w:tc>
          <w:tcPr>
            <w:tcW w:w="3456"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bCs w:val="0"/>
                <w:color w:val="000000"/>
                <w:sz w:val="22"/>
                <w:szCs w:val="22"/>
              </w:rPr>
            </w:pPr>
            <w:r>
              <w:rPr>
                <w:rFonts w:hint="eastAsia" w:ascii="微软雅黑" w:hAnsi="微软雅黑" w:eastAsia="微软雅黑" w:cs="微软雅黑"/>
                <w:b/>
                <w:bCs w:val="0"/>
                <w:color w:val="000000"/>
                <w:sz w:val="22"/>
                <w:szCs w:val="22"/>
              </w:rPr>
              <w:t>项目名称</w:t>
            </w:r>
          </w:p>
        </w:tc>
        <w:tc>
          <w:tcPr>
            <w:tcW w:w="1122"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bCs w:val="0"/>
                <w:color w:val="000000"/>
                <w:sz w:val="22"/>
                <w:szCs w:val="22"/>
              </w:rPr>
            </w:pPr>
            <w:r>
              <w:rPr>
                <w:rFonts w:hint="eastAsia" w:ascii="微软雅黑" w:hAnsi="微软雅黑" w:eastAsia="微软雅黑" w:cs="微软雅黑"/>
                <w:b/>
                <w:bCs w:val="0"/>
                <w:color w:val="000000"/>
                <w:sz w:val="22"/>
                <w:szCs w:val="22"/>
              </w:rPr>
              <w:t>自评得分（分）</w:t>
            </w:r>
          </w:p>
        </w:tc>
      </w:tr>
      <w:tr>
        <w:tblPrEx>
          <w:tblCellMar>
            <w:top w:w="0" w:type="dxa"/>
            <w:left w:w="108" w:type="dxa"/>
            <w:bottom w:w="0" w:type="dxa"/>
            <w:right w:w="108" w:type="dxa"/>
          </w:tblCellMar>
        </w:tblPrEx>
        <w:trPr>
          <w:trHeight w:val="585" w:hRule="atLeast"/>
        </w:trPr>
        <w:tc>
          <w:tcPr>
            <w:tcW w:w="42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val="0"/>
                <w:bCs/>
                <w:color w:val="000000"/>
                <w:sz w:val="20"/>
                <w:szCs w:val="20"/>
              </w:rPr>
            </w:pPr>
            <w:r>
              <w:rPr>
                <w:rFonts w:hint="eastAsia" w:ascii="微软雅黑" w:hAnsi="微软雅黑" w:eastAsia="微软雅黑" w:cs="微软雅黑"/>
                <w:b w:val="0"/>
                <w:bCs/>
                <w:color w:val="000000"/>
                <w:sz w:val="20"/>
                <w:szCs w:val="20"/>
              </w:rPr>
              <w:t>1</w:t>
            </w:r>
          </w:p>
        </w:tc>
        <w:tc>
          <w:tcPr>
            <w:tcW w:w="3456" w:type="pct"/>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val="0"/>
                <w:bCs/>
                <w:color w:val="000000"/>
                <w:sz w:val="20"/>
                <w:szCs w:val="20"/>
              </w:rPr>
            </w:pPr>
            <w:r>
              <w:rPr>
                <w:rFonts w:hint="eastAsia" w:ascii="微软雅黑" w:hAnsi="微软雅黑" w:eastAsia="微软雅黑" w:cs="微软雅黑"/>
                <w:b w:val="0"/>
                <w:bCs/>
                <w:color w:val="000000"/>
                <w:sz w:val="20"/>
                <w:szCs w:val="20"/>
              </w:rPr>
              <w:t>50010224T000004303438-普通公路非现场治超点建设项目</w:t>
            </w:r>
          </w:p>
        </w:tc>
        <w:tc>
          <w:tcPr>
            <w:tcW w:w="1122" w:type="pct"/>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val="0"/>
                <w:bCs/>
                <w:color w:val="000000"/>
                <w:sz w:val="20"/>
                <w:szCs w:val="20"/>
              </w:rPr>
            </w:pPr>
            <w:r>
              <w:rPr>
                <w:rFonts w:hint="eastAsia" w:ascii="微软雅黑" w:hAnsi="微软雅黑" w:eastAsia="微软雅黑" w:cs="微软雅黑"/>
                <w:b w:val="0"/>
                <w:bCs/>
                <w:color w:val="000000"/>
                <w:sz w:val="20"/>
                <w:szCs w:val="20"/>
              </w:rPr>
              <w:t>86.66</w:t>
            </w:r>
          </w:p>
        </w:tc>
      </w:tr>
      <w:tr>
        <w:tblPrEx>
          <w:tblCellMar>
            <w:top w:w="0" w:type="dxa"/>
            <w:left w:w="108" w:type="dxa"/>
            <w:bottom w:w="0" w:type="dxa"/>
            <w:right w:w="108" w:type="dxa"/>
          </w:tblCellMar>
        </w:tblPrEx>
        <w:trPr>
          <w:trHeight w:val="585" w:hRule="atLeast"/>
        </w:trPr>
        <w:tc>
          <w:tcPr>
            <w:tcW w:w="42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val="0"/>
                <w:bCs/>
                <w:color w:val="000000"/>
                <w:sz w:val="20"/>
                <w:szCs w:val="20"/>
              </w:rPr>
            </w:pPr>
            <w:r>
              <w:rPr>
                <w:rFonts w:hint="eastAsia" w:ascii="微软雅黑" w:hAnsi="微软雅黑" w:eastAsia="微软雅黑" w:cs="微软雅黑"/>
                <w:b w:val="0"/>
                <w:bCs/>
                <w:color w:val="000000"/>
                <w:sz w:val="20"/>
                <w:szCs w:val="20"/>
              </w:rPr>
              <w:t>2</w:t>
            </w:r>
          </w:p>
        </w:tc>
        <w:tc>
          <w:tcPr>
            <w:tcW w:w="3456" w:type="pct"/>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val="0"/>
                <w:bCs/>
                <w:color w:val="000000"/>
                <w:sz w:val="20"/>
                <w:szCs w:val="20"/>
              </w:rPr>
            </w:pPr>
            <w:r>
              <w:rPr>
                <w:rFonts w:hint="eastAsia" w:ascii="微软雅黑" w:hAnsi="微软雅黑" w:eastAsia="微软雅黑" w:cs="微软雅黑"/>
                <w:b w:val="0"/>
                <w:bCs/>
                <w:color w:val="000000"/>
                <w:sz w:val="20"/>
                <w:szCs w:val="20"/>
              </w:rPr>
              <w:t>50010225T000004898546-交通工作运行经费缺口</w:t>
            </w:r>
          </w:p>
        </w:tc>
        <w:tc>
          <w:tcPr>
            <w:tcW w:w="1122" w:type="pct"/>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val="0"/>
                <w:bCs/>
                <w:color w:val="000000"/>
                <w:sz w:val="20"/>
                <w:szCs w:val="20"/>
              </w:rPr>
            </w:pPr>
            <w:r>
              <w:rPr>
                <w:rFonts w:hint="eastAsia" w:ascii="微软雅黑" w:hAnsi="微软雅黑" w:eastAsia="微软雅黑" w:cs="微软雅黑"/>
                <w:b w:val="0"/>
                <w:bCs/>
                <w:color w:val="000000"/>
                <w:sz w:val="20"/>
                <w:szCs w:val="20"/>
              </w:rPr>
              <w:t>100</w:t>
            </w:r>
          </w:p>
        </w:tc>
      </w:tr>
      <w:tr>
        <w:tblPrEx>
          <w:tblCellMar>
            <w:top w:w="0" w:type="dxa"/>
            <w:left w:w="108" w:type="dxa"/>
            <w:bottom w:w="0" w:type="dxa"/>
            <w:right w:w="108" w:type="dxa"/>
          </w:tblCellMar>
        </w:tblPrEx>
        <w:trPr>
          <w:trHeight w:val="585" w:hRule="atLeast"/>
        </w:trPr>
        <w:tc>
          <w:tcPr>
            <w:tcW w:w="42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val="0"/>
                <w:bCs/>
                <w:color w:val="000000"/>
                <w:sz w:val="20"/>
                <w:szCs w:val="20"/>
              </w:rPr>
            </w:pPr>
            <w:r>
              <w:rPr>
                <w:rFonts w:hint="eastAsia" w:ascii="微软雅黑" w:hAnsi="微软雅黑" w:eastAsia="微软雅黑" w:cs="微软雅黑"/>
                <w:b w:val="0"/>
                <w:bCs/>
                <w:color w:val="000000"/>
                <w:sz w:val="20"/>
                <w:szCs w:val="20"/>
              </w:rPr>
              <w:t>3</w:t>
            </w:r>
          </w:p>
        </w:tc>
        <w:tc>
          <w:tcPr>
            <w:tcW w:w="3456" w:type="pct"/>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val="0"/>
                <w:bCs/>
                <w:color w:val="000000"/>
                <w:sz w:val="20"/>
                <w:szCs w:val="20"/>
              </w:rPr>
            </w:pPr>
            <w:r>
              <w:rPr>
                <w:rFonts w:hint="eastAsia" w:ascii="微软雅黑" w:hAnsi="微软雅黑" w:eastAsia="微软雅黑" w:cs="微软雅黑"/>
                <w:b w:val="0"/>
                <w:bCs/>
                <w:color w:val="000000"/>
                <w:sz w:val="20"/>
                <w:szCs w:val="20"/>
              </w:rPr>
              <w:t>50010222T000000082358-交通综合执法工作保障</w:t>
            </w:r>
          </w:p>
        </w:tc>
        <w:tc>
          <w:tcPr>
            <w:tcW w:w="1122" w:type="pct"/>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val="0"/>
                <w:bCs/>
                <w:color w:val="000000"/>
                <w:sz w:val="20"/>
                <w:szCs w:val="20"/>
              </w:rPr>
            </w:pPr>
            <w:r>
              <w:rPr>
                <w:rFonts w:hint="eastAsia" w:ascii="微软雅黑" w:hAnsi="微软雅黑" w:eastAsia="微软雅黑" w:cs="微软雅黑"/>
                <w:b w:val="0"/>
                <w:bCs/>
                <w:color w:val="000000"/>
                <w:sz w:val="20"/>
                <w:szCs w:val="20"/>
              </w:rPr>
              <w:t>86.66</w:t>
            </w:r>
          </w:p>
        </w:tc>
      </w:tr>
      <w:tr>
        <w:tblPrEx>
          <w:tblCellMar>
            <w:top w:w="0" w:type="dxa"/>
            <w:left w:w="108" w:type="dxa"/>
            <w:bottom w:w="0" w:type="dxa"/>
            <w:right w:w="108" w:type="dxa"/>
          </w:tblCellMar>
        </w:tblPrEx>
        <w:trPr>
          <w:trHeight w:val="585" w:hRule="atLeast"/>
        </w:trPr>
        <w:tc>
          <w:tcPr>
            <w:tcW w:w="421"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val="0"/>
                <w:bCs/>
                <w:color w:val="000000"/>
                <w:sz w:val="20"/>
                <w:szCs w:val="20"/>
              </w:rPr>
            </w:pPr>
            <w:r>
              <w:rPr>
                <w:rFonts w:hint="eastAsia" w:ascii="微软雅黑" w:hAnsi="微软雅黑" w:eastAsia="微软雅黑" w:cs="微软雅黑"/>
                <w:b w:val="0"/>
                <w:bCs/>
                <w:color w:val="000000"/>
                <w:sz w:val="20"/>
                <w:szCs w:val="20"/>
              </w:rPr>
              <w:t>4</w:t>
            </w:r>
          </w:p>
        </w:tc>
        <w:tc>
          <w:tcPr>
            <w:tcW w:w="3456" w:type="pct"/>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val="0"/>
                <w:bCs/>
                <w:color w:val="000000"/>
                <w:sz w:val="20"/>
                <w:szCs w:val="20"/>
              </w:rPr>
            </w:pPr>
            <w:r>
              <w:rPr>
                <w:rFonts w:hint="eastAsia" w:ascii="微软雅黑" w:hAnsi="微软雅黑" w:eastAsia="微软雅黑" w:cs="微软雅黑"/>
                <w:b w:val="0"/>
                <w:bCs/>
                <w:color w:val="000000"/>
                <w:sz w:val="20"/>
                <w:szCs w:val="20"/>
              </w:rPr>
              <w:t>50010224T000004303613-交通综合执法质量提升专项</w:t>
            </w:r>
          </w:p>
        </w:tc>
        <w:tc>
          <w:tcPr>
            <w:tcW w:w="1122" w:type="pct"/>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微软雅黑"/>
                <w:b w:val="0"/>
                <w:bCs/>
                <w:color w:val="000000"/>
                <w:sz w:val="20"/>
                <w:szCs w:val="20"/>
              </w:rPr>
            </w:pPr>
            <w:r>
              <w:rPr>
                <w:rFonts w:hint="eastAsia" w:ascii="微软雅黑" w:hAnsi="微软雅黑" w:eastAsia="微软雅黑" w:cs="微软雅黑"/>
                <w:b w:val="0"/>
                <w:bCs/>
                <w:color w:val="000000"/>
                <w:sz w:val="20"/>
                <w:szCs w:val="20"/>
              </w:rPr>
              <w:t>86.66</w:t>
            </w:r>
          </w:p>
        </w:tc>
      </w:tr>
    </w:tbl>
    <w:p>
      <w:pPr>
        <w:pStyle w:val="13"/>
        <w:numPr>
          <w:ilvl w:val="0"/>
          <w:numId w:val="1"/>
        </w:numPr>
        <w:autoSpaceDE w:val="0"/>
        <w:spacing w:before="0" w:beforeAutospacing="0" w:after="0" w:afterAutospacing="0" w:line="560"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项目支出绩效自评表</w:t>
      </w:r>
    </w:p>
    <w:p>
      <w:pPr>
        <w:pStyle w:val="13"/>
        <w:numPr>
          <w:ilvl w:val="0"/>
          <w:numId w:val="0"/>
        </w:numPr>
        <w:autoSpaceDE w:val="0"/>
        <w:spacing w:before="0" w:beforeAutospacing="0" w:after="0" w:afterAutospacing="0" w:line="560" w:lineRule="exact"/>
        <w:rPr>
          <w:rFonts w:hint="eastAsia" w:ascii="方正仿宋_GBK" w:hAnsi="方正仿宋_GBK" w:eastAsia="方正仿宋_GBK" w:cs="方正仿宋_GBK"/>
          <w:sz w:val="32"/>
          <w:szCs w:val="32"/>
          <w:shd w:val="clear" w:color="auto" w:fill="FFFFFF"/>
        </w:rPr>
      </w:pPr>
    </w:p>
    <w:p>
      <w:pPr>
        <w:pStyle w:val="13"/>
        <w:numPr>
          <w:ilvl w:val="0"/>
          <w:numId w:val="0"/>
        </w:numPr>
        <w:autoSpaceDE w:val="0"/>
        <w:spacing w:before="0" w:beforeAutospacing="0" w:after="0" w:afterAutospacing="0" w:line="560" w:lineRule="exact"/>
        <w:rPr>
          <w:rFonts w:hint="eastAsia" w:ascii="方正仿宋_GBK" w:hAnsi="方正仿宋_GBK" w:eastAsia="方正仿宋_GBK" w:cs="方正仿宋_GBK"/>
          <w:sz w:val="32"/>
          <w:szCs w:val="32"/>
          <w:shd w:val="clear" w:color="auto" w:fill="FFFFFF"/>
        </w:rPr>
      </w:pPr>
    </w:p>
    <w:p>
      <w:pPr>
        <w:pStyle w:val="13"/>
        <w:numPr>
          <w:ilvl w:val="0"/>
          <w:numId w:val="0"/>
        </w:numPr>
        <w:autoSpaceDE w:val="0"/>
        <w:spacing w:before="0" w:beforeAutospacing="0" w:after="0" w:afterAutospacing="0" w:line="560" w:lineRule="exact"/>
        <w:rPr>
          <w:rFonts w:hint="eastAsia" w:ascii="方正仿宋_GBK" w:hAnsi="方正仿宋_GBK" w:eastAsia="方正仿宋_GBK" w:cs="方正仿宋_GBK"/>
          <w:sz w:val="32"/>
          <w:szCs w:val="32"/>
          <w:shd w:val="clear" w:color="auto" w:fill="FFFFFF"/>
        </w:rPr>
      </w:pPr>
    </w:p>
    <w:p>
      <w:pPr>
        <w:pStyle w:val="13"/>
        <w:numPr>
          <w:ilvl w:val="0"/>
          <w:numId w:val="0"/>
        </w:numPr>
        <w:autoSpaceDE w:val="0"/>
        <w:spacing w:before="0" w:beforeAutospacing="0" w:after="0" w:afterAutospacing="0" w:line="560" w:lineRule="exact"/>
        <w:rPr>
          <w:rFonts w:hint="eastAsia" w:ascii="方正仿宋_GBK" w:hAnsi="方正仿宋_GBK" w:eastAsia="方正仿宋_GBK" w:cs="方正仿宋_GBK"/>
          <w:sz w:val="32"/>
          <w:szCs w:val="32"/>
          <w:shd w:val="clear" w:color="auto" w:fill="FFFFFF"/>
        </w:rPr>
      </w:pPr>
    </w:p>
    <w:p>
      <w:pPr>
        <w:pStyle w:val="13"/>
        <w:numPr>
          <w:ilvl w:val="0"/>
          <w:numId w:val="0"/>
        </w:numPr>
        <w:autoSpaceDE w:val="0"/>
        <w:spacing w:before="0" w:beforeAutospacing="0" w:after="0" w:afterAutospacing="0" w:line="560" w:lineRule="exact"/>
        <w:rPr>
          <w:rFonts w:hint="eastAsia" w:ascii="方正仿宋_GBK" w:hAnsi="方正仿宋_GBK" w:eastAsia="方正仿宋_GBK" w:cs="方正仿宋_GBK"/>
          <w:sz w:val="32"/>
          <w:szCs w:val="32"/>
          <w:shd w:val="clear" w:color="auto" w:fill="FFFFFF"/>
        </w:rPr>
      </w:pPr>
    </w:p>
    <w:p>
      <w:pPr>
        <w:pStyle w:val="13"/>
        <w:numPr>
          <w:ilvl w:val="0"/>
          <w:numId w:val="0"/>
        </w:numPr>
        <w:autoSpaceDE w:val="0"/>
        <w:spacing w:before="0" w:beforeAutospacing="0" w:after="0" w:afterAutospacing="0" w:line="560" w:lineRule="exact"/>
        <w:rPr>
          <w:rFonts w:hint="eastAsia" w:ascii="方正仿宋_GBK" w:hAnsi="方正仿宋_GBK" w:eastAsia="方正仿宋_GBK" w:cs="方正仿宋_GBK"/>
          <w:sz w:val="32"/>
          <w:szCs w:val="32"/>
          <w:shd w:val="clear" w:color="auto" w:fill="FFFFFF"/>
        </w:rPr>
      </w:pPr>
    </w:p>
    <w:p>
      <w:pPr>
        <w:pStyle w:val="13"/>
        <w:numPr>
          <w:ilvl w:val="0"/>
          <w:numId w:val="0"/>
        </w:numPr>
        <w:autoSpaceDE w:val="0"/>
        <w:spacing w:before="0" w:beforeAutospacing="0" w:after="0" w:afterAutospacing="0" w:line="560" w:lineRule="exact"/>
        <w:rPr>
          <w:rFonts w:hint="eastAsia" w:ascii="方正仿宋_GBK" w:hAnsi="方正仿宋_GBK" w:eastAsia="方正仿宋_GBK" w:cs="方正仿宋_GBK"/>
          <w:sz w:val="32"/>
          <w:szCs w:val="32"/>
          <w:shd w:val="clear" w:color="auto" w:fill="FFFFFF"/>
        </w:rPr>
      </w:pPr>
    </w:p>
    <w:p>
      <w:pPr>
        <w:pStyle w:val="13"/>
        <w:numPr>
          <w:ilvl w:val="0"/>
          <w:numId w:val="0"/>
        </w:numPr>
        <w:autoSpaceDE w:val="0"/>
        <w:spacing w:before="0" w:beforeAutospacing="0" w:after="0" w:afterAutospacing="0" w:line="560" w:lineRule="exact"/>
        <w:rPr>
          <w:rFonts w:hint="eastAsia" w:ascii="方正仿宋_GBK" w:hAnsi="方正仿宋_GBK" w:eastAsia="方正仿宋_GBK" w:cs="方正仿宋_GBK"/>
          <w:sz w:val="32"/>
          <w:szCs w:val="32"/>
          <w:shd w:val="clear" w:color="auto" w:fill="FFFFFF"/>
        </w:rPr>
      </w:pPr>
    </w:p>
    <w:p>
      <w:pPr>
        <w:pStyle w:val="13"/>
        <w:numPr>
          <w:ilvl w:val="0"/>
          <w:numId w:val="0"/>
        </w:numPr>
        <w:autoSpaceDE w:val="0"/>
        <w:spacing w:before="0" w:beforeAutospacing="0" w:after="0" w:afterAutospacing="0" w:line="560" w:lineRule="exact"/>
        <w:rPr>
          <w:rFonts w:hint="eastAsia" w:ascii="方正仿宋_GBK" w:hAnsi="方正仿宋_GBK" w:eastAsia="方正仿宋_GBK" w:cs="方正仿宋_GBK"/>
          <w:sz w:val="32"/>
          <w:szCs w:val="32"/>
          <w:shd w:val="clear" w:color="auto" w:fill="FFFFFF"/>
        </w:rPr>
      </w:pPr>
    </w:p>
    <w:tbl>
      <w:tblPr>
        <w:tblStyle w:val="7"/>
        <w:tblW w:w="0" w:type="auto"/>
        <w:tblInd w:w="0" w:type="dxa"/>
        <w:tblLayout w:type="autofit"/>
        <w:tblCellMar>
          <w:top w:w="0" w:type="dxa"/>
          <w:left w:w="108" w:type="dxa"/>
          <w:bottom w:w="0" w:type="dxa"/>
          <w:right w:w="108" w:type="dxa"/>
        </w:tblCellMar>
      </w:tblPr>
      <w:tblGrid>
        <w:gridCol w:w="859"/>
        <w:gridCol w:w="573"/>
        <w:gridCol w:w="573"/>
        <w:gridCol w:w="1239"/>
        <w:gridCol w:w="713"/>
        <w:gridCol w:w="833"/>
        <w:gridCol w:w="866"/>
        <w:gridCol w:w="479"/>
        <w:gridCol w:w="662"/>
        <w:gridCol w:w="503"/>
        <w:gridCol w:w="1166"/>
      </w:tblGrid>
      <w:tr>
        <w:tblPrEx>
          <w:tblCellMar>
            <w:top w:w="0" w:type="dxa"/>
            <w:left w:w="108" w:type="dxa"/>
            <w:bottom w:w="0" w:type="dxa"/>
            <w:right w:w="108" w:type="dxa"/>
          </w:tblCellMar>
        </w:tblPrEx>
        <w:trPr>
          <w:trHeight w:val="106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项目名称：</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交通综合执法质量提升专项</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执行率得分（分）：</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自评总分：（分）</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86.66</w:t>
            </w:r>
          </w:p>
        </w:tc>
      </w:tr>
      <w:tr>
        <w:tblPrEx>
          <w:tblCellMar>
            <w:top w:w="0" w:type="dxa"/>
            <w:left w:w="108" w:type="dxa"/>
            <w:bottom w:w="0" w:type="dxa"/>
            <w:right w:w="108" w:type="dxa"/>
          </w:tblCellMar>
        </w:tblPrEx>
        <w:trPr>
          <w:trHeight w:val="645"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绩效目标</w:t>
            </w:r>
          </w:p>
        </w:tc>
      </w:tr>
      <w:tr>
        <w:tblPrEx>
          <w:tblCellMar>
            <w:top w:w="0" w:type="dxa"/>
            <w:left w:w="108" w:type="dxa"/>
            <w:bottom w:w="0" w:type="dxa"/>
            <w:right w:w="108" w:type="dxa"/>
          </w:tblCellMar>
        </w:tblPrEx>
        <w:trPr>
          <w:trHeight w:val="6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年初绩效目标</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全年（调整）绩效目标</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全年目标实际完成情况</w:t>
            </w:r>
          </w:p>
        </w:tc>
      </w:tr>
      <w:tr>
        <w:tblPrEx>
          <w:tblCellMar>
            <w:top w:w="0" w:type="dxa"/>
            <w:left w:w="108" w:type="dxa"/>
            <w:bottom w:w="0" w:type="dxa"/>
            <w:right w:w="108" w:type="dxa"/>
          </w:tblCellMar>
        </w:tblPrEx>
        <w:trPr>
          <w:trHeight w:val="1665"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根据渝交执法【2023】16号文件，为了加快推进区县交通综合执法机构标准化建设，提升依法履职能力，提高执法规范化水平，提升执法满意度，树立标杆，为交通强市建设提供有力的交通执法保障。</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基本实现为交通强市建设提供有力的交通执法保障的目标：推进了区县交通综合执法机构标准化建设，提升了依法履职能力，提高了执法规范化水平，提升了执法满意度。</w:t>
            </w:r>
          </w:p>
        </w:tc>
      </w:tr>
      <w:tr>
        <w:tblPrEx>
          <w:tblCellMar>
            <w:top w:w="0" w:type="dxa"/>
            <w:left w:w="108" w:type="dxa"/>
            <w:bottom w:w="0" w:type="dxa"/>
            <w:right w:w="108" w:type="dxa"/>
          </w:tblCellMar>
        </w:tblPrEx>
        <w:trPr>
          <w:trHeight w:val="855" w:hRule="atLeast"/>
        </w:trPr>
        <w:tc>
          <w:tcPr>
            <w:tcW w:w="0" w:type="auto"/>
            <w:gridSpan w:val="11"/>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绩效指标</w:t>
            </w:r>
          </w:p>
        </w:tc>
      </w:tr>
      <w:tr>
        <w:tblPrEx>
          <w:tblCellMar>
            <w:top w:w="0" w:type="dxa"/>
            <w:left w:w="108" w:type="dxa"/>
            <w:bottom w:w="0" w:type="dxa"/>
            <w:right w:w="108" w:type="dxa"/>
          </w:tblCellMar>
        </w:tblPrEx>
        <w:trPr>
          <w:trHeight w:val="87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指标名称</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计量单位</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指标性质</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指标值</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全年完成值</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偏离度（%）</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得分系数（%）</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指标权重</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指标得分</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是否核心指标</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b/>
                <w:color w:val="000000"/>
                <w:sz w:val="20"/>
                <w:szCs w:val="20"/>
              </w:rPr>
            </w:pPr>
            <w:r>
              <w:rPr>
                <w:rFonts w:hint="eastAsia" w:ascii="微软雅黑" w:hAnsi="微软雅黑" w:eastAsia="微软雅黑" w:cs="微软雅黑"/>
                <w:b/>
                <w:color w:val="000000"/>
                <w:sz w:val="20"/>
                <w:szCs w:val="20"/>
              </w:rPr>
              <w:t>说明</w:t>
            </w:r>
          </w:p>
        </w:tc>
      </w:tr>
      <w:tr>
        <w:tblPrEx>
          <w:tblCellMar>
            <w:top w:w="0" w:type="dxa"/>
            <w:left w:w="108" w:type="dxa"/>
            <w:bottom w:w="0" w:type="dxa"/>
            <w:right w:w="108" w:type="dxa"/>
          </w:tblCellMar>
        </w:tblPrEx>
        <w:trPr>
          <w:trHeight w:val="85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案件查处数</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件</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3000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3136</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4.53</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15</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15</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否</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加大了对超限超载的查处力度，故案件数有所增加。</w:t>
            </w:r>
          </w:p>
        </w:tc>
      </w:tr>
      <w:tr>
        <w:tblPrEx>
          <w:tblCellMar>
            <w:top w:w="0" w:type="dxa"/>
            <w:left w:w="108" w:type="dxa"/>
            <w:bottom w:w="0" w:type="dxa"/>
            <w:right w:w="108" w:type="dxa"/>
          </w:tblCellMar>
        </w:tblPrEx>
        <w:trPr>
          <w:trHeight w:val="75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监管项目覆盖率</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99</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1.01</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15</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15</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否</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w:t>
            </w:r>
          </w:p>
        </w:tc>
      </w:tr>
      <w:tr>
        <w:tblPrEx>
          <w:tblCellMar>
            <w:top w:w="0" w:type="dxa"/>
            <w:left w:w="108" w:type="dxa"/>
            <w:bottom w:w="0" w:type="dxa"/>
            <w:right w:w="108" w:type="dxa"/>
          </w:tblCellMar>
        </w:tblPrEx>
        <w:trPr>
          <w:trHeight w:val="85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执法人员培训覆盖率</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是</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w:t>
            </w:r>
          </w:p>
        </w:tc>
      </w:tr>
      <w:tr>
        <w:tblPrEx>
          <w:tblCellMar>
            <w:top w:w="0" w:type="dxa"/>
            <w:left w:w="108" w:type="dxa"/>
            <w:bottom w:w="0" w:type="dxa"/>
            <w:right w:w="108" w:type="dxa"/>
          </w:tblCellMar>
        </w:tblPrEx>
        <w:trPr>
          <w:trHeight w:val="14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超限超载率</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3.2</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6.67</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33.3</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20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6.66</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否</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国家对市场主体政策和对“放管服”的严格监管，需进一步加强对超限超载的监管。</w:t>
            </w:r>
          </w:p>
        </w:tc>
      </w:tr>
      <w:tr>
        <w:tblPrEx>
          <w:tblCellMar>
            <w:top w:w="0" w:type="dxa"/>
            <w:left w:w="108" w:type="dxa"/>
            <w:bottom w:w="0" w:type="dxa"/>
            <w:right w:w="108" w:type="dxa"/>
          </w:tblCellMar>
        </w:tblPrEx>
        <w:trPr>
          <w:trHeight w:val="81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受益群体满意度</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95</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95</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10</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否</w:t>
            </w:r>
          </w:p>
        </w:tc>
        <w:tc>
          <w:tcPr>
            <w:tcW w:w="0" w:type="auto"/>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w:t>
            </w:r>
          </w:p>
        </w:tc>
      </w:tr>
    </w:tbl>
    <w:p>
      <w:pPr>
        <w:pStyle w:val="12"/>
        <w:autoSpaceDE w:val="0"/>
        <w:spacing w:line="560" w:lineRule="exact"/>
        <w:ind w:firstLine="643"/>
        <w:rPr>
          <w:rFonts w:ascii="方正仿宋_GBK" w:hAnsi="Times New Roman" w:eastAsia="方正仿宋_GBK" w:cs="宋体"/>
          <w:sz w:val="32"/>
          <w:szCs w:val="32"/>
          <w:highlight w:val="yellow"/>
        </w:rPr>
      </w:pPr>
      <w:r>
        <w:rPr>
          <w:rFonts w:hint="eastAsia" w:ascii="方正楷体_GBK" w:hAnsi="楷体" w:eastAsia="方正楷体_GBK" w:cs="楷体"/>
          <w:b/>
          <w:bCs/>
          <w:sz w:val="32"/>
          <w:szCs w:val="32"/>
          <w:shd w:val="clear" w:color="auto" w:fill="FFFFFF"/>
        </w:rPr>
        <w:t>（二）部门绩效评价情况</w:t>
      </w:r>
    </w:p>
    <w:p>
      <w:pPr>
        <w:pStyle w:val="15"/>
        <w:autoSpaceDE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本单位没有委托第三方开展绩效评价。</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（三）财政绩效评价情况</w:t>
      </w:r>
    </w:p>
    <w:p>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区财政局未委托第三方对我单位开展绩效评价。</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六、名词解释</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Fonts w:ascii="方正楷体_GBK" w:hAnsi="楷体" w:eastAsia="方正楷体_GBK"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（二）事业收入</w:t>
      </w:r>
      <w:r>
        <w:rPr>
          <w:rFonts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（三）经营收入</w:t>
      </w:r>
      <w:r>
        <w:rPr>
          <w:rStyle w:val="10"/>
          <w:rFonts w:ascii="方正楷体_GBK" w:eastAsia="方正楷体_GBK"/>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（四）其他收入</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（五）使用非财政拨款结余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（六）年初结转和结余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（七）结余分配</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（八）年末结转和结余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（九）基本支出</w:t>
      </w:r>
      <w:r>
        <w:rPr>
          <w:rFonts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（十）项目支出</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（十一）经营支出</w:t>
      </w:r>
      <w:r>
        <w:rPr>
          <w:rStyle w:val="10"/>
          <w:rFonts w:ascii="方正楷体_GBK" w:eastAsia="方正楷体_GBK"/>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（十二）“三公”经费</w:t>
      </w:r>
      <w:r>
        <w:rPr>
          <w:rStyle w:val="10"/>
          <w:rFonts w:ascii="方正楷体_GBK" w:eastAsia="方正楷体_GBK"/>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（十三）机关运行经费</w:t>
      </w:r>
      <w:r>
        <w:rPr>
          <w:rStyle w:val="10"/>
          <w:rFonts w:ascii="方正楷体_GBK" w:eastAsia="方正楷体_GBK"/>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（十四）工资福利支出（支出经济分类科目类级）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（十五）商品和服务支出（支出经济分类科目类级）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60" w:lineRule="exact"/>
        <w:ind w:firstLine="643" w:firstLineChars="200"/>
        <w:jc w:val="both"/>
        <w:rPr>
          <w:rFonts w:hint="default" w:ascii="方正楷体_GBK" w:hAnsi="楷体" w:eastAsia="方正楷体_GBK" w:cs="楷体"/>
          <w:b/>
          <w:sz w:val="32"/>
          <w:szCs w:val="32"/>
          <w:shd w:val="clear" w:color="auto" w:fill="FFFFFF"/>
        </w:rPr>
      </w:pPr>
      <w:r>
        <w:rPr>
          <w:rStyle w:val="10"/>
          <w:rFonts w:ascii="方正楷体_GBK" w:hAnsi="楷体" w:eastAsia="方正楷体_GBK" w:cs="楷体"/>
          <w:sz w:val="32"/>
          <w:szCs w:val="32"/>
          <w:shd w:val="clear" w:color="auto" w:fill="FFFFFF"/>
        </w:rPr>
        <w:t>（十六）其他资本性支出（支出经济分类科目类级）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徐乙方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023-72889962</w:t>
      </w:r>
      <w:r>
        <w:rPr>
          <w:rFonts w:hint="eastAsia" w:ascii="方正仿宋_GBK" w:hAnsi="方正仿宋_GBK" w:eastAsia="方正仿宋_GBK" w:cs="方正仿宋_GBK"/>
          <w:sz w:val="32"/>
          <w:szCs w:val="32"/>
          <w:shd w:val="clear" w:color="auto" w:fill="FFFFFF"/>
          <w:lang w:eastAsia="zh-CN"/>
        </w:rPr>
        <w:t>。</w:t>
      </w:r>
    </w:p>
    <w:sectPr>
      <w:headerReference r:id="rId3" w:type="default"/>
      <w:footerReference r:id="rId4" w:type="default"/>
      <w:pgSz w:w="11850" w:h="16783"/>
      <w:pgMar w:top="1440" w:right="1800" w:bottom="1440" w:left="1800" w:header="0" w:footer="79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0E9881-401C-433E-80E9-68FED3A0AB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2DCE88D6-76E0-4BD2-9F37-86C494E35D05}"/>
  </w:font>
  <w:font w:name="方正楷体_GBK">
    <w:panose1 w:val="03000509000000000000"/>
    <w:charset w:val="86"/>
    <w:family w:val="script"/>
    <w:pitch w:val="default"/>
    <w:sig w:usb0="00000001" w:usb1="080E0000" w:usb2="00000000" w:usb3="00000000" w:csb0="00040000" w:csb1="00000000"/>
    <w:embedRegular r:id="rId3" w:fontKey="{9548B71B-EADA-4EDE-A168-0A6DEEAE8CC3}"/>
  </w:font>
  <w:font w:name="楷体">
    <w:panose1 w:val="02010609060101010101"/>
    <w:charset w:val="86"/>
    <w:family w:val="modern"/>
    <w:pitch w:val="default"/>
    <w:sig w:usb0="800002BF" w:usb1="38CF7CFA" w:usb2="00000016" w:usb3="00000000" w:csb0="00040001" w:csb1="00000000"/>
    <w:embedRegular r:id="rId4" w:fontKey="{5010F287-E3F1-44BA-9583-E4EDFA049E58}"/>
  </w:font>
  <w:font w:name="方正仿宋_GBK">
    <w:panose1 w:val="03000509000000000000"/>
    <w:charset w:val="86"/>
    <w:family w:val="script"/>
    <w:pitch w:val="default"/>
    <w:sig w:usb0="00000001" w:usb1="080E0000" w:usb2="00000000" w:usb3="00000000" w:csb0="00040000" w:csb1="00000000"/>
    <w:embedRegular r:id="rId5" w:fontKey="{E0FE7269-FC37-4337-A7ED-DF90E85EAEA4}"/>
  </w:font>
  <w:font w:name="微软雅黑">
    <w:panose1 w:val="020B0503020204020204"/>
    <w:charset w:val="86"/>
    <w:family w:val="auto"/>
    <w:pitch w:val="default"/>
    <w:sig w:usb0="80000287" w:usb1="2ACF3C50" w:usb2="00000016" w:usb3="00000000" w:csb0="0004001F" w:csb1="00000000"/>
    <w:embedRegular r:id="rId6" w:fontKey="{D0ED585F-98DE-46DD-B846-00E158D1DF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4577804"/>
    </w:sdtPr>
    <w:sdtContent>
      <w:p>
        <w:pPr>
          <w:pStyle w:val="3"/>
          <w:jc w:val="center"/>
          <w:rPr>
            <w:rFonts w:hint="default"/>
          </w:rPr>
        </w:pPr>
        <w:r>
          <w:rPr>
            <w:sz w:val="24"/>
          </w:rPr>
          <w:fldChar w:fldCharType="begin"/>
        </w:r>
        <w:r>
          <w:rPr>
            <w:sz w:val="24"/>
          </w:rPr>
          <w:instrText xml:space="preserve">PAGE   \* MERGEFORMAT</w:instrText>
        </w:r>
        <w:r>
          <w:rPr>
            <w:sz w:val="24"/>
          </w:rPr>
          <w:fldChar w:fldCharType="separate"/>
        </w:r>
        <w:r>
          <w:rPr>
            <w:rFonts w:hint="default"/>
            <w:sz w:val="24"/>
            <w:lang w:val="zh-CN"/>
          </w:rPr>
          <w:t>-</w:t>
        </w:r>
        <w:r>
          <w:rPr>
            <w:rFonts w:hint="default"/>
            <w:sz w:val="24"/>
          </w:rPr>
          <w:t xml:space="preserve"> 9 -</w:t>
        </w:r>
        <w:r>
          <w:rPr>
            <w:sz w:val="24"/>
          </w:rPr>
          <w:fldChar w:fldCharType="end"/>
        </w:r>
      </w:p>
    </w:sdtContent>
  </w:sdt>
  <w:p>
    <w:pPr>
      <w:pStyle w:val="3"/>
      <w:jc w:val="both"/>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BE6CE"/>
    <w:multiLevelType w:val="singleLevel"/>
    <w:tmpl w:val="03FBE6C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7637"/>
    <w:rsid w:val="00035AC1"/>
    <w:rsid w:val="00055CC4"/>
    <w:rsid w:val="00056C25"/>
    <w:rsid w:val="0006741B"/>
    <w:rsid w:val="000B30A8"/>
    <w:rsid w:val="000D6FB9"/>
    <w:rsid w:val="000D7702"/>
    <w:rsid w:val="00121D30"/>
    <w:rsid w:val="0013686F"/>
    <w:rsid w:val="0014660B"/>
    <w:rsid w:val="00163C5A"/>
    <w:rsid w:val="00180C48"/>
    <w:rsid w:val="00192898"/>
    <w:rsid w:val="001B502F"/>
    <w:rsid w:val="001E3F2B"/>
    <w:rsid w:val="002030DA"/>
    <w:rsid w:val="002200DB"/>
    <w:rsid w:val="00221D92"/>
    <w:rsid w:val="002307F1"/>
    <w:rsid w:val="00235D46"/>
    <w:rsid w:val="002B0581"/>
    <w:rsid w:val="002B346C"/>
    <w:rsid w:val="002B4B5F"/>
    <w:rsid w:val="002D061D"/>
    <w:rsid w:val="002D538A"/>
    <w:rsid w:val="002D605D"/>
    <w:rsid w:val="002E2DC4"/>
    <w:rsid w:val="002E5443"/>
    <w:rsid w:val="002F5AD6"/>
    <w:rsid w:val="003021B4"/>
    <w:rsid w:val="00306369"/>
    <w:rsid w:val="00311047"/>
    <w:rsid w:val="0031488B"/>
    <w:rsid w:val="00322EEB"/>
    <w:rsid w:val="003428AF"/>
    <w:rsid w:val="00361936"/>
    <w:rsid w:val="003836F8"/>
    <w:rsid w:val="003A7F9E"/>
    <w:rsid w:val="003B0FBF"/>
    <w:rsid w:val="003B3691"/>
    <w:rsid w:val="003C2780"/>
    <w:rsid w:val="003D5BB1"/>
    <w:rsid w:val="003E0197"/>
    <w:rsid w:val="00440AC1"/>
    <w:rsid w:val="00466752"/>
    <w:rsid w:val="00467714"/>
    <w:rsid w:val="004854EB"/>
    <w:rsid w:val="00486DB3"/>
    <w:rsid w:val="004A6E01"/>
    <w:rsid w:val="004B7FA4"/>
    <w:rsid w:val="004C12FF"/>
    <w:rsid w:val="004C460B"/>
    <w:rsid w:val="004E2E4E"/>
    <w:rsid w:val="004F513B"/>
    <w:rsid w:val="00541340"/>
    <w:rsid w:val="00542F7B"/>
    <w:rsid w:val="005455F3"/>
    <w:rsid w:val="00550ABE"/>
    <w:rsid w:val="005614E0"/>
    <w:rsid w:val="00565700"/>
    <w:rsid w:val="00574031"/>
    <w:rsid w:val="005A4136"/>
    <w:rsid w:val="005A7355"/>
    <w:rsid w:val="005B023C"/>
    <w:rsid w:val="005C51F2"/>
    <w:rsid w:val="005D08D3"/>
    <w:rsid w:val="006137D7"/>
    <w:rsid w:val="00634FA8"/>
    <w:rsid w:val="0063613A"/>
    <w:rsid w:val="00637B29"/>
    <w:rsid w:val="006458E7"/>
    <w:rsid w:val="00673830"/>
    <w:rsid w:val="00692129"/>
    <w:rsid w:val="006949D4"/>
    <w:rsid w:val="006A5CAF"/>
    <w:rsid w:val="006B66C1"/>
    <w:rsid w:val="006B7D85"/>
    <w:rsid w:val="006C05FC"/>
    <w:rsid w:val="006F67AA"/>
    <w:rsid w:val="007015C9"/>
    <w:rsid w:val="007075E8"/>
    <w:rsid w:val="00710431"/>
    <w:rsid w:val="00720608"/>
    <w:rsid w:val="0073005F"/>
    <w:rsid w:val="0078599D"/>
    <w:rsid w:val="00792285"/>
    <w:rsid w:val="007A0D2E"/>
    <w:rsid w:val="007A3314"/>
    <w:rsid w:val="007B419D"/>
    <w:rsid w:val="007E1BA4"/>
    <w:rsid w:val="007F42F0"/>
    <w:rsid w:val="00810986"/>
    <w:rsid w:val="00810F13"/>
    <w:rsid w:val="008157EB"/>
    <w:rsid w:val="00863592"/>
    <w:rsid w:val="0086418A"/>
    <w:rsid w:val="008A1852"/>
    <w:rsid w:val="008B1525"/>
    <w:rsid w:val="008B1774"/>
    <w:rsid w:val="008E613F"/>
    <w:rsid w:val="00944711"/>
    <w:rsid w:val="009745A7"/>
    <w:rsid w:val="0097640C"/>
    <w:rsid w:val="00980314"/>
    <w:rsid w:val="00984852"/>
    <w:rsid w:val="009A07EC"/>
    <w:rsid w:val="009B67B8"/>
    <w:rsid w:val="00A03B1E"/>
    <w:rsid w:val="00A0773B"/>
    <w:rsid w:val="00A30876"/>
    <w:rsid w:val="00A47C1F"/>
    <w:rsid w:val="00A55CDA"/>
    <w:rsid w:val="00A67739"/>
    <w:rsid w:val="00A726A7"/>
    <w:rsid w:val="00A820B7"/>
    <w:rsid w:val="00A86F12"/>
    <w:rsid w:val="00AA1A45"/>
    <w:rsid w:val="00AA56C8"/>
    <w:rsid w:val="00AA6AF6"/>
    <w:rsid w:val="00AC5566"/>
    <w:rsid w:val="00AE34BA"/>
    <w:rsid w:val="00B03CCD"/>
    <w:rsid w:val="00B22E15"/>
    <w:rsid w:val="00B40D9A"/>
    <w:rsid w:val="00B41CF7"/>
    <w:rsid w:val="00B4641A"/>
    <w:rsid w:val="00BC1814"/>
    <w:rsid w:val="00BD6C93"/>
    <w:rsid w:val="00BF2DB8"/>
    <w:rsid w:val="00BF5A85"/>
    <w:rsid w:val="00C27089"/>
    <w:rsid w:val="00C51D6D"/>
    <w:rsid w:val="00C6526A"/>
    <w:rsid w:val="00C75BF7"/>
    <w:rsid w:val="00C96B11"/>
    <w:rsid w:val="00CA3426"/>
    <w:rsid w:val="00CB1B4B"/>
    <w:rsid w:val="00CC200D"/>
    <w:rsid w:val="00CC2BE2"/>
    <w:rsid w:val="00CC6B99"/>
    <w:rsid w:val="00CF25F2"/>
    <w:rsid w:val="00D066C6"/>
    <w:rsid w:val="00D21062"/>
    <w:rsid w:val="00D32747"/>
    <w:rsid w:val="00D352ED"/>
    <w:rsid w:val="00D37DBE"/>
    <w:rsid w:val="00D40FFA"/>
    <w:rsid w:val="00D612E6"/>
    <w:rsid w:val="00D7233E"/>
    <w:rsid w:val="00D765E4"/>
    <w:rsid w:val="00D779F1"/>
    <w:rsid w:val="00D92A86"/>
    <w:rsid w:val="00DA64A5"/>
    <w:rsid w:val="00DB68CE"/>
    <w:rsid w:val="00DE49BC"/>
    <w:rsid w:val="00DE5886"/>
    <w:rsid w:val="00DF5E14"/>
    <w:rsid w:val="00DF7706"/>
    <w:rsid w:val="00E43334"/>
    <w:rsid w:val="00E43417"/>
    <w:rsid w:val="00E62FA8"/>
    <w:rsid w:val="00E654E2"/>
    <w:rsid w:val="00E76362"/>
    <w:rsid w:val="00E82989"/>
    <w:rsid w:val="00E853C3"/>
    <w:rsid w:val="00E940EE"/>
    <w:rsid w:val="00EB6FCB"/>
    <w:rsid w:val="00EE1AD8"/>
    <w:rsid w:val="00EE3B16"/>
    <w:rsid w:val="00F110A5"/>
    <w:rsid w:val="00F137D3"/>
    <w:rsid w:val="00F13C36"/>
    <w:rsid w:val="00F2055F"/>
    <w:rsid w:val="00F32C53"/>
    <w:rsid w:val="00F34A5F"/>
    <w:rsid w:val="00F43C8B"/>
    <w:rsid w:val="00F458A1"/>
    <w:rsid w:val="00F6024B"/>
    <w:rsid w:val="00F702F9"/>
    <w:rsid w:val="00F73F90"/>
    <w:rsid w:val="00F7623D"/>
    <w:rsid w:val="00F90851"/>
    <w:rsid w:val="00FB3052"/>
    <w:rsid w:val="00FB3599"/>
    <w:rsid w:val="00FF7C3A"/>
    <w:rsid w:val="01474EBF"/>
    <w:rsid w:val="01F3521E"/>
    <w:rsid w:val="0257593E"/>
    <w:rsid w:val="03B87EA0"/>
    <w:rsid w:val="03E3214F"/>
    <w:rsid w:val="044C50BA"/>
    <w:rsid w:val="05256903"/>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A9532B"/>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985F3D"/>
    <w:rsid w:val="173708E3"/>
    <w:rsid w:val="17A821AF"/>
    <w:rsid w:val="17C374FC"/>
    <w:rsid w:val="17DA345C"/>
    <w:rsid w:val="189079DC"/>
    <w:rsid w:val="189B0D0B"/>
    <w:rsid w:val="18B43F7C"/>
    <w:rsid w:val="18F918E8"/>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21651D"/>
    <w:rsid w:val="2A73162E"/>
    <w:rsid w:val="2AC64DC2"/>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421947"/>
    <w:rsid w:val="32770556"/>
    <w:rsid w:val="329C0913"/>
    <w:rsid w:val="32AA0460"/>
    <w:rsid w:val="331A420C"/>
    <w:rsid w:val="3337290D"/>
    <w:rsid w:val="33E31118"/>
    <w:rsid w:val="33EF7674"/>
    <w:rsid w:val="342D7BC6"/>
    <w:rsid w:val="352930DB"/>
    <w:rsid w:val="35573069"/>
    <w:rsid w:val="355F6038"/>
    <w:rsid w:val="358C217E"/>
    <w:rsid w:val="35937598"/>
    <w:rsid w:val="36C9128A"/>
    <w:rsid w:val="372E3953"/>
    <w:rsid w:val="37841E99"/>
    <w:rsid w:val="37BF1123"/>
    <w:rsid w:val="37C9384A"/>
    <w:rsid w:val="383C3F15"/>
    <w:rsid w:val="38BE4696"/>
    <w:rsid w:val="3939115E"/>
    <w:rsid w:val="39B82A39"/>
    <w:rsid w:val="39C42CA8"/>
    <w:rsid w:val="39DC4FD6"/>
    <w:rsid w:val="39F03D7A"/>
    <w:rsid w:val="39F33306"/>
    <w:rsid w:val="3A2C1C67"/>
    <w:rsid w:val="3B1705E5"/>
    <w:rsid w:val="3B18334B"/>
    <w:rsid w:val="3B36794F"/>
    <w:rsid w:val="3C566AD6"/>
    <w:rsid w:val="3C6A5B02"/>
    <w:rsid w:val="3CC40003"/>
    <w:rsid w:val="3D2757A1"/>
    <w:rsid w:val="3D3D4FC4"/>
    <w:rsid w:val="3DDF3AB1"/>
    <w:rsid w:val="3E1D0952"/>
    <w:rsid w:val="3E42660A"/>
    <w:rsid w:val="3E7555B1"/>
    <w:rsid w:val="3E787ED9"/>
    <w:rsid w:val="3EE63FB2"/>
    <w:rsid w:val="3EEC37F3"/>
    <w:rsid w:val="3F032E93"/>
    <w:rsid w:val="3F0527E5"/>
    <w:rsid w:val="3F694D83"/>
    <w:rsid w:val="3F885DCC"/>
    <w:rsid w:val="3FCD675E"/>
    <w:rsid w:val="3FFB1056"/>
    <w:rsid w:val="4004000C"/>
    <w:rsid w:val="411B6CE5"/>
    <w:rsid w:val="412070D7"/>
    <w:rsid w:val="41314E40"/>
    <w:rsid w:val="41E0734B"/>
    <w:rsid w:val="420276DB"/>
    <w:rsid w:val="426554D0"/>
    <w:rsid w:val="426C1EA8"/>
    <w:rsid w:val="42736402"/>
    <w:rsid w:val="42E86A87"/>
    <w:rsid w:val="43307B09"/>
    <w:rsid w:val="438D0E97"/>
    <w:rsid w:val="43BB152F"/>
    <w:rsid w:val="44300E9A"/>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505AFE"/>
    <w:rsid w:val="4B7951CB"/>
    <w:rsid w:val="4B7C315C"/>
    <w:rsid w:val="4D5E7F3F"/>
    <w:rsid w:val="4DAC4ACA"/>
    <w:rsid w:val="4DBE01D2"/>
    <w:rsid w:val="4EFC6D10"/>
    <w:rsid w:val="4F0C6BA3"/>
    <w:rsid w:val="4F10477D"/>
    <w:rsid w:val="4F165675"/>
    <w:rsid w:val="4F186D58"/>
    <w:rsid w:val="4FEA65B7"/>
    <w:rsid w:val="50F06B6E"/>
    <w:rsid w:val="516F72BF"/>
    <w:rsid w:val="52234D33"/>
    <w:rsid w:val="522F6E0C"/>
    <w:rsid w:val="52463BA1"/>
    <w:rsid w:val="52F163D4"/>
    <w:rsid w:val="531A2DB4"/>
    <w:rsid w:val="53C0244D"/>
    <w:rsid w:val="53DD4D4E"/>
    <w:rsid w:val="53E578CE"/>
    <w:rsid w:val="541330F0"/>
    <w:rsid w:val="54272666"/>
    <w:rsid w:val="543B029D"/>
    <w:rsid w:val="54861779"/>
    <w:rsid w:val="54B916E1"/>
    <w:rsid w:val="552256E1"/>
    <w:rsid w:val="554E5773"/>
    <w:rsid w:val="555A3CBC"/>
    <w:rsid w:val="5582012B"/>
    <w:rsid w:val="558E4E05"/>
    <w:rsid w:val="55BE2E85"/>
    <w:rsid w:val="56530F5D"/>
    <w:rsid w:val="567700D3"/>
    <w:rsid w:val="56811F6E"/>
    <w:rsid w:val="56FF7E9E"/>
    <w:rsid w:val="578867FC"/>
    <w:rsid w:val="5842572D"/>
    <w:rsid w:val="595C0244"/>
    <w:rsid w:val="5A3B59D6"/>
    <w:rsid w:val="5AD134D8"/>
    <w:rsid w:val="5B6503B1"/>
    <w:rsid w:val="5C263CE4"/>
    <w:rsid w:val="5C5D2777"/>
    <w:rsid w:val="5CF66BF3"/>
    <w:rsid w:val="5D290C69"/>
    <w:rsid w:val="5EAE3DE5"/>
    <w:rsid w:val="5F2D4A41"/>
    <w:rsid w:val="5FD41445"/>
    <w:rsid w:val="60C74F6C"/>
    <w:rsid w:val="61025A59"/>
    <w:rsid w:val="613D5BBC"/>
    <w:rsid w:val="61536C39"/>
    <w:rsid w:val="61595DC4"/>
    <w:rsid w:val="617F0824"/>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A9017B"/>
    <w:rsid w:val="66EE5541"/>
    <w:rsid w:val="67924660"/>
    <w:rsid w:val="68407834"/>
    <w:rsid w:val="6883293E"/>
    <w:rsid w:val="688412AD"/>
    <w:rsid w:val="68EB1B71"/>
    <w:rsid w:val="69475C96"/>
    <w:rsid w:val="69C73CE4"/>
    <w:rsid w:val="69E161EB"/>
    <w:rsid w:val="6AAD2300"/>
    <w:rsid w:val="6B474EF5"/>
    <w:rsid w:val="6BBF53FD"/>
    <w:rsid w:val="6C560CAE"/>
    <w:rsid w:val="6C576495"/>
    <w:rsid w:val="6D097F98"/>
    <w:rsid w:val="6D903FF5"/>
    <w:rsid w:val="6DA955B8"/>
    <w:rsid w:val="6DE346AB"/>
    <w:rsid w:val="6DE5391A"/>
    <w:rsid w:val="6EFD1324"/>
    <w:rsid w:val="6F5A53AC"/>
    <w:rsid w:val="6F716B70"/>
    <w:rsid w:val="6FAC003D"/>
    <w:rsid w:val="6FBB39A3"/>
    <w:rsid w:val="6FE55E12"/>
    <w:rsid w:val="6FFB2E76"/>
    <w:rsid w:val="708F6F7F"/>
    <w:rsid w:val="70D94BD3"/>
    <w:rsid w:val="71835EDB"/>
    <w:rsid w:val="71C34D91"/>
    <w:rsid w:val="72DB435C"/>
    <w:rsid w:val="72E2613A"/>
    <w:rsid w:val="72F4061F"/>
    <w:rsid w:val="72F771F4"/>
    <w:rsid w:val="736650B0"/>
    <w:rsid w:val="73934AD2"/>
    <w:rsid w:val="750837F0"/>
    <w:rsid w:val="754758CF"/>
    <w:rsid w:val="764F62AB"/>
    <w:rsid w:val="765C45EC"/>
    <w:rsid w:val="768A7619"/>
    <w:rsid w:val="76E62CF0"/>
    <w:rsid w:val="77204A34"/>
    <w:rsid w:val="772E1EBA"/>
    <w:rsid w:val="77EB79F7"/>
    <w:rsid w:val="78DD0E2E"/>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8"/>
    <w:qFormat/>
    <w:uiPriority w:val="99"/>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basedOn w:val="9"/>
    <w:qFormat/>
    <w:uiPriority w:val="0"/>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9"/>
    <w:link w:val="2"/>
    <w:qFormat/>
    <w:uiPriority w:val="0"/>
    <w:rPr>
      <w:rFonts w:ascii="宋体" w:hAnsi="宋体"/>
      <w:sz w:val="18"/>
      <w:szCs w:val="18"/>
    </w:rPr>
  </w:style>
  <w:style w:type="paragraph" w:styleId="17">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8">
    <w:name w:val="页脚 Char"/>
    <w:basedOn w:val="9"/>
    <w:link w:val="3"/>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95543-D8EF-45A7-86F5-667FD664EED5}">
  <ds:schemaRefs/>
</ds:datastoreItem>
</file>

<file path=docProps/app.xml><?xml version="1.0" encoding="utf-8"?>
<Properties xmlns="http://schemas.openxmlformats.org/officeDocument/2006/extended-properties" xmlns:vt="http://schemas.openxmlformats.org/officeDocument/2006/docPropsVTypes">
  <Template>Normal</Template>
  <Pages>12</Pages>
  <Words>3695</Words>
  <Characters>4354</Characters>
  <Lines>7</Lines>
  <Paragraphs>13</Paragraphs>
  <TotalTime>69</TotalTime>
  <ScaleCrop>false</ScaleCrop>
  <LinksUpToDate>false</LinksUpToDate>
  <CharactersWithSpaces>4354</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2025-10-09T02:53:00Z</dcterms:created>
  <dc:creator>Administrator</dc:creator>
  <cp:lastModifiedBy>Administrator</cp:lastModifiedBy>
  <cp:lastPrinted>2025-10-15T06:13:00Z</cp:lastPrinted>
  <dcterms:modified xsi:type="dcterms:W3CDTF">2025-11-10T07:50:22Z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177F26EF22624E62A782D8CD6991768F_13</vt:lpwstr>
  </property>
  <property fmtid="{D5CDD505-2E9C-101B-9397-08002B2CF9AE}" pid="4" name="KSOTemplateDocerSaveRecord">
    <vt:lpwstr>eyJoZGlkIjoiMWJjZmNlZWJjN2M3NThlZTk0YjZlMjVmYmVmNTU1ZjkiLCJ1c2VySWQiOiIyNzM5NjM1NjQifQ==</vt:lpwstr>
  </property>
</Properties>
</file>