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adjustRightInd w:val="0"/>
        <w:snapToGrid w:val="0"/>
        <w:spacing w:line="600" w:lineRule="exact"/>
        <w:jc w:val="center"/>
        <w:rPr>
          <w:rFonts w:eastAsia="方正小标宋_GBK"/>
          <w:bCs/>
          <w:color w:val="000000"/>
          <w:w w:val="40"/>
          <w:sz w:val="130"/>
        </w:rPr>
      </w:pPr>
    </w:p>
    <w:p>
      <w:pPr>
        <w:adjustRightInd w:val="0"/>
        <w:snapToGrid w:val="0"/>
        <w:jc w:val="center"/>
        <w:rPr>
          <w:rFonts w:eastAsia="方正小标宋_GBK"/>
          <w:bCs/>
          <w:color w:val="FF0000"/>
          <w:w w:val="40"/>
          <w:sz w:val="130"/>
        </w:rPr>
      </w:pPr>
      <w:r>
        <w:rPr>
          <w:rFonts w:eastAsia="方正小标宋_GBK"/>
          <w:bCs/>
          <w:color w:val="FF0000"/>
          <w:w w:val="40"/>
          <w:sz w:val="130"/>
        </w:rPr>
        <w:t>重庆市涪陵区人民政府教育督导室文件</w:t>
      </w:r>
    </w:p>
    <w:p>
      <w:pPr>
        <w:spacing w:line="600" w:lineRule="exact"/>
        <w:ind w:firstLineChars="67" w:firstLine="241"/>
        <w:jc w:val="center"/>
        <w:rPr>
          <w:rFonts w:eastAsia="华文中宋"/>
          <w:color w:val="000000"/>
          <w:sz w:val="36"/>
        </w:rPr>
      </w:pPr>
    </w:p>
    <w:p>
      <w:pPr>
        <w:spacing w:line="600" w:lineRule="exact"/>
        <w:ind w:firstLineChars="67" w:firstLine="198"/>
        <w:jc w:val="center"/>
        <w:rPr>
          <w:rFonts w:eastAsia="方正仿宋_GBK"/>
          <w:color w:val="000000"/>
          <w:sz w:val="36"/>
        </w:rPr>
      </w:pPr>
      <w:r>
        <w:rPr>
          <w:rFonts w:eastAsia="方正仿宋_GBK"/>
          <w:color w:val="000000"/>
          <w:spacing w:val="-12"/>
          <w:sz w:val="32"/>
        </w:rPr>
        <w:t>涪教督〔2024〕2号</w:t>
      </w:r>
    </w:p>
    <w:p>
      <w:pPr>
        <w:spacing w:line="600" w:lineRule="exact"/>
        <w:jc w:val="center"/>
        <w:rPr>
          <w:rFonts w:eastAsia="方正小标宋简体"/>
          <w:b/>
          <w:bCs/>
          <w:color w:val="000000"/>
          <w:sz w:val="18"/>
        </w:rPr>
      </w:pPr>
      <w:r>
        <w:rPr>
          <w:rFonts w:eastAsia="仿宋_GB2312"/>
          <w:color w:val="000000"/>
          <w:spacing w:val="-12"/>
          <w:sz w:val="32"/>
        </w:rPr>
        <mc:AlternateContent>
          <mc:Choice Requires="wps">
            <w:drawing>
              <wp:anchor distT="0" distB="0" distL="114298" distR="114298" simplePos="0" relativeHeight="10" behindDoc="0" locked="0" layoutInCell="1" hidden="0" allowOverlap="1">
                <wp:simplePos x="0" y="0"/>
                <wp:positionH relativeFrom="column">
                  <wp:posOffset>-114300</wp:posOffset>
                </wp:positionH>
                <wp:positionV relativeFrom="paragraph">
                  <wp:posOffset>24765</wp:posOffset>
                </wp:positionV>
                <wp:extent cx="5829300" cy="952"/>
                <wp:effectExtent l="0" t="0" r="0" b="0"/>
                <wp:wrapNone/>
                <wp:docPr id="1" name="直线 1"/>
                <wp:cNvGraphicFramePr>
                  <a:graphicFrameLocks noChangeAspect="0"/>
                </wp:cNvGraphicFramePr>
                <a:graphic>
                  <a:graphicData uri="http://schemas.microsoft.com/office/word/2010/wordprocessingShape">
                    <wps:wsp>
                      <wps:cNvSpPr/>
                      <wps:spPr>
                        <a:xfrm rot="0">
                          <a:off x="0" y="0"/>
                          <a:ext cx="5829300" cy="952"/>
                        </a:xfrm>
                        <a:prstGeom prst="line"/>
                        <a:noFill/>
                        <a:ln w="19050" cmpd="sng" cap="flat">
                          <a:solidFill>
                            <a:srgbClr val="FF0000"/>
                          </a:solidFill>
                          <a:prstDash val="solid"/>
                          <a:miter/>
                        </a:ln>
                      </wps:spPr>
                      <wps:bodyPr vert="horz" wrap="square" lIns="91440" tIns="45720" rIns="91440" bIns="45720" anchor="t" anchorCtr="0" upright="1">
                        <a:noAutofit/>
                      </wps:bodyPr>
                    </wps:wsp>
                  </a:graphicData>
                </a:graphic>
              </wp:anchor>
            </w:drawing>
          </mc:Choice>
          <mc:Fallback>
            <w:pict>
              <v:line type="#_x0000_t20" id="直线 2" o:spid="_x0000_s2" from="-9.0pt,1.95pt" to="450.0pt,2.024999pt" filled="f" stroked="t" strokeweight="1.5pt" style="position:absolute;z-index:10;mso-position-horizontal:absolute;mso-position-vertical:absolute;mso-wrap-distance-left:8.999863pt;mso-wrap-distance-right:8.999863pt;">
                <v:stroke color="#FF0000"/>
              </v:line>
            </w:pict>
          </mc:Fallback>
        </mc:AlternateContent>
      </w:r>
    </w:p>
    <w:p>
      <w:pPr>
        <w:adjustRightInd w:val="0"/>
        <w:snapToGrid w:val="0"/>
        <w:spacing w:line="600" w:lineRule="exact"/>
        <w:jc w:val="center"/>
        <w:rPr>
          <w:rFonts w:eastAsia="方正小标宋简体"/>
          <w:b/>
          <w:bCs/>
          <w:color w:val="000000"/>
          <w:sz w:val="40"/>
        </w:rPr>
      </w:pPr>
    </w:p>
    <w:p>
      <w:pPr>
        <w:adjustRightInd w:val="0"/>
        <w:snapToGrid w:val="0"/>
        <w:spacing w:line="600" w:lineRule="exact"/>
        <w:jc w:val="center"/>
        <w:rPr>
          <w:rFonts w:eastAsia="方正小标宋_GBK"/>
          <w:bCs/>
          <w:color w:val="000000"/>
          <w:sz w:val="44"/>
          <w:szCs w:val="44"/>
        </w:rPr>
      </w:pPr>
      <w:r>
        <w:rPr>
          <w:rFonts w:eastAsia="方正小标宋_GBK"/>
          <w:bCs/>
          <w:color w:val="000000"/>
          <w:sz w:val="44"/>
          <w:szCs w:val="44"/>
        </w:rPr>
        <w:t>重庆市涪陵区人民政府教育督导室</w:t>
      </w:r>
    </w:p>
    <w:p>
      <w:pPr>
        <w:adjustRightInd w:val="0"/>
        <w:snapToGrid w:val="0"/>
        <w:spacing w:line="600" w:lineRule="exact"/>
        <w:jc w:val="center"/>
        <w:rPr>
          <w:rFonts w:eastAsia="方正小标宋_GBK"/>
          <w:bCs/>
          <w:color w:val="000000"/>
          <w:sz w:val="44"/>
          <w:szCs w:val="44"/>
        </w:rPr>
      </w:pPr>
      <w:r>
        <w:rPr>
          <w:rFonts w:eastAsia="方正小标宋_GBK"/>
          <w:bCs/>
          <w:color w:val="000000"/>
          <w:sz w:val="44"/>
          <w:szCs w:val="44"/>
        </w:rPr>
        <w:t>关于印发2024年涪陵区教育督导工作要点的通  知</w:t>
      </w:r>
    </w:p>
    <w:p>
      <w:pPr>
        <w:adjustRightInd w:val="0"/>
        <w:snapToGrid w:val="0"/>
        <w:spacing w:line="600" w:lineRule="exact"/>
        <w:jc w:val="center"/>
        <w:rPr>
          <w:rFonts w:eastAsia="方正小标宋简体"/>
          <w:bCs/>
          <w:color w:val="000000"/>
          <w:sz w:val="36"/>
          <w:szCs w:val="44"/>
        </w:rPr>
      </w:pPr>
    </w:p>
    <w:p>
      <w:pPr>
        <w:pStyle w:val="16"/>
        <w:tabs>
          <w:tab w:val="left" w:pos="7560"/>
        </w:tabs>
        <w:ind w:firstLineChars="0" w:firstLine="0"/>
        <w:rPr>
          <w:rFonts w:eastAsia="方正仿宋_GBK"/>
          <w:color w:val="000000"/>
          <w:spacing w:val="0"/>
        </w:rPr>
      </w:pPr>
      <w:r>
        <w:rPr>
          <w:rFonts w:eastAsia="方正仿宋_GBK"/>
          <w:color w:val="000000"/>
          <w:spacing w:val="0"/>
        </w:rPr>
        <w:t>各学区管理中心、直属学校，各教育督导责任区：</w:t>
      </w:r>
    </w:p>
    <w:p>
      <w:pPr>
        <w:pStyle w:val="16"/>
        <w:tabs>
          <w:tab w:val="left" w:pos="7560"/>
        </w:tabs>
        <w:rPr>
          <w:rFonts w:eastAsia="方正仿宋_GBK"/>
          <w:color w:val="000000"/>
          <w:spacing w:val="0"/>
        </w:rPr>
      </w:pPr>
      <w:r>
        <w:rPr>
          <w:rFonts w:eastAsia="方正仿宋_GBK"/>
          <w:color w:val="000000"/>
          <w:spacing w:val="0"/>
        </w:rPr>
        <w:t>现将《2024年涪陵区教育督导工作要点》印发你们，请结合实际开展相关工作。</w:t>
      </w:r>
    </w:p>
    <w:p>
      <w:pPr>
        <w:adjustRightInd w:val="0"/>
        <w:snapToGrid w:val="0"/>
        <w:spacing w:line="600" w:lineRule="exact"/>
        <w:rPr>
          <w:rFonts w:eastAsia="方正仿宋_GBK"/>
          <w:color w:val="000000"/>
          <w:sz w:val="32"/>
        </w:rPr>
      </w:pPr>
    </w:p>
    <w:p>
      <w:pPr>
        <w:adjustRightInd w:val="0"/>
        <w:snapToGrid w:val="0"/>
        <w:spacing w:line="600" w:lineRule="exact"/>
        <w:rPr>
          <w:rFonts w:eastAsia="方正仿宋_GBK"/>
          <w:color w:val="000000"/>
          <w:sz w:val="32"/>
        </w:rPr>
      </w:pPr>
    </w:p>
    <w:p>
      <w:pPr>
        <w:adjustRightInd w:val="0"/>
        <w:snapToGrid w:val="0"/>
        <w:spacing w:line="600" w:lineRule="exact"/>
        <w:jc w:val="right"/>
        <w:rPr>
          <w:rFonts w:eastAsia="方正仿宋_GBK"/>
          <w:color w:val="000000"/>
          <w:sz w:val="32"/>
        </w:rPr>
      </w:pPr>
      <w:r>
        <w:rPr>
          <w:rFonts w:eastAsia="方正仿宋_GBK"/>
          <w:color w:val="000000"/>
          <w:sz w:val="32"/>
        </w:rPr>
        <w:t>重庆市涪陵区人民政府教育督导室</w:t>
      </w:r>
    </w:p>
    <w:p>
      <w:pPr>
        <w:tabs>
          <w:tab w:val="left" w:pos="7200"/>
          <w:tab w:val="left" w:pos="7560"/>
        </w:tabs>
        <w:adjustRightInd w:val="0"/>
        <w:snapToGrid w:val="0"/>
        <w:spacing w:line="600" w:lineRule="exact"/>
        <w:ind w:firstLineChars="1700" w:firstLine="5440"/>
        <w:rPr>
          <w:rFonts w:eastAsia="方正仿宋_GBK"/>
          <w:color w:val="000000"/>
          <w:sz w:val="32"/>
        </w:rPr>
      </w:pPr>
      <w:r>
        <w:rPr>
          <w:rFonts w:eastAsia="方正仿宋_GBK"/>
          <w:color w:val="000000"/>
          <w:sz w:val="32"/>
        </w:rPr>
        <w:t>2024年4月</w:t>
      </w:r>
      <w:r>
        <w:rPr>
          <w:rFonts w:eastAsia="方正仿宋_GBK" w:hint="eastAsia"/>
          <w:color w:val="000000"/>
          <w:sz w:val="32"/>
          <w:lang w:val="en-US" w:eastAsia="zh-CN"/>
        </w:rPr>
        <w:t>22</w:t>
      </w:r>
      <w:r>
        <w:rPr>
          <w:rFonts w:eastAsia="方正仿宋_GBK"/>
          <w:color w:val="000000"/>
          <w:sz w:val="32"/>
        </w:rPr>
        <w:t>日</w:t>
      </w:r>
    </w:p>
    <w:p>
      <w:pPr>
        <w:widowControl/>
        <w:spacing w:before="225" w:line="600" w:lineRule="exact"/>
        <w:outlineLvl w:val="1"/>
        <w:rPr>
          <w:rFonts w:eastAsia="方正小标宋_GBK"/>
          <w:b/>
          <w:bCs/>
          <w:color w:val="000000"/>
          <w:kern w:val="0"/>
          <w:sz w:val="44"/>
          <w:szCs w:val="44"/>
        </w:rPr>
      </w:pPr>
    </w:p>
    <w:p>
      <w:pPr>
        <w:widowControl/>
        <w:spacing w:before="225" w:line="560" w:lineRule="exact"/>
        <w:jc w:val="center"/>
        <w:outlineLvl w:val="1"/>
        <w:rPr>
          <w:rFonts w:eastAsia="方正小标宋_GBK"/>
          <w:color w:val="000000"/>
          <w:kern w:val="0"/>
          <w:sz w:val="44"/>
          <w:szCs w:val="44"/>
        </w:rPr>
      </w:pPr>
      <w:r>
        <w:rPr>
          <w:rFonts w:eastAsia="方正小标宋_GBK"/>
          <w:color w:val="000000"/>
          <w:kern w:val="0"/>
          <w:sz w:val="44"/>
          <w:szCs w:val="44"/>
        </w:rPr>
        <w:t>2024年涪陵区教育督导工作要点</w:t>
      </w:r>
    </w:p>
    <w:p>
      <w:pPr>
        <w:spacing w:line="560" w:lineRule="exact"/>
        <w:ind w:firstLineChars="221" w:firstLine="707"/>
        <w:rPr>
          <w:rFonts w:eastAsia="方正仿宋_GBK"/>
          <w:color w:val="000000"/>
          <w:sz w:val="32"/>
          <w:szCs w:val="32"/>
        </w:rPr>
      </w:pPr>
    </w:p>
    <w:p>
      <w:pPr>
        <w:spacing w:line="560" w:lineRule="exact"/>
        <w:ind w:firstLineChars="221" w:firstLine="707"/>
        <w:rPr>
          <w:rFonts w:eastAsia="方正仿宋_GBK"/>
          <w:color w:val="000000"/>
          <w:sz w:val="32"/>
          <w:szCs w:val="32"/>
        </w:rPr>
      </w:pPr>
      <w:r>
        <w:rPr>
          <w:rFonts w:eastAsia="方正仿宋_GBK"/>
          <w:color w:val="000000"/>
          <w:sz w:val="32"/>
          <w:szCs w:val="32"/>
        </w:rPr>
        <w:t>2024年我区教育督导工作的总体思路是：坚持以习近平新时代中国特色社会主义思想为指导，全面贯彻党的二十大、二十届二中全会精神，深入贯彻落实科教兴国战略，全面落实市教委、市政府教育督导室的工作要求，围绕确保教育优先发展战略和立德树人根本任务落实，坚持稳进增效、有位有威、惠民有感工作导向，强化督政、督学、评估监测三大职能，切实以高水平教育督导助推高质量教育体系建设。</w:t>
      </w:r>
    </w:p>
    <w:p>
      <w:pPr>
        <w:tabs>
          <w:tab w:val="left" w:pos="4347"/>
        </w:tabs>
        <w:spacing w:line="560" w:lineRule="exact"/>
        <w:ind w:firstLineChars="200" w:firstLine="640"/>
        <w:rPr>
          <w:rFonts w:eastAsia="方正黑体_GBK"/>
          <w:color w:val="000000"/>
          <w:sz w:val="32"/>
          <w:szCs w:val="32"/>
        </w:rPr>
      </w:pPr>
      <w:r>
        <w:rPr>
          <w:rFonts w:eastAsia="方正黑体_GBK"/>
          <w:color w:val="000000"/>
          <w:sz w:val="32"/>
          <w:szCs w:val="32"/>
        </w:rPr>
        <w:t>一、深化教育督导改革</w:t>
      </w:r>
    </w:p>
    <w:p>
      <w:pPr>
        <w:tabs>
          <w:tab w:val="left" w:pos="4347"/>
        </w:tabs>
        <w:spacing w:line="560" w:lineRule="exact"/>
        <w:ind w:firstLineChars="200" w:firstLine="640"/>
        <w:rPr>
          <w:rFonts w:eastAsia="方正仿宋_GBK"/>
          <w:color w:val="000000"/>
          <w:sz w:val="32"/>
          <w:szCs w:val="32"/>
        </w:rPr>
      </w:pPr>
      <w:r>
        <w:rPr>
          <w:rFonts w:eastAsia="方正楷体_GBK"/>
          <w:b/>
          <w:color w:val="000000"/>
          <w:sz w:val="32"/>
          <w:szCs w:val="32"/>
        </w:rPr>
        <w:t>1.持续推进教育督导体制机制改革。</w:t>
      </w:r>
      <w:r>
        <w:rPr>
          <w:rFonts w:eastAsia="方正仿宋_GBK"/>
          <w:color w:val="000000"/>
          <w:sz w:val="32"/>
          <w:szCs w:val="32"/>
        </w:rPr>
        <w:t>按照《涪陵区深化新时代教育督导体制机制改革实施方案》有序推进各项改革任务。推动完成区教委总督学、副总督学设置，不断完善教育督导机构人员设置。推动教育督导委员会各成员单位切实履行教育相关职能职责，贯彻教育事业优先发展战略。全面落实《重庆市教育督导问责实施细则（试行）》，抓实督导发现问题的整改落实工作，充分运用约谈、通报、问责、激励等措施，切实强化教育督导的严肃性、权威性。</w:t>
      </w:r>
    </w:p>
    <w:p>
      <w:pPr>
        <w:spacing w:line="560" w:lineRule="exact"/>
        <w:ind w:firstLineChars="200" w:firstLine="640"/>
        <w:rPr>
          <w:rFonts w:eastAsia="方正仿宋_GBK"/>
          <w:color w:val="000000"/>
          <w:sz w:val="32"/>
          <w:szCs w:val="32"/>
        </w:rPr>
      </w:pPr>
      <w:r>
        <w:rPr>
          <w:rFonts w:eastAsia="方正楷体_GBK"/>
          <w:b/>
          <w:color w:val="000000"/>
          <w:sz w:val="32"/>
          <w:szCs w:val="32"/>
        </w:rPr>
        <w:t>2.深化学校评价改革。</w:t>
      </w:r>
      <w:r>
        <w:rPr>
          <w:rFonts w:eastAsia="方正仿宋_GBK"/>
          <w:color w:val="000000"/>
          <w:sz w:val="32"/>
          <w:szCs w:val="32"/>
        </w:rPr>
        <w:t>实施《涪陵区深化新时代教育评价改革具体措施》，持续开展教育评价改革禁止事项督查。持续推进中小学学业水平增值评价改革，探索解决不同监测期标准分存在的偏差问题，增加增值评价结果的科学性、客观性；将评价对象具体到学校班级，将普通高中纳入增值评价范围，实现小学、中学增值评价全覆盖。持续推进8个重庆市保教质量保障体系研究试点园建设，适时组织专家对有关教育评价改革经验进行评估论证，总结提炼一套可复制、可推广的经验做法。</w:t>
      </w:r>
    </w:p>
    <w:p>
      <w:pPr>
        <w:spacing w:line="560" w:lineRule="exact"/>
        <w:ind w:firstLineChars="200" w:firstLine="640"/>
        <w:rPr>
          <w:rFonts w:eastAsia="方正黑体_GBK"/>
          <w:color w:val="000000"/>
          <w:sz w:val="32"/>
          <w:szCs w:val="32"/>
        </w:rPr>
      </w:pPr>
      <w:r>
        <w:rPr>
          <w:rFonts w:eastAsia="方正黑体_GBK"/>
          <w:color w:val="000000"/>
          <w:sz w:val="32"/>
          <w:szCs w:val="32"/>
        </w:rPr>
        <w:t>二、认真履行督政工作</w:t>
      </w:r>
    </w:p>
    <w:p>
      <w:pPr>
        <w:pStyle w:val="19"/>
        <w:widowControl/>
        <w:spacing w:beforeAutospacing="0" w:afterAutospacing="0" w:line="560" w:lineRule="exact"/>
        <w:ind w:firstLineChars="200" w:firstLine="640"/>
        <w:jc w:val="both"/>
        <w:rPr>
          <w:rFonts w:ascii="Times New Roman" w:eastAsia="方正仿宋_GBK" w:hAnsi="Times New Roman"/>
          <w:color w:val="000000"/>
          <w:kern w:val="2"/>
          <w:sz w:val="32"/>
          <w:szCs w:val="32"/>
        </w:rPr>
      </w:pPr>
      <w:r>
        <w:rPr>
          <w:rFonts w:ascii="Times New Roman" w:eastAsia="方正楷体_GBK" w:hAnsi="Times New Roman"/>
          <w:b/>
          <w:color w:val="000000"/>
          <w:kern w:val="2"/>
          <w:sz w:val="32"/>
          <w:szCs w:val="32"/>
        </w:rPr>
        <w:t>3.持续开展区政府履行教育职责评价自查。</w:t>
      </w:r>
      <w:r>
        <w:rPr>
          <w:rFonts w:ascii="Times New Roman" w:eastAsia="方正仿宋_GBK" w:hAnsi="Times New Roman"/>
          <w:color w:val="000000"/>
          <w:kern w:val="2"/>
          <w:sz w:val="32"/>
          <w:szCs w:val="32"/>
        </w:rPr>
        <w:t>牵头做好2023年区政府履行教育职责情况自查自评工作。针对自查中发现的问题，协同相关区级部门、学校按时完成整改，做好国家和市级实地督查的迎检准备。</w:t>
      </w:r>
    </w:p>
    <w:p>
      <w:pPr>
        <w:snapToGrid w:val="0"/>
        <w:spacing w:line="560" w:lineRule="exact"/>
        <w:ind w:firstLine="630"/>
        <w:rPr>
          <w:rFonts w:eastAsia="方正仿宋_GBK"/>
          <w:color w:val="000000"/>
          <w:sz w:val="32"/>
          <w:szCs w:val="32"/>
        </w:rPr>
      </w:pPr>
      <w:r>
        <w:rPr>
          <w:rFonts w:eastAsia="方正楷体_GBK"/>
          <w:b/>
          <w:color w:val="000000"/>
          <w:sz w:val="32"/>
          <w:szCs w:val="32"/>
        </w:rPr>
        <w:t>4.开展乡镇街道履行教育职责年度考核。</w:t>
      </w:r>
      <w:r>
        <w:rPr>
          <w:rFonts w:eastAsia="方正仿宋_GBK"/>
          <w:color w:val="000000"/>
          <w:sz w:val="32"/>
          <w:szCs w:val="32"/>
        </w:rPr>
        <w:t>结合当前教育工作重点，重点评价乡镇（街道）在助推义务教育优质均衡发展、学前教育普及普惠发展、支持辖区学校发展、“双减”工作、协调学校解决实际问题等方面的工作情况，推动乡镇（街道）党委政府认真履行教育职责，营造更加良好的教育外部环境。</w:t>
      </w:r>
    </w:p>
    <w:p>
      <w:pPr>
        <w:spacing w:line="560" w:lineRule="exact"/>
        <w:ind w:firstLineChars="200" w:firstLine="640"/>
        <w:rPr>
          <w:rFonts w:eastAsia="方正仿宋_GBK"/>
          <w:color w:val="000000"/>
          <w:sz w:val="32"/>
        </w:rPr>
      </w:pPr>
      <w:r>
        <w:rPr>
          <w:rFonts w:eastAsia="方正楷体_GBK"/>
          <w:b/>
          <w:color w:val="000000"/>
          <w:sz w:val="32"/>
          <w:szCs w:val="32"/>
        </w:rPr>
        <w:t>5.加快推进“两区”创建工作。</w:t>
      </w:r>
      <w:r>
        <w:rPr>
          <w:rFonts w:eastAsia="方正仿宋_GBK"/>
          <w:b/>
          <w:color w:val="000000"/>
          <w:sz w:val="32"/>
          <w:szCs w:val="32"/>
        </w:rPr>
        <w:t>一是</w:t>
      </w:r>
      <w:r>
        <w:rPr>
          <w:rFonts w:eastAsia="方正仿宋_GBK"/>
          <w:color w:val="000000"/>
          <w:sz w:val="32"/>
          <w:szCs w:val="32"/>
        </w:rPr>
        <w:t>坚持定期开展</w:t>
      </w:r>
      <w:r>
        <w:rPr>
          <w:rFonts w:eastAsia="方正仿宋_GBK"/>
          <w:color w:val="000000"/>
          <w:sz w:val="32"/>
        </w:rPr>
        <w:t>义务教育优质均衡发展、</w:t>
      </w:r>
      <w:r>
        <w:rPr>
          <w:rFonts w:eastAsia="方正仿宋_GBK"/>
          <w:color w:val="000000"/>
          <w:sz w:val="32"/>
          <w:szCs w:val="32"/>
        </w:rPr>
        <w:t>学前教育普及普惠现状监测，实时收集动态数据，以监测结果、问题为导向，督促相关区级部门、教委业务科室、学校（幼儿园）提升指标水平，争取尽快全面达标。</w:t>
      </w:r>
      <w:r>
        <w:rPr>
          <w:rFonts w:eastAsia="方正仿宋_GBK"/>
          <w:b/>
          <w:color w:val="000000"/>
          <w:sz w:val="32"/>
          <w:szCs w:val="32"/>
        </w:rPr>
        <w:t>二是</w:t>
      </w:r>
      <w:r>
        <w:rPr>
          <w:rFonts w:eastAsia="方正仿宋_GBK"/>
          <w:color w:val="000000"/>
          <w:sz w:val="32"/>
          <w:szCs w:val="32"/>
        </w:rPr>
        <w:t>积极准备，迎接市政府教育督导室牵头开展的义务教育优质均衡发展创建过程督导，并以此为契机，推动区级部门、乡镇街道和学校履行自身职责，补短板、强弱项，不断提升发展水平</w:t>
      </w:r>
      <w:r>
        <w:rPr>
          <w:rFonts w:eastAsia="方正仿宋_GBK"/>
          <w:color w:val="000000"/>
          <w:sz w:val="32"/>
        </w:rPr>
        <w:t>。</w:t>
      </w:r>
    </w:p>
    <w:p>
      <w:pPr>
        <w:spacing w:line="560" w:lineRule="exact"/>
        <w:ind w:firstLineChars="200" w:firstLine="640"/>
        <w:rPr>
          <w:rFonts w:eastAsia="方正黑体_GBK"/>
          <w:color w:val="000000"/>
          <w:sz w:val="32"/>
          <w:szCs w:val="32"/>
        </w:rPr>
      </w:pPr>
      <w:r>
        <w:rPr>
          <w:rFonts w:eastAsia="方正黑体_GBK"/>
          <w:color w:val="000000"/>
          <w:sz w:val="32"/>
          <w:szCs w:val="32"/>
        </w:rPr>
        <w:t>三、扎实开展督学工作</w:t>
      </w:r>
    </w:p>
    <w:p>
      <w:pPr>
        <w:spacing w:line="560" w:lineRule="exact"/>
        <w:ind w:firstLineChars="200" w:firstLine="640"/>
        <w:rPr>
          <w:rFonts w:eastAsia="方正仿宋_GBK"/>
          <w:bCs/>
          <w:color w:val="000000"/>
          <w:sz w:val="32"/>
          <w:szCs w:val="32"/>
        </w:rPr>
      </w:pPr>
      <w:r>
        <w:rPr>
          <w:rFonts w:eastAsia="方正楷体_GBK"/>
          <w:b/>
          <w:color w:val="000000"/>
          <w:sz w:val="32"/>
          <w:szCs w:val="32"/>
        </w:rPr>
        <w:t>6.做好学校年度综合目标督导考核。</w:t>
      </w:r>
      <w:r>
        <w:rPr>
          <w:rFonts w:eastAsia="方正仿宋_GBK"/>
          <w:bCs/>
          <w:color w:val="000000"/>
          <w:sz w:val="32"/>
          <w:szCs w:val="32"/>
        </w:rPr>
        <w:t>结合今年教育工作要点，以促进教育质量再提升为目标，优化考核方案。</w:t>
      </w:r>
      <w:r>
        <w:rPr>
          <w:rFonts w:eastAsia="方正仿宋_GBK"/>
          <w:b/>
          <w:color w:val="000000"/>
          <w:sz w:val="32"/>
          <w:szCs w:val="32"/>
        </w:rPr>
        <w:t>一是</w:t>
      </w:r>
      <w:r>
        <w:rPr>
          <w:rFonts w:eastAsia="方正仿宋_GBK"/>
          <w:bCs/>
          <w:color w:val="000000"/>
          <w:sz w:val="32"/>
          <w:szCs w:val="32"/>
        </w:rPr>
        <w:t>新增责任督学、教师、学生等学校评价主体，适当增加评价权重，多元评价学校工作</w:t>
      </w:r>
      <w:r>
        <w:rPr>
          <w:rFonts w:eastAsia="方正仿宋_GBK" w:hint="eastAsia"/>
          <w:bCs/>
          <w:color w:val="000000"/>
          <w:sz w:val="32"/>
          <w:szCs w:val="32"/>
        </w:rPr>
        <w:t>。</w:t>
      </w:r>
      <w:r>
        <w:rPr>
          <w:rFonts w:eastAsia="方正仿宋_GBK"/>
          <w:b/>
          <w:color w:val="000000"/>
          <w:sz w:val="32"/>
          <w:szCs w:val="32"/>
        </w:rPr>
        <w:t>二是</w:t>
      </w:r>
      <w:r>
        <w:rPr>
          <w:rFonts w:eastAsia="方正仿宋_GBK"/>
          <w:bCs/>
          <w:color w:val="000000"/>
          <w:sz w:val="32"/>
          <w:szCs w:val="32"/>
        </w:rPr>
        <w:t>适当提高增值评价结果在综合目标督导考核的权重</w:t>
      </w:r>
      <w:r>
        <w:rPr>
          <w:rFonts w:eastAsia="方正仿宋_GBK" w:hint="eastAsia"/>
          <w:bCs/>
          <w:color w:val="000000"/>
          <w:sz w:val="32"/>
          <w:szCs w:val="32"/>
        </w:rPr>
        <w:t>。</w:t>
      </w:r>
      <w:r>
        <w:rPr>
          <w:rFonts w:eastAsia="方正仿宋_GBK"/>
          <w:b/>
          <w:color w:val="000000"/>
          <w:sz w:val="32"/>
          <w:szCs w:val="32"/>
        </w:rPr>
        <w:t>三是</w:t>
      </w:r>
      <w:r>
        <w:rPr>
          <w:rFonts w:eastAsia="方正仿宋_GBK"/>
          <w:bCs/>
          <w:color w:val="000000"/>
          <w:sz w:val="32"/>
          <w:szCs w:val="32"/>
        </w:rPr>
        <w:t>优化考核类别，将考核对象划分为学区、直属义务教育学校、普通高中、中职学校及其他等五类。</w:t>
      </w:r>
    </w:p>
    <w:p>
      <w:pPr>
        <w:spacing w:line="560" w:lineRule="exact"/>
        <w:ind w:firstLineChars="200" w:firstLine="640"/>
        <w:rPr>
          <w:rFonts w:eastAsia="方正仿宋_GBK"/>
          <w:bCs/>
          <w:color w:val="000000"/>
          <w:sz w:val="32"/>
          <w:szCs w:val="32"/>
        </w:rPr>
      </w:pPr>
      <w:r>
        <w:rPr>
          <w:rFonts w:eastAsia="方正楷体_GBK"/>
          <w:b/>
          <w:color w:val="000000"/>
          <w:sz w:val="32"/>
          <w:szCs w:val="32"/>
        </w:rPr>
        <w:t>7.完成各项专项督导工作。</w:t>
      </w:r>
      <w:r>
        <w:rPr>
          <w:rFonts w:eastAsia="方正仿宋_GBK"/>
          <w:b/>
          <w:color w:val="000000"/>
          <w:sz w:val="32"/>
          <w:szCs w:val="32"/>
        </w:rPr>
        <w:t>一是</w:t>
      </w:r>
      <w:r>
        <w:rPr>
          <w:rFonts w:eastAsia="方正仿宋_GBK"/>
          <w:bCs/>
          <w:color w:val="000000"/>
          <w:sz w:val="32"/>
          <w:szCs w:val="32"/>
        </w:rPr>
        <w:t>常态化开展“双减”督导，建立健全“双减”督导长效工作机制。充分发挥责任督学作用，针对“双减”开展经常性督导，巩固深化“双减”工作成效。</w:t>
      </w:r>
      <w:r>
        <w:rPr>
          <w:rFonts w:eastAsia="方正仿宋_GBK"/>
          <w:b/>
          <w:color w:val="000000"/>
          <w:sz w:val="32"/>
          <w:szCs w:val="32"/>
        </w:rPr>
        <w:t>二是</w:t>
      </w:r>
      <w:r>
        <w:rPr>
          <w:rFonts w:eastAsia="方正仿宋_GBK"/>
          <w:bCs/>
          <w:color w:val="000000"/>
          <w:sz w:val="32"/>
          <w:szCs w:val="32"/>
        </w:rPr>
        <w:t>着力抓好春秋季开学工作专项督导，将开学准备、安全稳定等工作情况作为重要督查内容。督促指导各级各类学校及时发现问题、除险清患，确保开学工作安全平稳有序。</w:t>
      </w:r>
      <w:r>
        <w:rPr>
          <w:rFonts w:eastAsia="方正仿宋_GBK"/>
          <w:b/>
          <w:color w:val="000000"/>
          <w:sz w:val="32"/>
          <w:szCs w:val="32"/>
        </w:rPr>
        <w:t>三是</w:t>
      </w:r>
      <w:r>
        <w:rPr>
          <w:rFonts w:eastAsia="方正仿宋_GBK"/>
          <w:bCs/>
          <w:color w:val="000000"/>
          <w:sz w:val="32"/>
          <w:szCs w:val="32"/>
        </w:rPr>
        <w:t>开展中小学教学常规专项督导，“两年一周期”覆盖全区13个学区，促进中小学校教学常规工作更加规范。</w:t>
      </w:r>
      <w:r>
        <w:rPr>
          <w:rFonts w:eastAsia="方正仿宋_GBK"/>
          <w:b/>
          <w:color w:val="000000"/>
          <w:sz w:val="32"/>
          <w:szCs w:val="32"/>
        </w:rPr>
        <w:t>四是</w:t>
      </w:r>
      <w:r>
        <w:rPr>
          <w:rFonts w:eastAsia="方正仿宋_GBK"/>
          <w:bCs/>
          <w:color w:val="000000"/>
          <w:sz w:val="32"/>
          <w:szCs w:val="32"/>
        </w:rPr>
        <w:t>按时完成市教委要求组织实施的其他专项督导。</w:t>
      </w:r>
    </w:p>
    <w:p>
      <w:pPr>
        <w:spacing w:line="560" w:lineRule="exact"/>
        <w:ind w:firstLineChars="200" w:firstLine="640"/>
        <w:rPr>
          <w:rFonts w:eastAsia="方正仿宋_GBK"/>
          <w:color w:val="000000"/>
          <w:sz w:val="32"/>
          <w:szCs w:val="32"/>
        </w:rPr>
      </w:pPr>
      <w:r>
        <w:rPr>
          <w:rFonts w:eastAsia="方正楷体_GBK"/>
          <w:b/>
          <w:color w:val="000000"/>
          <w:sz w:val="32"/>
          <w:szCs w:val="32"/>
        </w:rPr>
        <w:t>8.强化督导责任区建设。</w:t>
      </w:r>
      <w:r>
        <w:rPr>
          <w:rFonts w:eastAsia="方正仿宋_GBK"/>
          <w:b/>
          <w:color w:val="000000"/>
          <w:sz w:val="32"/>
          <w:szCs w:val="32"/>
        </w:rPr>
        <w:t>一是</w:t>
      </w:r>
      <w:r>
        <w:rPr>
          <w:rFonts w:eastAsia="方正仿宋_GBK"/>
          <w:color w:val="000000"/>
          <w:sz w:val="32"/>
          <w:szCs w:val="32"/>
        </w:rPr>
        <w:t>适应学区管理改革，调整优化教育督导责任区，用好管好学区督导专干</w:t>
      </w:r>
      <w:r>
        <w:rPr>
          <w:rFonts w:eastAsia="方正仿宋_GBK" w:hint="eastAsia"/>
          <w:color w:val="000000"/>
          <w:sz w:val="32"/>
          <w:szCs w:val="32"/>
        </w:rPr>
        <w:t>。</w:t>
      </w:r>
      <w:r>
        <w:rPr>
          <w:rFonts w:eastAsia="方正仿宋_GBK"/>
          <w:b/>
          <w:color w:val="000000"/>
          <w:sz w:val="32"/>
          <w:szCs w:val="32"/>
        </w:rPr>
        <w:t>二是</w:t>
      </w:r>
      <w:r>
        <w:rPr>
          <w:rFonts w:eastAsia="方正仿宋_GBK"/>
          <w:color w:val="000000"/>
          <w:sz w:val="32"/>
          <w:szCs w:val="32"/>
        </w:rPr>
        <w:t>结合兼职责任督学任职情况，按照相对独立、交叉督导的原则，调整责任督学挂牌学校</w:t>
      </w:r>
      <w:r>
        <w:rPr>
          <w:rFonts w:eastAsia="方正仿宋_GBK" w:hint="eastAsia"/>
          <w:color w:val="000000"/>
          <w:sz w:val="32"/>
          <w:szCs w:val="32"/>
        </w:rPr>
        <w:t>。</w:t>
      </w:r>
      <w:r>
        <w:rPr>
          <w:rFonts w:eastAsia="方正仿宋_GBK"/>
          <w:b/>
          <w:color w:val="000000"/>
          <w:sz w:val="32"/>
          <w:szCs w:val="32"/>
        </w:rPr>
        <w:t>三是</w:t>
      </w:r>
      <w:r>
        <w:rPr>
          <w:rFonts w:eastAsia="方正仿宋_GBK"/>
          <w:color w:val="000000"/>
          <w:sz w:val="32"/>
          <w:szCs w:val="32"/>
        </w:rPr>
        <w:t>制定《中小学幼儿园责任督学挂牌督导实施细则》，加强对责任督学的管理考核，督促责任督学扎实开展督导工作，充分发挥责任督学对一线教育教学工作的监督、指导、服务作用。</w:t>
      </w:r>
      <w:r>
        <w:rPr>
          <w:rFonts w:eastAsia="方正仿宋_GBK"/>
          <w:b/>
          <w:color w:val="000000"/>
          <w:sz w:val="32"/>
          <w:szCs w:val="32"/>
        </w:rPr>
        <w:t>四是</w:t>
      </w:r>
      <w:r>
        <w:rPr>
          <w:rFonts w:eastAsia="方正仿宋_GBK"/>
          <w:color w:val="000000"/>
          <w:sz w:val="32"/>
          <w:szCs w:val="32"/>
        </w:rPr>
        <w:t>加强督导队伍人才培养，通过培训、跟岗等方式储备一批综合素质高的后备督学队伍。</w:t>
      </w:r>
    </w:p>
    <w:p>
      <w:pPr>
        <w:spacing w:line="560" w:lineRule="exact"/>
        <w:ind w:firstLineChars="200" w:firstLine="640"/>
        <w:rPr>
          <w:rFonts w:eastAsia="方正仿宋_GBK"/>
          <w:color w:val="000000"/>
          <w:sz w:val="32"/>
          <w:szCs w:val="32"/>
        </w:rPr>
      </w:pPr>
      <w:r>
        <w:rPr>
          <w:rFonts w:eastAsia="方正楷体_GBK"/>
          <w:b/>
          <w:color w:val="000000"/>
          <w:sz w:val="32"/>
          <w:szCs w:val="32"/>
        </w:rPr>
        <w:t>9.强化督导结果运用。</w:t>
      </w:r>
      <w:r>
        <w:rPr>
          <w:rFonts w:eastAsia="方正仿宋_GBK"/>
          <w:color w:val="000000"/>
          <w:sz w:val="32"/>
          <w:szCs w:val="32"/>
        </w:rPr>
        <w:t>建立完善督导整改工作机制，对在专项督导、质量监测、教育满意度问卷调查等工作中发现严重问题的单位，由区政府教育督导室下发督导整改通知书，督促学校开展问题整改落实情况，并将整改情况纳入年度综合目标督导考核。</w:t>
      </w:r>
    </w:p>
    <w:p>
      <w:pPr>
        <w:spacing w:line="560" w:lineRule="exact"/>
        <w:ind w:firstLineChars="200" w:firstLine="640"/>
        <w:rPr>
          <w:rFonts w:eastAsia="方正黑体_GBK"/>
          <w:color w:val="000000"/>
          <w:sz w:val="32"/>
          <w:szCs w:val="32"/>
        </w:rPr>
      </w:pPr>
      <w:r>
        <w:rPr>
          <w:rFonts w:eastAsia="方正黑体_GBK"/>
          <w:color w:val="000000"/>
          <w:sz w:val="32"/>
          <w:szCs w:val="32"/>
        </w:rPr>
        <w:t>四、规范实施监测评估</w:t>
      </w:r>
    </w:p>
    <w:p>
      <w:pPr>
        <w:spacing w:line="560" w:lineRule="exact"/>
        <w:ind w:firstLineChars="200" w:firstLine="640"/>
        <w:rPr>
          <w:rFonts w:eastAsia="方正仿宋_GBK"/>
          <w:color w:val="000000"/>
          <w:sz w:val="32"/>
          <w:szCs w:val="32"/>
        </w:rPr>
      </w:pPr>
      <w:r>
        <w:rPr>
          <w:rFonts w:eastAsia="方正楷体_GBK"/>
          <w:b/>
          <w:color w:val="000000"/>
          <w:sz w:val="32"/>
          <w:szCs w:val="32"/>
        </w:rPr>
        <w:t>10.开展义务教育质量监测。</w:t>
      </w:r>
      <w:r>
        <w:rPr>
          <w:rFonts w:eastAsia="方正仿宋_GBK"/>
          <w:b/>
          <w:color w:val="000000"/>
          <w:sz w:val="32"/>
          <w:szCs w:val="32"/>
        </w:rPr>
        <w:t>一是</w:t>
      </w:r>
      <w:r>
        <w:rPr>
          <w:rFonts w:eastAsia="方正仿宋_GBK"/>
          <w:bCs/>
          <w:color w:val="000000"/>
          <w:sz w:val="32"/>
          <w:szCs w:val="32"/>
        </w:rPr>
        <w:t>认真组织样本学校参加2024年国家义务教育质量监测和重庆市义务教育质量监测。</w:t>
      </w:r>
      <w:r>
        <w:rPr>
          <w:rFonts w:eastAsia="方正仿宋_GBK"/>
          <w:b/>
          <w:color w:val="000000"/>
          <w:sz w:val="32"/>
          <w:szCs w:val="32"/>
        </w:rPr>
        <w:t>二是</w:t>
      </w:r>
      <w:r>
        <w:rPr>
          <w:rFonts w:eastAsia="方正仿宋_GBK"/>
          <w:color w:val="000000"/>
          <w:sz w:val="32"/>
          <w:szCs w:val="32"/>
        </w:rPr>
        <w:t>规范开展2024年春秋期小学四年级和六年级教育质量监测。不断优化教育质量监测方案，以督促学校五育并举、大力实施素质教育为导向，监测内容覆盖课程标准内的所有学科，监测手段逐步实现信息化、现代化。</w:t>
      </w:r>
    </w:p>
    <w:p>
      <w:pPr>
        <w:spacing w:line="560" w:lineRule="exact"/>
        <w:ind w:firstLineChars="200" w:firstLine="640"/>
        <w:rPr>
          <w:rFonts w:eastAsia="方正仿宋_GBK"/>
          <w:color w:val="000000"/>
          <w:sz w:val="32"/>
          <w:szCs w:val="32"/>
        </w:rPr>
      </w:pPr>
      <w:r>
        <w:rPr>
          <w:rFonts w:eastAsia="方正楷体_GBK"/>
          <w:b/>
          <w:color w:val="000000"/>
          <w:sz w:val="32"/>
          <w:szCs w:val="32"/>
        </w:rPr>
        <w:t>11.开展幼儿园办园行为督导评估。</w:t>
      </w:r>
      <w:r>
        <w:rPr>
          <w:rFonts w:eastAsia="方正仿宋_GBK"/>
          <w:bCs/>
          <w:color w:val="000000"/>
          <w:sz w:val="32"/>
          <w:szCs w:val="32"/>
        </w:rPr>
        <w:t>按照市政府教育督导室要求，积极开展2024年幼儿园办园行为督导评估，同时关注2023年实地督评中评分较低的幼儿园，</w:t>
      </w:r>
      <w:r>
        <w:rPr>
          <w:rFonts w:eastAsia="方正仿宋_GBK"/>
          <w:color w:val="000000"/>
          <w:sz w:val="32"/>
          <w:szCs w:val="32"/>
        </w:rPr>
        <w:t>督查整改情况，从幼儿园管理和提升保教质量上给予认真指导</w:t>
      </w:r>
      <w:r>
        <w:rPr>
          <w:rFonts w:eastAsia="方正仿宋_GBK"/>
          <w:bCs/>
          <w:color w:val="000000"/>
          <w:sz w:val="32"/>
          <w:szCs w:val="32"/>
        </w:rPr>
        <w:t>，</w:t>
      </w:r>
      <w:r>
        <w:rPr>
          <w:rFonts w:eastAsia="方正仿宋_GBK"/>
          <w:color w:val="000000"/>
          <w:sz w:val="32"/>
          <w:szCs w:val="32"/>
        </w:rPr>
        <w:t>促进全区公民办幼儿园更加规范、均衡发展。</w:t>
      </w:r>
    </w:p>
    <w:p>
      <w:pPr>
        <w:spacing w:line="560" w:lineRule="exact"/>
        <w:ind w:firstLineChars="200" w:firstLine="640"/>
        <w:rPr>
          <w:rFonts w:eastAsia="方正仿宋_GBK"/>
          <w:color w:val="000000"/>
          <w:sz w:val="32"/>
          <w:szCs w:val="32"/>
        </w:rPr>
      </w:pPr>
      <w:r>
        <w:rPr>
          <w:rFonts w:eastAsia="方正楷体_GBK"/>
          <w:b/>
          <w:color w:val="000000"/>
          <w:sz w:val="32"/>
          <w:szCs w:val="32"/>
        </w:rPr>
        <w:t>12.开展义务教育质量评价。</w:t>
      </w:r>
      <w:r>
        <w:rPr>
          <w:rFonts w:eastAsia="方正仿宋_GBK"/>
          <w:color w:val="000000"/>
          <w:sz w:val="32"/>
          <w:szCs w:val="32"/>
        </w:rPr>
        <w:t>开展2024年县域义务教育质量评价自评工作，做好市级实地核查的迎检准备。推进义务教育学校办学质量评价和普通高中学校办学质量评价工作，形成一批典型案例。</w:t>
      </w:r>
    </w:p>
    <w:p>
      <w:pPr>
        <w:spacing w:line="560" w:lineRule="exact"/>
        <w:ind w:firstLineChars="200" w:firstLine="640"/>
        <w:rPr>
          <w:rFonts w:eastAsia="方正仿宋_GBK"/>
          <w:color w:val="000000"/>
          <w:sz w:val="32"/>
          <w:szCs w:val="32"/>
        </w:rPr>
      </w:pPr>
      <w:r>
        <w:rPr>
          <w:rFonts w:eastAsia="方正楷体_GBK"/>
          <w:b/>
          <w:color w:val="000000"/>
          <w:sz w:val="32"/>
          <w:szCs w:val="32"/>
        </w:rPr>
        <w:t>13.开展教育满意度监测。</w:t>
      </w:r>
      <w:r>
        <w:rPr>
          <w:rFonts w:eastAsia="方正仿宋_GBK"/>
          <w:color w:val="000000"/>
          <w:kern w:val="0"/>
          <w:sz w:val="32"/>
          <w:szCs w:val="32"/>
        </w:rPr>
        <w:t>年底，组织学生家长开展2024年全区中小学幼儿园教育满意度问卷调查，督促学校运用调查结果，切实加强整改，提升教育质量和服务水平。</w:t>
      </w:r>
    </w:p>
    <w:p>
      <w:pPr>
        <w:spacing w:line="560" w:lineRule="exact"/>
        <w:ind w:firstLineChars="200" w:firstLine="640"/>
        <w:rPr>
          <w:rFonts w:eastAsia="方正黑体_GBK"/>
          <w:color w:val="000000"/>
          <w:sz w:val="32"/>
          <w:szCs w:val="32"/>
        </w:rPr>
      </w:pPr>
      <w:r>
        <w:rPr>
          <w:rFonts w:eastAsia="方正黑体_GBK"/>
          <w:color w:val="000000"/>
          <w:sz w:val="32"/>
          <w:szCs w:val="32"/>
        </w:rPr>
        <w:t>五、强化基础能力建设</w:t>
      </w:r>
    </w:p>
    <w:p>
      <w:pPr>
        <w:spacing w:line="560" w:lineRule="exact"/>
        <w:ind w:firstLineChars="200" w:firstLine="640"/>
        <w:rPr>
          <w:rFonts w:eastAsia="方正仿宋_GBK"/>
          <w:color w:val="000000"/>
          <w:sz w:val="32"/>
          <w:szCs w:val="32"/>
        </w:rPr>
      </w:pPr>
      <w:r>
        <w:rPr>
          <w:rFonts w:eastAsia="方正楷体_GBK"/>
          <w:b/>
          <w:color w:val="000000"/>
          <w:sz w:val="32"/>
          <w:szCs w:val="32"/>
        </w:rPr>
        <w:t>14.加强教育督导队伍建设。</w:t>
      </w:r>
      <w:r>
        <w:rPr>
          <w:rFonts w:eastAsia="方正仿宋_GBK"/>
          <w:color w:val="000000"/>
          <w:sz w:val="32"/>
          <w:szCs w:val="32"/>
        </w:rPr>
        <w:t>合理有效使用督导经费，提升督导服务水平和服务质量。调整补充学校挂牌责任督学，加强对责任督学的管理培训，提高督导水平，建设一支数量充足、结构合理、业务精湛、廉洁高效、专兼结合的督学队伍。</w:t>
      </w:r>
    </w:p>
    <w:p>
      <w:pPr>
        <w:spacing w:line="560" w:lineRule="exact"/>
        <w:ind w:firstLineChars="200" w:firstLine="640"/>
        <w:rPr>
          <w:rFonts w:eastAsia="方正仿宋_GBK"/>
          <w:color w:val="000000"/>
          <w:sz w:val="32"/>
          <w:szCs w:val="32"/>
        </w:rPr>
      </w:pPr>
      <w:r>
        <w:rPr>
          <w:rFonts w:eastAsia="方正楷体_GBK"/>
          <w:b/>
          <w:color w:val="000000"/>
          <w:sz w:val="32"/>
          <w:szCs w:val="32"/>
        </w:rPr>
        <w:t>15.推进教育督导信息化工作。</w:t>
      </w:r>
      <w:r>
        <w:rPr>
          <w:rFonts w:eastAsia="方正仿宋_GBK" w:hint="eastAsia"/>
          <w:color w:val="000000"/>
          <w:sz w:val="32"/>
          <w:szCs w:val="32"/>
        </w:rPr>
        <w:t>启动中小学幼儿园</w:t>
      </w:r>
      <w:r>
        <w:rPr>
          <w:rFonts w:eastAsia="方正仿宋_GBK"/>
          <w:color w:val="000000"/>
          <w:sz w:val="32"/>
          <w:szCs w:val="32"/>
        </w:rPr>
        <w:t>责任督学挂牌学校信息查询系统建设，便于责任督学及时掌握挂牌学校具体情况。进一步加强重庆市教育督导管理信息系统的使用推广，采取多层次、多规格、多形式的培训，提高责任督学的系统运用能力，做到应用尽用，持续提高督导工作效率及信息化水平，并依据督导管理系统数据对责任督学进行工作考评。加大学区管理中心、直属学校督导信息上报考核力度，办好《学校精细化管理简报》。</w:t>
      </w:r>
    </w:p>
    <w:p>
      <w:pPr>
        <w:spacing w:line="560" w:lineRule="exact"/>
        <w:ind w:firstLineChars="200" w:firstLine="640"/>
        <w:rPr>
          <w:rFonts w:eastAsia="方正仿宋_GBK"/>
          <w:color w:val="000000"/>
          <w:sz w:val="32"/>
          <w:szCs w:val="32"/>
        </w:rPr>
      </w:pPr>
      <w:r>
        <w:rPr>
          <w:rFonts w:eastAsia="方正楷体_GBK"/>
          <w:b/>
          <w:color w:val="000000"/>
          <w:sz w:val="32"/>
          <w:szCs w:val="32"/>
        </w:rPr>
        <w:t>16.提升教育督导研究水平。</w:t>
      </w:r>
      <w:r>
        <w:rPr>
          <w:rFonts w:eastAsia="方正仿宋_GBK"/>
          <w:color w:val="000000"/>
          <w:sz w:val="32"/>
          <w:szCs w:val="32"/>
        </w:rPr>
        <w:t>组织全区教育督导战线相关人员积极参加重庆市教育督导典型案例及研究论文评选，对获奖作品及其优秀做法在全区宣传推广。</w:t>
      </w:r>
    </w:p>
    <w:p>
      <w:pPr>
        <w:spacing w:line="600" w:lineRule="exact"/>
        <w:ind w:firstLineChars="200" w:firstLine="640"/>
        <w:rPr>
          <w:rFonts w:eastAsia="方正仿宋_GBK"/>
          <w:color w:val="000000"/>
          <w:sz w:val="32"/>
          <w:szCs w:val="32"/>
        </w:rPr>
      </w:pPr>
    </w:p>
    <w:p>
      <w:pPr>
        <w:pStyle w:val="15"/>
      </w:pPr>
      <w:bookmarkStart w:id="0" w:name="_GoBack"/>
      <w:bookmarkEnd w:id="0"/>
    </w:p>
    <w:p>
      <w:pPr>
        <w:pStyle w:val="15"/>
      </w:pPr>
    </w:p>
    <w:p>
      <w:pPr>
        <w:pBdr>
          <w:top w:val="single" w:sz="4" w:space="1" w:color="auto"/>
          <w:bottom w:val="single" w:sz="4" w:space="1" w:color="auto"/>
        </w:pBdr>
        <w:spacing w:line="600" w:lineRule="exact"/>
        <w:ind w:left="0"/>
        <w:rPr>
          <w:color w:val="000000"/>
        </w:rPr>
      </w:pPr>
      <w:r>
        <w:rPr>
          <w:rFonts w:eastAsia="方正仿宋_GBK"/>
          <w:color w:val="000000"/>
          <w:kern w:val="0"/>
          <w:sz w:val="28"/>
          <w:szCs w:val="28"/>
        </w:rPr>
        <w:t>重庆市涪陵区教委办公室                    2024年4月</w:t>
      </w:r>
      <w:r>
        <w:rPr>
          <w:rFonts w:eastAsia="方正仿宋_GBK" w:hint="eastAsia"/>
          <w:color w:val="000000"/>
          <w:kern w:val="0"/>
          <w:sz w:val="28"/>
          <w:szCs w:val="28"/>
          <w:lang w:val="en-US" w:eastAsia="zh-CN"/>
        </w:rPr>
        <w:t>23</w:t>
      </w:r>
      <w:r>
        <w:rPr>
          <w:rFonts w:eastAsia="方正仿宋_GBK"/>
          <w:color w:val="000000"/>
          <w:kern w:val="0"/>
          <w:sz w:val="28"/>
          <w:szCs w:val="28"/>
        </w:rPr>
        <w:t>日印发</w:t>
      </w:r>
    </w:p>
    <w:sectPr>
      <w:headerReference w:type="default" r:id="rId2"/>
      <w:footerReference w:type="default" r:id="rId3"/>
      <w:footerReference w:type="even" r:id="rId4"/>
      <w:pgSz w:w="11906" w:h="16838"/>
      <w:pgMar w:top="2098" w:right="1531" w:bottom="1985" w:left="1531" w:header="851" w:footer="1418" w:gutter="0"/>
      <w:pgNumType w:fmt="numberInDash"/>
      <w:docGrid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方正小标宋_GBK">
    <w:panose1 w:val="03000509000000000000"/>
    <w:charset w:val="86"/>
    <w:family w:val="script"/>
    <w:pitch w:val="variable"/>
    <w:sig w:usb0="00000001" w:usb1="080E0000" w:usb2="00000000" w:usb3="00000000" w:csb0="00040000" w:csb1="00000000"/>
  </w:font>
  <w:font w:name="华文中宋">
    <w:panose1 w:val="02010600040101010101"/>
    <w:charset w:val="86"/>
    <w:family w:val="auto"/>
    <w:pitch w:val="variable"/>
    <w:sig w:usb0="00000287" w:usb1="080F0000" w:usb2="00000000" w:usb3="00000000" w:csb0="0004009F" w:csb1="DFD70000"/>
  </w:font>
  <w:font w:name="方正仿宋_GBK">
    <w:panose1 w:val="03000509000000000000"/>
    <w:charset w:val="86"/>
    <w:family w:val="script"/>
    <w:pitch w:val="variable"/>
    <w:sig w:usb0="00000001" w:usb1="080E0000" w:usb2="00000000" w:usb3="00000000" w:csb0="00040000" w:csb1="00000000"/>
  </w:font>
  <w:font w:name="仿宋_GB2312">
    <w:altName w:val="仿宋"/>
    <w:panose1 w:val="00000000000000000000"/>
    <w:charset w:val="86"/>
    <w:family w:val="modern"/>
    <w:pitch w:val="variable"/>
    <w:sig w:usb0="00000000" w:usb1="00000000" w:usb2="00000010" w:usb3="00000000" w:csb0="00040000" w:csb1="00000000"/>
  </w:font>
  <w:font w:name="方正小标宋简体">
    <w:altName w:val="Arial Unicode MS"/>
    <w:panose1 w:val="00000000000000000000"/>
    <w:charset w:val="86"/>
    <w:family w:val="script"/>
    <w:pitch w:val="variable"/>
    <w:sig w:usb0="00000000" w:usb1="00000000" w:usb2="00000010" w:usb3="00000000" w:csb0="00040000" w:csb1="00000000"/>
  </w:font>
  <w:font w:name="方正黑体_GBK">
    <w:panose1 w:val="03000509000000000000"/>
    <w:charset w:val="86"/>
    <w:family w:val="script"/>
    <w:pitch w:val="variable"/>
    <w:sig w:usb0="00000001" w:usb1="080E0000" w:usb2="00000000" w:usb3="00000000" w:csb0="00040000" w:csb1="00000000"/>
  </w:font>
  <w:font w:name="方正楷体_GBK">
    <w:panose1 w:val="03000509000000000000"/>
    <w:charset w:val="86"/>
    <w:family w:val="script"/>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仿宋">
    <w:panose1 w:val="02010609060101010101"/>
    <w:charset w:val="86"/>
    <w:family w:val="modern"/>
    <w:pitch w:val="variable"/>
    <w:sig w:usb0="800002BF" w:usb1="38CF7CFA" w:usb2="00000016" w:usb3="00000000" w:csb0="00040001" w:csb1="00000000"/>
  </w:font>
  <w:font w:name="等线">
    <w:altName w:val="Arial Unicode MS"/>
    <w:panose1 w:val="00000000000000000000"/>
    <w:charset w:val="86"/>
    <w:family w:val="auto"/>
    <w:pitch w:val="variable"/>
    <w:sig w:usb0="00000000" w:usb1="00000000" w:usb2="00000016" w:usb3="00000000" w:csb0="0004000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framePr w:w="0" w:hRule="auto" w:wrap="around" w:vAnchor="text" w:hAnchor="margin" w:xAlign="outside" w:y="1" w:anchorLock="0"/>
      <w:tabs>
        <w:tab w:val="center" w:pos="4153"/>
        <w:tab w:val="right" w:pos="8306"/>
      </w:tabs>
      <w:rPr>
        <w:rStyle w:val="20"/>
        <w:rFonts w:ascii="宋体"/>
        <w:sz w:val="28"/>
        <w:szCs w:val="28"/>
      </w:rPr>
    </w:pPr>
    <w:r>
      <w:rPr>
        <w:rStyle w:val="20"/>
        <w:rFonts w:ascii="宋体"/>
        <w:sz w:val="28"/>
        <w:szCs w:val="28"/>
      </w:rPr>
      <w:fldChar w:fldCharType="begin"/>
    </w:r>
    <w:r>
      <w:rPr>
        <w:rStyle w:val="20"/>
        <w:rFonts w:ascii="宋体"/>
        <w:sz w:val="28"/>
        <w:szCs w:val="28"/>
      </w:rPr>
      <w:instrText xml:space="preserve">PAGE  </w:instrText>
    </w:r>
    <w:r>
      <w:rPr>
        <w:rStyle w:val="20"/>
        <w:rFonts w:ascii="宋体"/>
        <w:sz w:val="28"/>
        <w:szCs w:val="28"/>
      </w:rPr>
      <w:fldChar w:fldCharType="separate"/>
    </w:r>
    <w:r>
      <w:rPr>
        <w:rStyle w:val="20"/>
        <w:rFonts w:ascii="宋体"/>
        <w:sz w:val="28"/>
        <w:szCs w:val="28"/>
      </w:rPr>
      <w:t>- 4 -</w:t>
    </w:r>
    <w:r>
      <w:rPr>
        <w:rStyle w:val="20"/>
        <w:rFonts w:ascii="宋体"/>
        <w:sz w:val="28"/>
        <w:szCs w:val="28"/>
      </w:rPr>
      <w:fldChar w:fldCharType="end"/>
    </w:r>
  </w:p>
  <w:p>
    <w:pPr>
      <w:pStyle w:val="17"/>
      <w:tabs>
        <w:tab w:val="center" w:pos="4153"/>
        <w:tab w:val="right" w:pos="8306"/>
      </w:tabs>
      <w:ind w:right="360" w:firstLine="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framePr w:w="0" w:hRule="auto" w:wrap="around" w:vAnchor="text" w:hAnchor="margin" w:xAlign="outside" w:y="1" w:anchorLock="0"/>
      <w:tabs>
        <w:tab w:val="center" w:pos="4153"/>
        <w:tab w:val="right" w:pos="8306"/>
      </w:tabs>
      <w:rPr>
        <w:rStyle w:val="20"/>
      </w:rPr>
    </w:pPr>
    <w:r>
      <w:rPr>
        <w:rStyle w:val="20"/>
      </w:rPr>
      <w:fldChar w:fldCharType="begin"/>
    </w:r>
    <w:r>
      <w:rPr>
        <w:rStyle w:val="20"/>
      </w:rPr>
      <w:instrText xml:space="preserve">PAGE  </w:instrText>
    </w:r>
    <w:r>
      <w:rPr>
        <w:rStyle w:val="20"/>
      </w:rPr>
      <w:fldChar w:fldCharType="separate"/>
    </w:r>
    <w:r>
      <w:rPr>
        <w:rStyle w:val="20"/>
      </w:rPr>
      <w:fldChar w:fldCharType="end"/>
    </w:r>
  </w:p>
  <w:p>
    <w:pPr>
      <w:pStyle w:val="17"/>
      <w:tabs>
        <w:tab w:val="center" w:pos="4153"/>
        <w:tab w:val="right" w:pos="8306"/>
      </w:tabs>
      <w:ind w:right="360" w:firstLine="360"/>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docVars>
    <w:docVars w:name="commondata" w:val="eyJoZGlkIjoiNDc1MTk0MzY5NzExZGFiZDg2ZGY0MjE0NjcxMWUyZmU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character" w:default="1" w:styleId="10">
    <w:name w:val="Default Paragraph Font"/>
  </w:style>
  <w:style w:type="paragraph" w:customStyle="1" w:styleId="15">
    <w:name w:val="Default"/>
    <w:autoRedefine/>
    <w:pPr>
      <w:widowControl w:val="0"/>
      <w:autoSpaceDE w:val="0"/>
      <w:autoSpaceDN w:val="0"/>
      <w:adjustRightInd w:val="0"/>
    </w:pPr>
    <w:rPr>
      <w:rFonts w:ascii="仿宋" w:eastAsia="仿宋" w:cs="仿宋"/>
      <w:color w:val="000000"/>
      <w:sz w:val="24"/>
      <w:szCs w:val="24"/>
      <w:lang w:val="en-US" w:eastAsia="zh-CN" w:bidi="ar-SA"/>
    </w:rPr>
  </w:style>
  <w:style w:type="paragraph" w:styleId="16">
    <w:name w:val="Body Text Indent 2"/>
    <w:basedOn w:val="0"/>
    <w:autoRedefine/>
    <w:pPr>
      <w:adjustRightInd w:val="0"/>
      <w:snapToGrid w:val="0"/>
      <w:spacing w:line="600" w:lineRule="exact"/>
      <w:ind w:firstLineChars="200" w:firstLine="200"/>
    </w:pPr>
    <w:rPr>
      <w:rFonts w:eastAsia="仿宋_GB2312"/>
      <w:color w:val="000000"/>
      <w:spacing w:val="-12"/>
      <w:sz w:val="32"/>
    </w:rPr>
  </w:style>
  <w:style w:type="paragraph" w:styleId="17">
    <w:name w:val="footer"/>
    <w:basedOn w:val="0"/>
    <w:autoRedefine/>
    <w:pPr>
      <w:tabs>
        <w:tab w:val="center" w:pos="4153"/>
        <w:tab w:val="right" w:pos="8306"/>
      </w:tabs>
      <w:snapToGrid w:val="0"/>
      <w:jc w:val="left"/>
    </w:pPr>
    <w:rPr>
      <w:sz w:val="18"/>
      <w:szCs w:val="18"/>
    </w:rPr>
  </w:style>
  <w:style w:type="paragraph" w:styleId="18">
    <w:name w:val="header"/>
    <w:basedOn w:val="0"/>
    <w:autoRedefine/>
    <w:pPr>
      <w:pBdr>
        <w:bottom w:val="single" w:sz="6" w:space="1" w:color="auto"/>
      </w:pBdr>
      <w:tabs>
        <w:tab w:val="center" w:pos="4153"/>
        <w:tab w:val="right" w:pos="8306"/>
      </w:tabs>
      <w:snapToGrid w:val="0"/>
      <w:jc w:val="center"/>
    </w:pPr>
    <w:rPr>
      <w:sz w:val="18"/>
      <w:szCs w:val="18"/>
    </w:rPr>
  </w:style>
  <w:style w:type="paragraph" w:styleId="19">
    <w:name w:val="Normal (Web)"/>
    <w:basedOn w:val="0"/>
    <w:autoRedefine/>
    <w:pPr>
      <w:spacing w:beforeAutospacing="1" w:afterAutospacing="1"/>
      <w:jc w:val="left"/>
    </w:pPr>
    <w:rPr>
      <w:rFonts w:ascii="等线" w:eastAsia="等线"/>
      <w:kern w:val="0"/>
      <w:sz w:val="24"/>
      <w:szCs w:val="22"/>
    </w:rPr>
  </w:style>
  <w:style w:type="character" w:styleId="20">
    <w:name w:val="page number"/>
    <w:basedOn w:val="10"/>
    <w:autoRedefine/>
  </w:style>
  <w:style w:type="character" w:styleId="21">
    <w:name w:val="Emphasis"/>
    <w:basedOn w:val="10"/>
    <w:autoRedefine/>
    <w:rPr>
      <w:i/>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styles" Target="styles.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74</TotalTime>
  <Application>Yozo_Office</Application>
  <Pages>6</Pages>
  <Words>2718</Words>
  <Characters>2786</Characters>
  <Lines>129</Lines>
  <Paragraphs>32</Paragraphs>
  <CharactersWithSpaces>2808</CharactersWithSpaces>
  <Company>CHINA</Company>
</Properties>
</file>

<file path=docProps/core.xml><?xml version="1.0" encoding="utf-8"?>
<cp:coreProperties xmlns:cp="http://schemas.openxmlformats.org/package/2006/metadata/core-properties" xmlns:dc="http://purl.org/dc/elements/1.1/" xmlns:dcterms="http://purl.org/dc/terms/" xmlns:xsi="http://www.w3.org/2001/XMLSchema-instance">
  <dc:creator>熊锐</dc:creator>
  <cp:lastModifiedBy>user</cp:lastModifiedBy>
  <cp:revision>14</cp:revision>
  <dcterms:created xsi:type="dcterms:W3CDTF">2024-04-01T03:08:00Z</dcterms:created>
  <dcterms:modified xsi:type="dcterms:W3CDTF">2024-04-23T02:03:00Z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2052-12.1.0.16729</vt:lpwstr>
  </property>
  <property fmtid="{D5CDD505-2E9C-101B-9397-08002B2CF9AE}" pid="3" name="ICV">
    <vt:lpwstr>D9EC860A96B5463FA168740F395C8086_12</vt:lpwstr>
  </property>
</Properties>
</file>