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89" w:beforeLines="50" w:line="1300" w:lineRule="exact"/>
        <w:ind w:left="61" w:leftChars="20"/>
        <w:jc w:val="center"/>
        <w:rPr>
          <w:rFonts w:hint="eastAsia" w:ascii="方正小标宋_GBK" w:eastAsia="方正小标宋_GBK"/>
          <w:b/>
          <w:color w:val="FF0000"/>
          <w:w w:val="55"/>
          <w:sz w:val="120"/>
          <w:szCs w:val="120"/>
        </w:rPr>
      </w:pPr>
      <w:r>
        <w:rPr>
          <w:rFonts w:hint="eastAsia" w:ascii="方正小标宋_GBK" w:eastAsia="方正小标宋_GBK"/>
          <w:b/>
          <w:bCs/>
          <w:color w:val="FF0000"/>
          <w:spacing w:val="20"/>
          <w:w w:val="80"/>
          <w:sz w:val="110"/>
          <w:szCs w:val="110"/>
        </w:rPr>
        <w:t>重庆市涪陵区林业局</w:t>
      </w:r>
    </w:p>
    <w:p>
      <w:pPr>
        <w:tabs>
          <w:tab w:val="left" w:pos="8690"/>
        </w:tabs>
        <w:spacing w:line="900" w:lineRule="exact"/>
        <w:jc w:val="right"/>
        <w:rPr>
          <w:rFonts w:hint="eastAsia" w:ascii="方正仿宋_GBK"/>
        </w:rPr>
      </w:pPr>
      <w:r>
        <w:rPr>
          <w:rFonts w:hint="eastAsia" w:ascii="方正仿宋_GBK"/>
        </w:rPr>
        <w:t>涪林业函〔2023〕228号</w:t>
      </w:r>
      <w:r>
        <w:rPr>
          <w:rFonts w:hint="eastAsia" w:ascii="方正小标宋_GBK" w:eastAsia="方正小标宋_GBK"/>
          <w:b/>
          <w:color w:val="FF0000"/>
          <w:szCs w:val="32"/>
          <w:lang/>
        </w:rPr>
        <mc:AlternateContent>
          <mc:Choice Requires="wps">
            <w:drawing>
              <wp:anchor distT="0" distB="0" distL="114300" distR="114300" simplePos="0" relativeHeight="251659264" behindDoc="0" locked="0" layoutInCell="1" allowOverlap="1">
                <wp:simplePos x="0" y="0"/>
                <wp:positionH relativeFrom="column">
                  <wp:posOffset>-283210</wp:posOffset>
                </wp:positionH>
                <wp:positionV relativeFrom="paragraph">
                  <wp:posOffset>43180</wp:posOffset>
                </wp:positionV>
                <wp:extent cx="6112510" cy="0"/>
                <wp:effectExtent l="0" t="28575" r="2540" b="28575"/>
                <wp:wrapNone/>
                <wp:docPr id="1" name="直线 2"/>
                <wp:cNvGraphicFramePr/>
                <a:graphic xmlns:a="http://schemas.openxmlformats.org/drawingml/2006/main">
                  <a:graphicData uri="http://schemas.microsoft.com/office/word/2010/wordprocessingShape">
                    <wps:wsp>
                      <wps:cNvSpPr/>
                      <wps:spPr>
                        <a:xfrm>
                          <a:off x="0" y="0"/>
                          <a:ext cx="611251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22.3pt;margin-top:3.4pt;height:0pt;width:481.3pt;z-index:251659264;mso-width-relative:page;mso-height-relative:page;" filled="f" stroked="t" coordsize="21600,21600" o:gfxdata="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JLAWL&#10;0wAAAAcBAAAPAAAAAAAAAAEAIAAAACIAAABkcnMvZG93bnJldi54bWxQSwECFAAUAAAACACHTuJA&#10;6Paw6u0BAADiAwAADgAAAAAAAAABACAAAAAiAQAAZHJzL2Uyb0RvYy54bWxQSwUGAAAAAAYABgBZ&#10;AQAAgQUAAAAA&#10;">
                <v:fill on="f" focussize="0,0"/>
                <v:stroke weight="4.5pt" color="#FF0000" linestyle="thickThin" joinstyle="round"/>
                <v:imagedata o:title=""/>
                <o:lock v:ext="edit" aspectratio="f"/>
              </v:line>
            </w:pict>
          </mc:Fallback>
        </mc:AlternateContent>
      </w:r>
    </w:p>
    <w:p>
      <w:pPr>
        <w:spacing w:line="600" w:lineRule="exact"/>
        <w:jc w:val="center"/>
        <w:rPr>
          <w:rFonts w:hint="eastAsia" w:ascii="方正小标宋_GBK" w:eastAsia="方正小标宋_GBK"/>
          <w:sz w:val="44"/>
          <w:szCs w:val="44"/>
        </w:rPr>
      </w:pPr>
    </w:p>
    <w:p>
      <w:pPr>
        <w:spacing w:line="460" w:lineRule="exact"/>
        <w:jc w:val="center"/>
        <w:rPr>
          <w:rFonts w:hint="eastAsia" w:ascii="方正小标宋_GBK" w:eastAsia="方正小标宋_GBK"/>
          <w:sz w:val="44"/>
          <w:szCs w:val="44"/>
        </w:rPr>
      </w:pPr>
    </w:p>
    <w:p>
      <w:pPr>
        <w:autoSpaceDN w:val="0"/>
        <w:spacing w:line="620" w:lineRule="exact"/>
        <w:jc w:val="center"/>
        <w:rPr>
          <w:rFonts w:hint="eastAsia" w:ascii="方正小标宋_GBK" w:eastAsia="方正小标宋_GBK"/>
          <w:sz w:val="44"/>
          <w:szCs w:val="44"/>
        </w:rPr>
      </w:pPr>
      <w:r>
        <w:rPr>
          <w:rFonts w:hint="eastAsia" w:ascii="方正小标宋_GBK" w:eastAsia="方正小标宋_GBK"/>
          <w:sz w:val="44"/>
          <w:szCs w:val="44"/>
        </w:rPr>
        <w:t>重庆市涪陵区林业局</w:t>
      </w:r>
    </w:p>
    <w:p>
      <w:pPr>
        <w:spacing w:line="600" w:lineRule="exact"/>
        <w:jc w:val="center"/>
        <w:rPr>
          <w:rFonts w:hint="eastAsia" w:eastAsia="方正小标宋_GBK"/>
          <w:sz w:val="44"/>
          <w:szCs w:val="44"/>
        </w:rPr>
      </w:pPr>
      <w:r>
        <w:rPr>
          <w:rFonts w:hint="eastAsia" w:eastAsia="方正小标宋_GBK"/>
          <w:sz w:val="44"/>
          <w:szCs w:val="44"/>
        </w:rPr>
        <w:t>关于同意荔枝街道鹅颈关村（大梁山）</w:t>
      </w:r>
    </w:p>
    <w:p>
      <w:pPr>
        <w:spacing w:line="600" w:lineRule="exact"/>
        <w:jc w:val="center"/>
        <w:rPr>
          <w:rFonts w:eastAsia="方正小标宋_GBK"/>
          <w:sz w:val="44"/>
          <w:szCs w:val="44"/>
        </w:rPr>
      </w:pPr>
      <w:r>
        <w:rPr>
          <w:rFonts w:hint="eastAsia" w:eastAsia="方正小标宋_GBK"/>
          <w:sz w:val="44"/>
          <w:szCs w:val="44"/>
        </w:rPr>
        <w:t>村道路使用林地</w:t>
      </w:r>
      <w:bookmarkStart w:id="0" w:name="_GoBack"/>
      <w:bookmarkEnd w:id="0"/>
      <w:r>
        <w:rPr>
          <w:rFonts w:hint="eastAsia" w:eastAsia="方正小标宋_GBK"/>
          <w:sz w:val="44"/>
          <w:szCs w:val="44"/>
        </w:rPr>
        <w:t>的函</w:t>
      </w:r>
    </w:p>
    <w:p>
      <w:pPr>
        <w:spacing w:line="440" w:lineRule="exact"/>
        <w:ind w:firstLine="616" w:firstLineChars="200"/>
        <w:rPr>
          <w:szCs w:val="32"/>
        </w:rPr>
      </w:pPr>
    </w:p>
    <w:p>
      <w:pPr>
        <w:spacing w:line="600" w:lineRule="exact"/>
        <w:rPr>
          <w:rFonts w:hint="eastAsia" w:ascii="方正仿宋_GBK" w:hAnsi="方正仿宋_GBK" w:cs="方正仿宋_GBK"/>
          <w:szCs w:val="32"/>
        </w:rPr>
      </w:pPr>
      <w:r>
        <w:rPr>
          <w:rFonts w:hint="eastAsia" w:ascii="方正仿宋_GBK" w:hAnsi="方正仿宋_GBK" w:cs="方正仿宋_GBK"/>
          <w:szCs w:val="32"/>
        </w:rPr>
        <w:t>荔枝街道鹅颈关村村民委员会：</w:t>
      </w:r>
    </w:p>
    <w:p>
      <w:pPr>
        <w:spacing w:line="600" w:lineRule="exact"/>
        <w:ind w:firstLine="616" w:firstLineChars="200"/>
        <w:rPr>
          <w:rFonts w:hint="eastAsia" w:ascii="方正仿宋_GBK" w:hAnsi="方正仿宋_GBK" w:cs="方正仿宋_GBK"/>
          <w:szCs w:val="32"/>
        </w:rPr>
      </w:pPr>
      <w:r>
        <w:rPr>
          <w:rFonts w:hint="eastAsia" w:ascii="方正仿宋_GBK" w:hAnsi="方正仿宋_GBK" w:cs="方正仿宋_GBK"/>
          <w:szCs w:val="32"/>
        </w:rPr>
        <w:t>你村提交的荔枝街道鹅颈关村（大梁山）村道路使用林地的申请已收悉。根据《森林法》及实施条例、《建设项目使用林地审核审批管理办法》、《重庆市林业局关于切实做好稳经济保民生涉林审批工作的通知》（渝林审〔2022〕14号）有关规定，经研究，现批复如下：</w:t>
      </w:r>
    </w:p>
    <w:p>
      <w:pPr>
        <w:spacing w:line="600" w:lineRule="exact"/>
        <w:ind w:firstLine="616" w:firstLineChars="200"/>
        <w:rPr>
          <w:rFonts w:hint="eastAsia" w:ascii="方正仿宋_GBK" w:hAnsi="方正仿宋_GBK" w:cs="方正仿宋_GBK"/>
          <w:szCs w:val="32"/>
        </w:rPr>
      </w:pPr>
      <w:r>
        <w:rPr>
          <w:rFonts w:hint="eastAsia" w:ascii="方正仿宋_GBK" w:hAnsi="方正仿宋_GBK" w:cs="方正仿宋_GBK"/>
          <w:szCs w:val="32"/>
        </w:rPr>
        <w:t>一、同意该项目使用我区荔枝街道鹅颈关村3社，崇义街道高山湾社区3社集体林地0.9356公顷。</w:t>
      </w:r>
    </w:p>
    <w:p>
      <w:pPr>
        <w:spacing w:line="600" w:lineRule="exact"/>
        <w:ind w:firstLine="616" w:firstLineChars="200"/>
        <w:rPr>
          <w:rFonts w:hint="eastAsia" w:ascii="方正仿宋_GBK" w:hAnsi="方正仿宋_GBK" w:cs="方正仿宋_GBK"/>
          <w:szCs w:val="32"/>
        </w:rPr>
      </w:pPr>
      <w:r>
        <w:rPr>
          <w:rFonts w:hint="eastAsia" w:ascii="方正仿宋_GBK" w:hAnsi="方正仿宋_GBK" w:cs="方正仿宋_GBK"/>
          <w:szCs w:val="32"/>
        </w:rPr>
        <w:t>二、用地单位需要采伐被占用林地上的林木，必须依法办理林木采伐手续。</w:t>
      </w:r>
    </w:p>
    <w:p>
      <w:pPr>
        <w:spacing w:line="500" w:lineRule="exact"/>
        <w:ind w:firstLine="616" w:firstLineChars="200"/>
        <w:rPr>
          <w:rFonts w:hint="eastAsia" w:ascii="方正仿宋_GBK" w:hAnsi="方正仿宋_GBK" w:cs="方正仿宋_GBK"/>
          <w:szCs w:val="32"/>
        </w:rPr>
      </w:pPr>
      <w:r>
        <w:rPr>
          <w:rFonts w:hint="eastAsia" w:ascii="方正仿宋_GBK" w:hAnsi="方正仿宋_GBK" w:cs="方正仿宋_GBK"/>
          <w:szCs w:val="32"/>
          <w:lang/>
        </w:rPr>
        <mc:AlternateContent>
          <mc:Choice Requires="wps">
            <w:drawing>
              <wp:anchor distT="0" distB="0" distL="114300" distR="114300" simplePos="0" relativeHeight="251660288" behindDoc="0" locked="0" layoutInCell="1" allowOverlap="1">
                <wp:simplePos x="0" y="0"/>
                <wp:positionH relativeFrom="column">
                  <wp:posOffset>-391160</wp:posOffset>
                </wp:positionH>
                <wp:positionV relativeFrom="paragraph">
                  <wp:posOffset>1256030</wp:posOffset>
                </wp:positionV>
                <wp:extent cx="6113780" cy="0"/>
                <wp:effectExtent l="0" t="28575" r="1270" b="28575"/>
                <wp:wrapNone/>
                <wp:docPr id="2" name="直线 11"/>
                <wp:cNvGraphicFramePr/>
                <a:graphic xmlns:a="http://schemas.openxmlformats.org/drawingml/2006/main">
                  <a:graphicData uri="http://schemas.microsoft.com/office/word/2010/wordprocessingShape">
                    <wps:wsp>
                      <wps:cNvSpPr/>
                      <wps:spPr>
                        <a:xfrm>
                          <a:off x="0" y="0"/>
                          <a:ext cx="611378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30.8pt;margin-top:98.9pt;height:0pt;width:481.4pt;z-index:251660288;mso-width-relative:page;mso-height-relative:page;" filled="f" stroked="t" coordsize="21600,21600" o:gfxdata="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9hQKTWAAAACwEAAA8AAAAAAAAAAQAgAAAAIgAAAGRycy9kb3ducmV2LnhtbFBLAQIUABQAAAAI&#10;AIdO4kDyB7U37wEAAOMDAAAOAAAAAAAAAAEAIAAAACUBAABkcnMvZTJvRG9jLnhtbFBLBQYAAAAA&#10;BgAGAFkBAACGBQAAAAA=&#10;">
                <v:fill on="f" focussize="0,0"/>
                <v:stroke weight="4.5pt" color="#FF0000" linestyle="thinThick" joinstyle="round"/>
                <v:imagedata o:title=""/>
                <o:lock v:ext="edit" aspectratio="f"/>
              </v:line>
            </w:pict>
          </mc:Fallback>
        </mc:AlternateContent>
      </w:r>
      <w:r>
        <w:rPr>
          <w:rFonts w:hint="eastAsia" w:ascii="方正仿宋_GBK" w:hAnsi="方正仿宋_GBK" w:cs="方正仿宋_GBK"/>
          <w:szCs w:val="32"/>
        </w:rPr>
        <w:t>三、在项目建设过程中，荔枝街道、崇义街道务必做好日常安全生产监管和生态保护工作，采取有效措施，加强施工管理，严禁超范围、批甲占乙等违法使用林地，杜绝非法采伐、破坏植被等行为，严防森林火灾，修路所产生砂石仅用于该道路建设，不得用于买卖。</w:t>
      </w:r>
    </w:p>
    <w:p>
      <w:pPr>
        <w:spacing w:line="500" w:lineRule="exact"/>
        <w:ind w:firstLine="616" w:firstLineChars="200"/>
        <w:rPr>
          <w:rFonts w:hint="eastAsia" w:ascii="方正仿宋_GBK" w:hAnsi="方正仿宋_GBK" w:cs="方正仿宋_GBK"/>
          <w:szCs w:val="32"/>
        </w:rPr>
      </w:pPr>
      <w:r>
        <w:rPr>
          <w:rFonts w:hint="eastAsia" w:ascii="方正仿宋_GBK" w:hAnsi="方正仿宋_GBK" w:cs="方正仿宋_GBK"/>
          <w:szCs w:val="32"/>
        </w:rPr>
        <w:t>四、荔枝街道及所</w:t>
      </w:r>
      <w:r>
        <w:rPr>
          <w:rFonts w:ascii="方正仿宋_GBK" w:hAnsi="方正仿宋_GBK" w:cs="方正仿宋_GBK"/>
          <w:szCs w:val="32"/>
        </w:rPr>
        <w:t>辖</w:t>
      </w:r>
      <w:r>
        <w:rPr>
          <w:rFonts w:hint="eastAsia" w:ascii="方正仿宋_GBK" w:hAnsi="方正仿宋_GBK" w:cs="方正仿宋_GBK"/>
          <w:szCs w:val="32"/>
        </w:rPr>
        <w:t>鹅颈关</w:t>
      </w:r>
      <w:r>
        <w:rPr>
          <w:rFonts w:ascii="方正仿宋_GBK" w:hAnsi="方正仿宋_GBK" w:cs="方正仿宋_GBK"/>
          <w:szCs w:val="32"/>
        </w:rPr>
        <w:t>村委</w:t>
      </w:r>
      <w:r>
        <w:rPr>
          <w:rFonts w:hint="eastAsia" w:ascii="方正仿宋_GBK" w:hAnsi="方正仿宋_GBK" w:cs="方正仿宋_GBK"/>
          <w:szCs w:val="32"/>
        </w:rPr>
        <w:t>，崇义街道</w:t>
      </w:r>
      <w:r>
        <w:rPr>
          <w:rFonts w:ascii="方正仿宋_GBK" w:hAnsi="方正仿宋_GBK" w:cs="方正仿宋_GBK"/>
          <w:szCs w:val="32"/>
        </w:rPr>
        <w:t>及</w:t>
      </w:r>
      <w:r>
        <w:rPr>
          <w:rFonts w:hint="eastAsia" w:ascii="方正仿宋_GBK" w:hAnsi="方正仿宋_GBK" w:cs="方正仿宋_GBK"/>
          <w:szCs w:val="32"/>
        </w:rPr>
        <w:t>所</w:t>
      </w:r>
      <w:r>
        <w:rPr>
          <w:rFonts w:ascii="方正仿宋_GBK" w:hAnsi="方正仿宋_GBK" w:cs="方正仿宋_GBK"/>
          <w:szCs w:val="32"/>
        </w:rPr>
        <w:t>辖</w:t>
      </w:r>
      <w:r>
        <w:rPr>
          <w:rFonts w:hint="eastAsia" w:ascii="方正仿宋_GBK" w:hAnsi="方正仿宋_GBK" w:cs="方正仿宋_GBK"/>
          <w:szCs w:val="32"/>
        </w:rPr>
        <w:t>高山湾社区居</w:t>
      </w:r>
      <w:r>
        <w:rPr>
          <w:rFonts w:ascii="方正仿宋_GBK" w:hAnsi="方正仿宋_GBK" w:cs="方正仿宋_GBK"/>
          <w:szCs w:val="32"/>
        </w:rPr>
        <w:t>委</w:t>
      </w:r>
      <w:r>
        <w:rPr>
          <w:rFonts w:hint="eastAsia" w:ascii="方正仿宋_GBK" w:hAnsi="方正仿宋_GBK" w:cs="方正仿宋_GBK"/>
          <w:szCs w:val="32"/>
        </w:rPr>
        <w:t>须</w:t>
      </w:r>
      <w:r>
        <w:rPr>
          <w:rFonts w:ascii="方正仿宋_GBK" w:hAnsi="方正仿宋_GBK" w:cs="方正仿宋_GBK"/>
          <w:szCs w:val="32"/>
        </w:rPr>
        <w:t>确保</w:t>
      </w:r>
      <w:r>
        <w:rPr>
          <w:rFonts w:hint="eastAsia" w:ascii="方正仿宋_GBK" w:hAnsi="方正仿宋_GBK" w:cs="方正仿宋_GBK"/>
          <w:szCs w:val="32"/>
        </w:rPr>
        <w:t>所辖</w:t>
      </w:r>
      <w:r>
        <w:rPr>
          <w:rFonts w:ascii="方正仿宋_GBK" w:hAnsi="方正仿宋_GBK" w:cs="方正仿宋_GBK"/>
          <w:szCs w:val="32"/>
        </w:rPr>
        <w:t>通组公路项目</w:t>
      </w:r>
      <w:r>
        <w:rPr>
          <w:rFonts w:hint="eastAsia" w:ascii="方正仿宋_GBK" w:hAnsi="方正仿宋_GBK" w:cs="方正仿宋_GBK"/>
          <w:szCs w:val="32"/>
        </w:rPr>
        <w:t>符合</w:t>
      </w:r>
      <w:r>
        <w:rPr>
          <w:rFonts w:ascii="方正仿宋_GBK" w:hAnsi="方正仿宋_GBK" w:cs="方正仿宋_GBK"/>
          <w:szCs w:val="32"/>
        </w:rPr>
        <w:t>相应道路规划设计规范和技术标准</w:t>
      </w:r>
      <w:r>
        <w:rPr>
          <w:rFonts w:hint="eastAsia" w:ascii="方正仿宋_GBK" w:hAnsi="方正仿宋_GBK" w:cs="方正仿宋_GBK"/>
          <w:szCs w:val="32"/>
        </w:rPr>
        <w:t>，严格按照项目主管交通部门许可内容及其行业规范、标准实施。</w:t>
      </w:r>
    </w:p>
    <w:p>
      <w:pPr>
        <w:spacing w:line="500" w:lineRule="exact"/>
        <w:ind w:firstLine="616" w:firstLineChars="200"/>
        <w:rPr>
          <w:rFonts w:hint="eastAsia" w:ascii="方正仿宋_GBK" w:hAnsi="方正仿宋_GBK" w:cs="方正仿宋_GBK"/>
          <w:szCs w:val="32"/>
        </w:rPr>
      </w:pPr>
      <w:r>
        <w:rPr>
          <w:rFonts w:hint="eastAsia" w:ascii="方正仿宋_GBK" w:hAnsi="方正仿宋_GBK" w:cs="方正仿宋_GBK"/>
          <w:szCs w:val="32"/>
        </w:rPr>
        <w:t>五、项目竣工后管理和使用的安全生产主体责任为荔枝街道鹅颈关村村民委员会，崇义街道高山湾社区居民委员会；监管责任为重庆市涪陵区人民政府荔枝街道办事处、崇义街道办事处。</w:t>
      </w:r>
    </w:p>
    <w:p>
      <w:pPr>
        <w:spacing w:line="600" w:lineRule="exact"/>
        <w:ind w:firstLine="616" w:firstLineChars="200"/>
        <w:rPr>
          <w:rFonts w:hint="eastAsia" w:ascii="方正仿宋_GBK" w:hAnsi="方正仿宋_GBK" w:cs="方正仿宋_GBK"/>
          <w:szCs w:val="32"/>
        </w:rPr>
      </w:pPr>
    </w:p>
    <w:p>
      <w:pPr>
        <w:autoSpaceDN w:val="0"/>
        <w:spacing w:line="620" w:lineRule="exact"/>
        <w:jc w:val="center"/>
        <w:rPr>
          <w:rFonts w:hint="eastAsia" w:ascii="方正仿宋_GBK"/>
          <w:szCs w:val="32"/>
        </w:rPr>
      </w:pPr>
    </w:p>
    <w:p>
      <w:pPr>
        <w:autoSpaceDE w:val="0"/>
        <w:autoSpaceDN w:val="0"/>
        <w:snapToGrid w:val="0"/>
        <w:spacing w:line="620" w:lineRule="exact"/>
        <w:ind w:firstLine="4901" w:firstLineChars="1591"/>
        <w:rPr>
          <w:rFonts w:hint="eastAsia" w:ascii="方正仿宋_GBK" w:cs="宋体"/>
          <w:szCs w:val="32"/>
        </w:rPr>
      </w:pPr>
      <w:r>
        <w:rPr>
          <w:rFonts w:hint="eastAsia" w:ascii="方正仿宋_GBK" w:cs="宋体"/>
          <w:szCs w:val="32"/>
        </w:rPr>
        <w:t xml:space="preserve">  重庆市涪陵区林业局</w:t>
      </w:r>
    </w:p>
    <w:p>
      <w:pPr>
        <w:autoSpaceDN w:val="0"/>
        <w:spacing w:line="620" w:lineRule="exact"/>
        <w:rPr>
          <w:rFonts w:hint="eastAsia" w:ascii="方正仿宋_GBK"/>
          <w:szCs w:val="32"/>
        </w:rPr>
      </w:pPr>
      <w:r>
        <w:rPr>
          <w:rFonts w:hint="eastAsia" w:ascii="方正仿宋_GBK"/>
          <w:szCs w:val="32"/>
        </w:rPr>
        <w:t xml:space="preserve">                                    2023年7月19日</w:t>
      </w: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spacing w:line="560" w:lineRule="exact"/>
        <w:rPr>
          <w:rFonts w:hint="eastAsia" w:ascii="方正仿宋_GBK"/>
          <w:szCs w:val="32"/>
        </w:rPr>
      </w:pPr>
      <w:r>
        <w:rPr>
          <w:rFonts w:hint="eastAsia" w:ascii="方正仿宋_GBK"/>
          <w:color w:val="000000"/>
          <w:sz w:val="28"/>
          <w:szCs w:val="28"/>
        </w:rPr>
        <w:t xml:space="preserve">  抄送：荔枝街道办事处、崇义街道办事处，区林业综合行政执法支队</w:t>
      </w:r>
      <w:r>
        <w:rPr>
          <w:rFonts w:hint="eastAsia" w:ascii="方正仿宋_GBK"/>
          <w:color w:val="000000"/>
          <w:sz w:val="30"/>
          <w:szCs w:val="30"/>
        </w:rPr>
        <w:t>。</w:t>
      </w:r>
    </w:p>
    <w:sectPr>
      <w:headerReference r:id="rId3" w:type="default"/>
      <w:footerReference r:id="rId4" w:type="default"/>
      <w:footerReference r:id="rId5" w:type="even"/>
      <w:pgSz w:w="11907" w:h="16840"/>
      <w:pgMar w:top="1588" w:right="1701" w:bottom="1474" w:left="1588" w:header="851" w:footer="1701" w:gutter="0"/>
      <w:pgNumType w:fmt="numberInDash" w:start="1"/>
      <w:cols w:space="720" w:num="1"/>
      <w:titlePg/>
      <w:docGrid w:type="linesAndChars" w:linePitch="579" w:charSpace="-25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hint="eastAsia" w:ascii="宋体" w:eastAsia="宋体"/>
        <w:sz w:val="28"/>
        <w:szCs w:val="28"/>
      </w:rPr>
    </w:pPr>
    <w:r>
      <w:rPr>
        <w:rStyle w:val="9"/>
        <w:rFonts w:hint="eastAsia" w:ascii="宋体" w:eastAsia="宋体"/>
        <w:sz w:val="28"/>
        <w:szCs w:val="28"/>
      </w:rPr>
      <w:fldChar w:fldCharType="begin"/>
    </w:r>
    <w:r>
      <w:rPr>
        <w:rStyle w:val="9"/>
        <w:rFonts w:hint="eastAsia" w:ascii="宋体" w:eastAsia="宋体"/>
        <w:sz w:val="28"/>
        <w:szCs w:val="28"/>
      </w:rPr>
      <w:instrText xml:space="preserve">PAGE  </w:instrText>
    </w:r>
    <w:r>
      <w:rPr>
        <w:rStyle w:val="9"/>
        <w:rFonts w:hint="eastAsia" w:ascii="宋体" w:eastAsia="宋体"/>
        <w:sz w:val="28"/>
        <w:szCs w:val="28"/>
      </w:rPr>
      <w:fldChar w:fldCharType="separate"/>
    </w:r>
    <w:r>
      <w:rPr>
        <w:rStyle w:val="9"/>
        <w:rFonts w:ascii="宋体" w:eastAsia="宋体"/>
        <w:sz w:val="28"/>
        <w:szCs w:val="28"/>
        <w:lang/>
      </w:rPr>
      <w:t>- 2 -</w:t>
    </w:r>
    <w:r>
      <w:rPr>
        <w:rStyle w:val="9"/>
        <w:rFonts w:hint="eastAsia" w:ascii="宋体" w:eastAsia="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t xml:space="preserve"> </w:t>
    </w:r>
    <w:r>
      <w:rPr>
        <w:rStyle w:val="9"/>
      </w:rP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4"/>
  <w:drawingGridVerticalSpacing w:val="579"/>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4C3"/>
    <w:rsid w:val="00063B0B"/>
    <w:rsid w:val="00083D42"/>
    <w:rsid w:val="00093CDE"/>
    <w:rsid w:val="00095190"/>
    <w:rsid w:val="000A23C4"/>
    <w:rsid w:val="00114496"/>
    <w:rsid w:val="00122D4E"/>
    <w:rsid w:val="001368F1"/>
    <w:rsid w:val="00141532"/>
    <w:rsid w:val="00155333"/>
    <w:rsid w:val="001F3357"/>
    <w:rsid w:val="002073C6"/>
    <w:rsid w:val="00226158"/>
    <w:rsid w:val="002610CD"/>
    <w:rsid w:val="003D70B7"/>
    <w:rsid w:val="00463C4B"/>
    <w:rsid w:val="00484234"/>
    <w:rsid w:val="00497A65"/>
    <w:rsid w:val="005A3DFA"/>
    <w:rsid w:val="006539F9"/>
    <w:rsid w:val="006933B4"/>
    <w:rsid w:val="006C7024"/>
    <w:rsid w:val="006E2A82"/>
    <w:rsid w:val="00715B81"/>
    <w:rsid w:val="0077116B"/>
    <w:rsid w:val="0081403E"/>
    <w:rsid w:val="00832FD5"/>
    <w:rsid w:val="00854E7D"/>
    <w:rsid w:val="0086389F"/>
    <w:rsid w:val="008C744B"/>
    <w:rsid w:val="008D1E62"/>
    <w:rsid w:val="009074ED"/>
    <w:rsid w:val="009530AF"/>
    <w:rsid w:val="009965E7"/>
    <w:rsid w:val="009B6EF3"/>
    <w:rsid w:val="009F7219"/>
    <w:rsid w:val="00A27449"/>
    <w:rsid w:val="00B000FE"/>
    <w:rsid w:val="00B02119"/>
    <w:rsid w:val="00B32236"/>
    <w:rsid w:val="00B72763"/>
    <w:rsid w:val="00B974EF"/>
    <w:rsid w:val="00BC103F"/>
    <w:rsid w:val="00C33462"/>
    <w:rsid w:val="00C52646"/>
    <w:rsid w:val="00D07235"/>
    <w:rsid w:val="00D22635"/>
    <w:rsid w:val="00D3456F"/>
    <w:rsid w:val="00D91920"/>
    <w:rsid w:val="00DF7FE1"/>
    <w:rsid w:val="00E63D67"/>
    <w:rsid w:val="00E84325"/>
    <w:rsid w:val="00E909FE"/>
    <w:rsid w:val="00EC56B9"/>
    <w:rsid w:val="00F002C3"/>
    <w:rsid w:val="00F22F4B"/>
    <w:rsid w:val="00F66FF9"/>
    <w:rsid w:val="00FC5226"/>
    <w:rsid w:val="00FD54D9"/>
    <w:rsid w:val="38AF79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32"/>
      <w:szCs w:val="24"/>
      <w:lang w:val="en-US" w:eastAsia="zh-CN" w:bidi="ar-SA"/>
    </w:rPr>
  </w:style>
  <w:style w:type="character" w:default="1" w:styleId="8">
    <w:name w:val="Default Paragraph Font"/>
    <w:uiPriority w:val="0"/>
  </w:style>
  <w:style w:type="table" w:default="1" w:styleId="7">
    <w:name w:val="Normal Table"/>
    <w:semiHidden/>
    <w:uiPriority w:val="0"/>
    <w:tblPr>
      <w:tblStyle w:val="7"/>
      <w:tblCellMar>
        <w:top w:w="0" w:type="dxa"/>
        <w:left w:w="108" w:type="dxa"/>
        <w:bottom w:w="0" w:type="dxa"/>
        <w:right w:w="108" w:type="dxa"/>
      </w:tblCellMar>
    </w:tblPr>
    <w:trPr>
      <w:wBefore w:w="0" w:type="dxa"/>
    </w:trPr>
  </w:style>
  <w:style w:type="paragraph" w:styleId="2">
    <w:name w:val="index 6"/>
    <w:basedOn w:val="1"/>
    <w:next w:val="1"/>
    <w:uiPriority w:val="0"/>
    <w:pPr>
      <w:ind w:left="2100"/>
    </w:pPr>
  </w:style>
  <w:style w:type="paragraph" w:styleId="3">
    <w:name w:val="Plain Text"/>
    <w:basedOn w:val="1"/>
    <w:uiPriority w:val="0"/>
    <w:rPr>
      <w:rFonts w:ascii="宋体" w:eastAsia="宋体" w:cs="Courier New"/>
      <w:sz w:val="21"/>
      <w:szCs w:val="21"/>
      <w:lang w:bidi="ar-SA"/>
    </w:rPr>
  </w:style>
  <w:style w:type="paragraph" w:styleId="4">
    <w:name w:val="Date"/>
    <w:basedOn w:val="1"/>
    <w:next w:val="1"/>
    <w:uiPriority w:val="0"/>
    <w:pPr>
      <w:ind w:left="2500" w:leftChars="2500"/>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FollowedHyperlink"/>
    <w:basedOn w:val="8"/>
    <w:uiPriority w:val="0"/>
    <w:rPr>
      <w:color w:val="800080"/>
      <w:u w:val="single"/>
    </w:rPr>
  </w:style>
  <w:style w:type="character" w:styleId="11">
    <w:name w:val="Hyperlink"/>
    <w:basedOn w:val="8"/>
    <w:uiPriority w:val="0"/>
    <w:rPr>
      <w:color w:val="0000FF"/>
      <w:u w:val="single"/>
    </w:rPr>
  </w:style>
  <w:style w:type="paragraph" w:customStyle="1" w:styleId="12">
    <w:name w:val="pa-5"/>
    <w:basedOn w:val="1"/>
    <w:uiPriority w:val="0"/>
    <w:pPr>
      <w:widowControl/>
      <w:spacing w:line="480" w:lineRule="atLeast"/>
      <w:jc w:val="center"/>
    </w:pPr>
    <w:rPr>
      <w:rFonts w:ascii="宋体" w:eastAsia="宋体" w:cs="宋体"/>
      <w:kern w:val="0"/>
      <w:sz w:val="24"/>
      <w:lang w:bidi="ar-SA"/>
    </w:rPr>
  </w:style>
  <w:style w:type="character" w:customStyle="1" w:styleId="13">
    <w:name w:val="ca-41"/>
    <w:uiPriority w:val="0"/>
    <w:rPr>
      <w:rFonts w:ascii="宋体" w:eastAsia="宋体"/>
      <w:b/>
      <w:bCs/>
      <w:spacing w:val="-20"/>
      <w:sz w:val="96"/>
      <w:szCs w:val="96"/>
    </w:rPr>
  </w:style>
  <w:style w:type="paragraph" w:customStyle="1" w:styleId="14">
    <w:name w:val=" Char Char Char1 Char Char Char Char Char Char Char Char Char Char"/>
    <w:basedOn w:val="1"/>
    <w:uiPriority w:val="0"/>
    <w:pPr>
      <w:adjustRightInd w:val="0"/>
      <w:snapToGrid w:val="0"/>
      <w:spacing w:line="360" w:lineRule="auto"/>
      <w:ind w:firstLine="200" w:firstLineChars="200"/>
    </w:pPr>
    <w:rPr>
      <w:rFonts w:ascii="宋体" w:eastAsia="宋体" w:cs="宋体"/>
      <w:sz w:val="24"/>
      <w:szCs w:val="26"/>
      <w:lang w:bidi="ar-SA"/>
    </w:rPr>
  </w:style>
  <w:style w:type="paragraph" w:customStyle="1" w:styleId="15">
    <w:name w:val="List Paragraph"/>
    <w:next w:val="5"/>
    <w:uiPriority w:val="0"/>
    <w:pPr>
      <w:widowControl w:val="0"/>
      <w:ind w:firstLine="200" w:firstLineChars="200"/>
      <w:jc w:val="both"/>
    </w:pPr>
    <w:rPr>
      <w:rFonts w:ascii="Calibri" w:hAnsi="Calibri" w:eastAsia="宋体"/>
      <w:kern w:val="2"/>
      <w:sz w:val="21"/>
      <w:szCs w:val="22"/>
      <w:lang w:val="en-US" w:eastAsia="zh-CN" w:bidi="ar-SA"/>
    </w:rPr>
  </w:style>
  <w:style w:type="paragraph" w:customStyle="1" w:styleId="16">
    <w:name w:val="正文 New"/>
    <w:next w:val="6"/>
    <w:uiPriority w:val="0"/>
    <w:pPr>
      <w:widowControl w:val="0"/>
      <w:jc w:val="both"/>
    </w:pPr>
    <w:rPr>
      <w:rFonts w:eastAsia="宋体"/>
      <w:kern w:val="2"/>
      <w:sz w:val="21"/>
      <w:szCs w:val="24"/>
      <w:lang w:val="en-US" w:eastAsia="zh-CN" w:bidi="ar-SA"/>
    </w:rPr>
  </w:style>
  <w:style w:type="paragraph" w:customStyle="1" w:styleId="17">
    <w:name w:val="w.正文"/>
    <w:next w:val="2"/>
    <w:uiPriority w:val="0"/>
    <w:pPr>
      <w:widowControl w:val="0"/>
      <w:spacing w:line="520" w:lineRule="atLeast"/>
      <w:ind w:firstLine="200" w:firstLineChars="200"/>
      <w:jc w:val="both"/>
    </w:pPr>
    <w:rPr>
      <w:rFonts w:eastAsia="宋体"/>
      <w:color w:val="000000"/>
      <w:sz w:val="2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2</Pages>
  <Words>590</Words>
  <Characters>608</Characters>
  <Lines>4</Lines>
  <Paragraphs>1</Paragraphs>
  <TotalTime>0</TotalTime>
  <ScaleCrop>false</ScaleCrop>
  <LinksUpToDate>false</LinksUpToDate>
  <CharactersWithSpaces>648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2023-07-25T07:20:00Z</dcterms:created>
  <dc:creator>微软中国</dc:creator>
  <cp:lastModifiedBy>即将拥有人鱼线的小王</cp:lastModifiedBy>
  <cp:lastPrinted>2020-01-13T02:01:00Z</cp:lastPrinted>
  <dcterms:modified xsi:type="dcterms:W3CDTF">2023-08-01T07:46:32Z</dcterms:modified>
  <dc:title>涪林文〔2010〕86号                        签发人：黎明文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4AC81B36B1E4473BA073E54CC7244C38_13</vt:lpwstr>
  </property>
</Properties>
</file>