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0" w:afterAutospacing="0" w:line="600" w:lineRule="exact"/>
        <w:jc w:val="center"/>
        <w:rPr>
          <w:rFonts w:hint="default" w:ascii="方正小标宋_GBK" w:eastAsia="方正小标宋_GBK"/>
          <w:b/>
          <w:sz w:val="44"/>
          <w:szCs w:val="44"/>
        </w:rPr>
      </w:pPr>
      <w:r>
        <w:rPr>
          <w:rStyle w:val="10"/>
          <w:rFonts w:ascii="方正小标宋_GBK" w:eastAsia="方正小标宋_GBK"/>
          <w:b w:val="0"/>
          <w:sz w:val="44"/>
          <w:szCs w:val="44"/>
        </w:rPr>
        <w:t>重庆市涪陵区林业局</w:t>
      </w:r>
    </w:p>
    <w:p>
      <w:pPr>
        <w:pStyle w:val="6"/>
        <w:shd w:val="clear" w:color="auto" w:fill="FFFFFF"/>
        <w:spacing w:before="0" w:beforeAutospacing="0" w:after="0" w:afterAutospacing="0" w:line="600" w:lineRule="exact"/>
        <w:jc w:val="center"/>
        <w:rPr>
          <w:rStyle w:val="10"/>
          <w:rFonts w:hint="default" w:ascii="方正小标宋_GBK" w:eastAsia="方正小标宋_GBK"/>
          <w:b w:val="0"/>
          <w:sz w:val="44"/>
          <w:szCs w:val="44"/>
        </w:rPr>
      </w:pPr>
      <w:r>
        <w:rPr>
          <w:rStyle w:val="10"/>
          <w:rFonts w:ascii="方正小标宋_GBK" w:eastAsia="方正小标宋_GBK"/>
          <w:b w:val="0"/>
          <w:sz w:val="44"/>
          <w:szCs w:val="44"/>
        </w:rPr>
        <w:t>2023年度部门决算情况说明</w:t>
      </w:r>
    </w:p>
    <w:p>
      <w:pPr>
        <w:pStyle w:val="6"/>
        <w:shd w:val="clear" w:color="auto" w:fill="FFFFFF"/>
        <w:spacing w:before="0" w:beforeAutospacing="0" w:after="0" w:afterAutospacing="0" w:line="600" w:lineRule="exact"/>
        <w:ind w:firstLine="640" w:firstLineChars="200"/>
        <w:rPr>
          <w:rFonts w:hint="default" w:ascii="方正黑体_GBK" w:eastAsia="方正黑体_GBK"/>
          <w:b/>
          <w:sz w:val="32"/>
          <w:szCs w:val="32"/>
        </w:rPr>
      </w:pPr>
      <w:r>
        <w:rPr>
          <w:rStyle w:val="10"/>
          <w:rFonts w:ascii="方正黑体_GBK" w:eastAsia="方正黑体_GBK"/>
          <w:b w:val="0"/>
          <w:sz w:val="32"/>
          <w:szCs w:val="32"/>
        </w:rPr>
        <w:t>一、部门基本情况</w:t>
      </w:r>
    </w:p>
    <w:p>
      <w:pPr>
        <w:pStyle w:val="6"/>
        <w:shd w:val="clear" w:color="auto" w:fill="FFFFFF"/>
        <w:spacing w:before="0" w:beforeAutospacing="0" w:after="0" w:afterAutospacing="0" w:line="600" w:lineRule="exact"/>
        <w:ind w:firstLine="640" w:firstLineChars="200"/>
        <w:rPr>
          <w:rStyle w:val="10"/>
          <w:rFonts w:hint="default" w:ascii="方正楷体_GBK" w:eastAsia="方正楷体_GBK"/>
        </w:rPr>
      </w:pPr>
      <w:r>
        <w:rPr>
          <w:rStyle w:val="10"/>
          <w:rFonts w:ascii="方正楷体_GBK" w:eastAsia="方正楷体_GBK"/>
          <w:b w:val="0"/>
          <w:sz w:val="32"/>
          <w:szCs w:val="32"/>
        </w:rPr>
        <w:t>（一）职能职责</w:t>
      </w:r>
    </w:p>
    <w:p>
      <w:pPr>
        <w:pStyle w:val="6"/>
        <w:shd w:val="clear" w:color="auto" w:fill="FFFFFF"/>
        <w:spacing w:before="0" w:beforeAutospacing="0" w:after="0" w:afterAutospacing="0" w:line="600" w:lineRule="exact"/>
        <w:ind w:right="226" w:rightChars="94" w:firstLine="640" w:firstLineChars="200"/>
        <w:jc w:val="both"/>
        <w:rPr>
          <w:rFonts w:hint="default" w:ascii="方正仿宋_GBK" w:hAnsi="Helvetica" w:eastAsia="方正仿宋_GBK" w:cs="Helvetica"/>
          <w:color w:val="000000"/>
        </w:rPr>
      </w:pPr>
      <w:r>
        <w:rPr>
          <w:rFonts w:ascii="方正仿宋_GBK" w:hAnsi="Helvetica" w:eastAsia="方正仿宋_GBK" w:cs="Helvetica"/>
          <w:color w:val="000000"/>
          <w:sz w:val="32"/>
          <w:szCs w:val="32"/>
          <w:shd w:val="clear" w:color="auto" w:fill="FFFFFF"/>
        </w:rPr>
        <w:t>负责林业和草原及其生态保护修复的监督管理；牵头组织实施林业和草原等生态保护修复和造林绿化工作；负责森林、草原和湿地资源的监督管理；负责监督管理石漠化防治工作；负责陆生野生动植物资源的监督管理；负责监督管理各类自然保护地；负责推进林业和草原改革发展工作；拟订林业和草原资源优化配置及木材利用办法；指导国有林场基本建设和发展，组织林木种子、草种种质资源普查，组织建立种质资源库，负责良种选育推广，管理林木种子种苗、草种生产经营行为，监管林木种子种苗、草种质量；负责林业和草原领域的相关行政执法工作，指导乡镇（街道）林业和草原领域相关行政执法工作；负责落实综合防灾减灾规划相关要求，组织编制森林、草原火灾防治规划和防护标准并指导实施，指导开展防火巡护、火源管理、防火设施建设等工作；监督管理林业、草原及其生态保护区级以上资金和国有资产；负责林业和草原科技、教育工作，指导全区林业人才队伍建设；</w:t>
      </w:r>
      <w:r>
        <w:rPr>
          <w:rFonts w:ascii="方正仿宋_GBK" w:hAnsi="Helvetica" w:eastAsia="方正仿宋_GBK" w:cs="Helvetica"/>
          <w:color w:val="000000"/>
          <w:sz w:val="32"/>
          <w:szCs w:val="32"/>
        </w:rPr>
        <w:t>组织指导国有林场开展宣传教育、监测预警、督促检查防火防虫等工作；</w:t>
      </w:r>
      <w:r>
        <w:rPr>
          <w:rFonts w:ascii="方正仿宋_GBK" w:hAnsi="Helvetica" w:eastAsia="方正仿宋_GBK" w:cs="Helvetica"/>
          <w:color w:val="000000"/>
          <w:sz w:val="32"/>
          <w:szCs w:val="32"/>
          <w:shd w:val="clear" w:color="auto" w:fill="FFFFFF"/>
        </w:rPr>
        <w:t>完成区委、区政府交办的其他任务。</w:t>
      </w:r>
    </w:p>
    <w:p>
      <w:pPr>
        <w:pStyle w:val="6"/>
        <w:shd w:val="clear" w:color="auto" w:fill="FFFFFF"/>
        <w:spacing w:before="0" w:beforeAutospacing="0" w:after="0" w:afterAutospacing="0" w:line="600" w:lineRule="exact"/>
        <w:ind w:firstLine="640" w:firstLineChars="200"/>
        <w:rPr>
          <w:rFonts w:hint="default" w:ascii="方正楷体_GBK" w:eastAsia="方正楷体_GBK" w:cs="宋体"/>
          <w:b/>
          <w:sz w:val="32"/>
          <w:szCs w:val="32"/>
        </w:rPr>
      </w:pPr>
      <w:r>
        <w:rPr>
          <w:rStyle w:val="10"/>
          <w:rFonts w:ascii="方正楷体_GBK" w:eastAsia="方正楷体_GBK"/>
          <w:b w:val="0"/>
          <w:sz w:val="32"/>
          <w:szCs w:val="32"/>
        </w:rPr>
        <w:t>（二）机构设置</w:t>
      </w:r>
    </w:p>
    <w:p>
      <w:pPr>
        <w:pStyle w:val="6"/>
        <w:shd w:val="clear" w:color="auto" w:fill="FFFFFF"/>
        <w:spacing w:before="0" w:beforeAutospacing="0" w:after="0" w:afterAutospacing="0" w:line="600" w:lineRule="exact"/>
        <w:ind w:firstLine="640" w:firstLineChars="200"/>
        <w:rPr>
          <w:rFonts w:hint="default" w:ascii="方正仿宋_GBK" w:hAnsi="Helvetica" w:eastAsia="方正仿宋_GBK" w:cs="Helvetica"/>
          <w:color w:val="000000"/>
          <w:sz w:val="32"/>
          <w:szCs w:val="32"/>
          <w:shd w:val="clear" w:color="auto" w:fill="FFFFFF"/>
        </w:rPr>
      </w:pPr>
      <w:r>
        <w:rPr>
          <w:rFonts w:ascii="方正仿宋_GBK" w:hAnsi="Helvetica" w:eastAsia="方正仿宋_GBK" w:cs="Helvetica"/>
          <w:color w:val="000000"/>
          <w:sz w:val="32"/>
          <w:szCs w:val="32"/>
          <w:shd w:val="clear" w:color="auto" w:fill="FFFFFF"/>
        </w:rPr>
        <w:t>区林业局机关内设7个科室，即办公室、组织人事科、生态修复科（区绿化委员会办公室）、资源管理科、自然保护地与野生动植物保护科、行政审批科和森林火灾预防与安全生产科。</w:t>
      </w:r>
    </w:p>
    <w:p>
      <w:pPr>
        <w:pStyle w:val="6"/>
        <w:shd w:val="clear" w:color="auto" w:fill="FFFFFF"/>
        <w:spacing w:before="0" w:beforeAutospacing="0" w:after="0" w:afterAutospacing="0" w:line="600" w:lineRule="exact"/>
        <w:ind w:firstLine="640" w:firstLineChars="200"/>
        <w:rPr>
          <w:rFonts w:hint="default" w:ascii="方正楷体_GBK" w:eastAsia="方正楷体_GBK"/>
          <w:b/>
          <w:sz w:val="32"/>
          <w:szCs w:val="32"/>
        </w:rPr>
      </w:pPr>
      <w:r>
        <w:rPr>
          <w:rStyle w:val="10"/>
          <w:rFonts w:ascii="方正楷体_GBK" w:eastAsia="方正楷体_GBK"/>
          <w:b w:val="0"/>
          <w:sz w:val="32"/>
          <w:szCs w:val="32"/>
        </w:rPr>
        <w:t>（三）单位构成</w:t>
      </w:r>
    </w:p>
    <w:p>
      <w:pPr>
        <w:pStyle w:val="6"/>
        <w:shd w:val="clear" w:color="auto" w:fill="FFFFFF"/>
        <w:spacing w:before="0" w:beforeAutospacing="0" w:after="0" w:afterAutospacing="0" w:line="600" w:lineRule="exact"/>
        <w:ind w:firstLine="640" w:firstLineChars="200"/>
        <w:jc w:val="both"/>
        <w:rPr>
          <w:rFonts w:hint="default" w:ascii="方正仿宋_GBK" w:eastAsia="方正仿宋_GBK"/>
          <w:sz w:val="32"/>
          <w:szCs w:val="32"/>
        </w:rPr>
      </w:pPr>
      <w:r>
        <w:rPr>
          <w:rFonts w:ascii="方正仿宋_GBK" w:eastAsia="方正仿宋_GBK"/>
          <w:sz w:val="32"/>
          <w:szCs w:val="32"/>
        </w:rPr>
        <w:t>从预算单位构成看，纳入本部门2023年度决算编制的二级预算单位共7个，即重庆市涪陵区林业局（本级）、重庆市涪陵区林业规划和资源监测中心、重庆市涪陵区林业发展服务中心、重庆市涪陵区林业综合行政执法支队、重庆市涪陵区林业有害生物监测防治中心、重庆市涪陵区大木山自然保护区服务中心、重庆市涪陵区永胜林场。</w:t>
      </w:r>
    </w:p>
    <w:p>
      <w:pPr>
        <w:pStyle w:val="6"/>
        <w:shd w:val="clear" w:color="auto" w:fill="FFFFFF"/>
        <w:spacing w:before="0" w:beforeAutospacing="0" w:after="0" w:afterAutospacing="0"/>
        <w:ind w:firstLine="314" w:firstLineChars="98"/>
        <w:rPr>
          <w:rFonts w:hint="default" w:ascii="黑体" w:hAnsi="黑体" w:eastAsia="黑体" w:cs="黑体"/>
          <w:b/>
          <w:sz w:val="32"/>
          <w:szCs w:val="32"/>
          <w:shd w:val="clear" w:color="auto" w:fill="FFFFFF"/>
        </w:rPr>
      </w:pPr>
      <w:r>
        <w:rPr>
          <w:rStyle w:val="10"/>
          <w:rFonts w:ascii="黑体" w:hAnsi="黑体" w:eastAsia="黑体" w:cs="黑体"/>
          <w:sz w:val="32"/>
          <w:szCs w:val="32"/>
          <w:shd w:val="clear" w:color="auto" w:fill="FFFFFF"/>
        </w:rPr>
        <w:t>二、部门决算情况说明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spacing w:before="0" w:beforeAutospacing="0" w:after="0" w:afterAutospacing="0"/>
        <w:ind w:firstLine="642"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2023年度收入总计22702.67万元（其中当年收入21206.03万元，年初结转结余1496.64万元），支出总计</w:t>
      </w:r>
      <w:r>
        <w:rPr>
          <w:rFonts w:ascii="方正仿宋_GBK" w:hAnsi="方正仿宋_GBK" w:eastAsia="方正仿宋_GBK" w:cs="方正仿宋_GBK"/>
          <w:sz w:val="32"/>
          <w:szCs w:val="32"/>
        </w:rPr>
        <w:t>22702.67</w:t>
      </w:r>
      <w:r>
        <w:rPr>
          <w:rFonts w:ascii="方正仿宋_GBK" w:hAnsi="方正仿宋_GBK" w:eastAsia="方正仿宋_GBK" w:cs="方正仿宋_GBK"/>
          <w:sz w:val="32"/>
          <w:szCs w:val="32"/>
          <w:shd w:val="clear" w:color="auto" w:fill="FFFFFF"/>
        </w:rPr>
        <w:t>万元（其中当年支出20799.73万元，年末结转结余1902.94万元）。收支较上年决算数增加2786.51万元，增长13.99%，主要原因是政府性基金财政预算拨款收入中三峡后续千里林带项目支出及社会保障就业支出增加。</w:t>
      </w:r>
    </w:p>
    <w:p>
      <w:pPr>
        <w:pStyle w:val="6"/>
        <w:shd w:val="clear" w:color="auto" w:fill="FFFFFF"/>
        <w:spacing w:before="0" w:beforeAutospacing="0" w:after="0" w:afterAutospacing="0"/>
        <w:ind w:firstLine="642"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2023年度收入合计21206.03万元，较上年决算数增加3225.90万元，增长17.94%，主要原因是本年度加大林业项目投资力度，市级植被恢复费返还额度增加，森林资源培育有关项目支出增加。其中：财政拨款收入</w:t>
      </w:r>
      <w:r>
        <w:rPr>
          <w:rFonts w:ascii="方正仿宋_GBK" w:hAnsi="方正仿宋_GBK" w:eastAsia="方正仿宋_GBK" w:cs="方正仿宋_GBK"/>
          <w:sz w:val="32"/>
          <w:szCs w:val="32"/>
        </w:rPr>
        <w:t>19670.39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92.76</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1535.64</w:t>
      </w:r>
      <w:r>
        <w:rPr>
          <w:rFonts w:ascii="方正仿宋_GBK" w:hAnsi="方正仿宋_GBK" w:eastAsia="方正仿宋_GBK" w:cs="方正仿宋_GBK"/>
          <w:sz w:val="32"/>
          <w:szCs w:val="32"/>
          <w:shd w:val="clear" w:color="auto" w:fill="FFFFFF"/>
        </w:rPr>
        <w:t>万元，占7.24%。此外，使用非财政拨款结余和专用结余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1496.64</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20799.73</w:t>
      </w:r>
      <w:r>
        <w:rPr>
          <w:rFonts w:ascii="方正仿宋_GBK" w:hAnsi="方正仿宋_GBK" w:eastAsia="方正仿宋_GBK" w:cs="方正仿宋_GBK"/>
          <w:sz w:val="32"/>
          <w:szCs w:val="32"/>
          <w:shd w:val="clear" w:color="auto" w:fill="FFFFFF"/>
        </w:rPr>
        <w:t>万元，较上年决算数增加2465.21万元，增长13.45%，主要原因是本年度加大林业项目投资力度，加快项目实施验收工作，抓紧开展项目资金兑付，多举措提升国土绿化及山水林田湖草沙项目等重点林业项目的支付进度。其中：基本支出</w:t>
      </w:r>
      <w:r>
        <w:rPr>
          <w:rFonts w:ascii="方正仿宋_GBK" w:hAnsi="方正仿宋_GBK" w:eastAsia="方正仿宋_GBK" w:cs="方正仿宋_GBK"/>
          <w:sz w:val="32"/>
          <w:szCs w:val="32"/>
        </w:rPr>
        <w:t>4624.20</w:t>
      </w:r>
      <w:r>
        <w:rPr>
          <w:rFonts w:ascii="方正仿宋_GBK" w:hAnsi="方正仿宋_GBK" w:eastAsia="方正仿宋_GBK" w:cs="方正仿宋_GBK"/>
          <w:sz w:val="32"/>
          <w:szCs w:val="32"/>
          <w:shd w:val="clear" w:color="auto" w:fill="FFFFFF"/>
        </w:rPr>
        <w:t>万元，占22.23%；项目支出</w:t>
      </w:r>
      <w:r>
        <w:rPr>
          <w:rFonts w:ascii="方正仿宋_GBK" w:hAnsi="方正仿宋_GBK" w:eastAsia="方正仿宋_GBK" w:cs="方正仿宋_GBK"/>
          <w:sz w:val="32"/>
          <w:szCs w:val="32"/>
        </w:rPr>
        <w:t>16175.52</w:t>
      </w:r>
      <w:r>
        <w:rPr>
          <w:rFonts w:ascii="方正仿宋_GBK" w:hAnsi="方正仿宋_GBK" w:eastAsia="方正仿宋_GBK" w:cs="方正仿宋_GBK"/>
          <w:sz w:val="32"/>
          <w:szCs w:val="32"/>
          <w:shd w:val="clear" w:color="auto" w:fill="FFFFFF"/>
        </w:rPr>
        <w:t>万元，占77.77%；经营支出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1902.94</w:t>
      </w:r>
      <w:r>
        <w:rPr>
          <w:rFonts w:ascii="方正仿宋_GBK" w:hAnsi="方正仿宋_GBK" w:eastAsia="方正仿宋_GBK" w:cs="方正仿宋_GBK"/>
          <w:sz w:val="32"/>
          <w:szCs w:val="32"/>
          <w:shd w:val="clear" w:color="auto" w:fill="FFFFFF"/>
        </w:rPr>
        <w:t>万元，较上年决算数增加321.30万元，增长20.31%，主要原因是城市面山森林防灭火能力提升项目款因到位时间在年末关账时，未能在当年实现支付。</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2023年度财政拨款收、支总计20005.64万元。与2022年相比，财政拨款收、支总计各增加1879.78万元，增长10.37%。主要原因是政府性基金财政预算拨款收入中三峡后续千里林带项目支出增加。</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17644.65</w:t>
      </w:r>
      <w:r>
        <w:rPr>
          <w:rFonts w:ascii="方正仿宋_GBK" w:hAnsi="方正仿宋_GBK" w:eastAsia="方正仿宋_GBK" w:cs="方正仿宋_GBK"/>
          <w:sz w:val="32"/>
          <w:szCs w:val="32"/>
          <w:shd w:val="clear" w:color="auto" w:fill="FFFFFF"/>
        </w:rPr>
        <w:t>万元，较上年决算数增加1145.86万元，增长6.95%。主要原因是政府性基金中三峡后续千里林带项目财政预算拨款收入增加。较年初预算数增加3775.80万元，增长27.23%。主要原因是为加大林业项目投入力度，年中追加中央及市级林业改革发展资金用于国土绿化、林业有害生物防治、退耕还林项目。此外，年初财政拨款结转和结余</w:t>
      </w:r>
      <w:r>
        <w:rPr>
          <w:rFonts w:ascii="方正仿宋_GBK" w:hAnsi="方正仿宋_GBK" w:eastAsia="方正仿宋_GBK" w:cs="方正仿宋_GBK"/>
          <w:sz w:val="32"/>
          <w:szCs w:val="32"/>
        </w:rPr>
        <w:t>335.25</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17870.51</w:t>
      </w:r>
      <w:r>
        <w:rPr>
          <w:rFonts w:ascii="方正仿宋_GBK" w:hAnsi="方正仿宋_GBK" w:eastAsia="方正仿宋_GBK" w:cs="方正仿宋_GBK"/>
          <w:sz w:val="32"/>
          <w:szCs w:val="32"/>
          <w:shd w:val="clear" w:color="auto" w:fill="FFFFFF"/>
        </w:rPr>
        <w:t>万元，较上年决算数增加274.30万元，增长1.56%。主要原因是自然资源利用与保护（山水林田湖草沙项目）支出增加。较年初预算数增加4001.66万元，增长28.85%。主要原因是为加大林业项目投入力度，年中追加中央及市级林业改革发展资金用于国土绿化、林业有害生物防治、退耕还林项目。</w:t>
      </w:r>
    </w:p>
    <w:p>
      <w:pPr>
        <w:pStyle w:val="6"/>
        <w:snapToGrid w:val="0"/>
        <w:spacing w:before="0" w:beforeAutospacing="0" w:after="0" w:afterAutospacing="0" w:line="600" w:lineRule="exact"/>
        <w:ind w:firstLine="642"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109.39</w:t>
      </w:r>
      <w:r>
        <w:rPr>
          <w:rFonts w:ascii="方正仿宋_GBK" w:hAnsi="方正仿宋_GBK" w:eastAsia="方正仿宋_GBK" w:cs="方正仿宋_GBK"/>
          <w:sz w:val="32"/>
          <w:szCs w:val="32"/>
          <w:shd w:val="clear" w:color="auto" w:fill="FFFFFF"/>
        </w:rPr>
        <w:t>万元，较上年决算数减少310.86万元，下降73.97%，主要原因是为加快发挥财政资金效益，本年度加快林业防灾减灾-森林防火松材线虫防治，森林生态效益管护费等项目支出力度。</w:t>
      </w:r>
    </w:p>
    <w:p>
      <w:pPr>
        <w:pStyle w:val="6"/>
        <w:snapToGrid w:val="0"/>
        <w:spacing w:before="0" w:beforeAutospacing="0" w:after="0" w:afterAutospacing="0" w:line="600" w:lineRule="exact"/>
        <w:ind w:firstLine="472" w:firstLineChars="147"/>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（1）社会保障与就业支出</w:t>
      </w:r>
      <w:r>
        <w:rPr>
          <w:rFonts w:ascii="方正仿宋_GBK" w:hAnsi="方正仿宋_GBK" w:eastAsia="方正仿宋_GBK" w:cs="方正仿宋_GBK"/>
          <w:sz w:val="32"/>
          <w:szCs w:val="32"/>
        </w:rPr>
        <w:t>1166.36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6.53</w:t>
      </w:r>
      <w:r>
        <w:rPr>
          <w:rFonts w:ascii="方正仿宋_GBK" w:hAnsi="方正仿宋_GBK" w:eastAsia="方正仿宋_GBK" w:cs="方正仿宋_GBK"/>
          <w:sz w:val="32"/>
          <w:szCs w:val="32"/>
          <w:shd w:val="clear" w:color="auto" w:fill="FFFFFF"/>
        </w:rPr>
        <w:t>%，较年初预算数增加615.56万元，增长111.76%，</w:t>
      </w:r>
      <w:r>
        <w:rPr>
          <w:rFonts w:ascii="方正仿宋_GBK" w:eastAsia="方正仿宋_GBK"/>
          <w:sz w:val="32"/>
          <w:szCs w:val="32"/>
        </w:rPr>
        <w:t xml:space="preserve"> 主要原因是年中追加一次性中人退休补贴、死亡抚恤金、退休人员健康休养费。</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（2）卫生健康支出</w:t>
      </w:r>
      <w:r>
        <w:rPr>
          <w:rFonts w:ascii="方正仿宋_GBK" w:hAnsi="方正仿宋_GBK" w:eastAsia="方正仿宋_GBK" w:cs="方正仿宋_GBK"/>
          <w:sz w:val="32"/>
          <w:szCs w:val="32"/>
        </w:rPr>
        <w:t>191.33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1.07</w:t>
      </w:r>
      <w:r>
        <w:rPr>
          <w:rFonts w:ascii="方正仿宋_GBK" w:hAnsi="方正仿宋_GBK" w:eastAsia="方正仿宋_GBK" w:cs="方正仿宋_GBK"/>
          <w:sz w:val="32"/>
          <w:szCs w:val="32"/>
          <w:shd w:val="clear" w:color="auto" w:fill="FFFFFF"/>
        </w:rPr>
        <w:t>%，较年初预算数减少37.80万元，下降16.50%，</w:t>
      </w:r>
      <w:r>
        <w:rPr>
          <w:rFonts w:ascii="方正仿宋_GBK" w:eastAsia="方正仿宋_GBK"/>
          <w:sz w:val="32"/>
          <w:szCs w:val="32"/>
        </w:rPr>
        <w:t>主要原因是人员退休，职工医疗保险缴费减少。</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（3）节能环保支出</w:t>
      </w:r>
      <w:r>
        <w:rPr>
          <w:rFonts w:ascii="方正仿宋_GBK" w:hAnsi="方正仿宋_GBK" w:eastAsia="方正仿宋_GBK" w:cs="方正仿宋_GBK"/>
          <w:sz w:val="32"/>
          <w:szCs w:val="32"/>
        </w:rPr>
        <w:t>469.96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2.63</w:t>
      </w:r>
      <w:r>
        <w:rPr>
          <w:rFonts w:ascii="方正仿宋_GBK" w:hAnsi="方正仿宋_GBK" w:eastAsia="方正仿宋_GBK" w:cs="方正仿宋_GBK"/>
          <w:sz w:val="32"/>
          <w:szCs w:val="32"/>
          <w:shd w:val="clear" w:color="auto" w:fill="FFFFFF"/>
        </w:rPr>
        <w:t>%，较年初预算数增加224.96万元，增长91.82%，主要原因是年中追加天然林保护补助及森林保护修复支出。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（4）农林水支出</w:t>
      </w:r>
      <w:r>
        <w:rPr>
          <w:rFonts w:ascii="方正仿宋_GBK" w:hAnsi="方正仿宋_GBK" w:eastAsia="方正仿宋_GBK" w:cs="方正仿宋_GBK"/>
          <w:sz w:val="32"/>
          <w:szCs w:val="32"/>
        </w:rPr>
        <w:t>12358.17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69.15</w:t>
      </w:r>
      <w:r>
        <w:rPr>
          <w:rFonts w:ascii="方正仿宋_GBK" w:hAnsi="方正仿宋_GBK" w:eastAsia="方正仿宋_GBK" w:cs="方正仿宋_GBK"/>
          <w:sz w:val="32"/>
          <w:szCs w:val="32"/>
          <w:shd w:val="clear" w:color="auto" w:fill="FFFFFF"/>
        </w:rPr>
        <w:t>%，较年初预算数减少280.40万元，下降2.22%，主要原因是人员退休导致的在职人员基本工资、津贴补贴、绩效工资等支出减少，林业项目因行业特殊性，新造林项目需验收后予以兑付，在当年不能完成全部资金兑付。</w:t>
      </w:r>
    </w:p>
    <w:p>
      <w:pPr>
        <w:pStyle w:val="6"/>
        <w:shd w:val="clear" w:color="auto" w:fill="FFFFFF"/>
        <w:spacing w:before="0" w:beforeAutospacing="0" w:after="0" w:afterAutospacing="0"/>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自然资源海洋气象等支出3517.20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19.68</w:t>
      </w:r>
      <w:r>
        <w:rPr>
          <w:rFonts w:ascii="方正仿宋_GBK" w:hAnsi="方正仿宋_GBK" w:eastAsia="方正仿宋_GBK" w:cs="方正仿宋_GBK"/>
          <w:sz w:val="32"/>
          <w:szCs w:val="32"/>
          <w:shd w:val="clear" w:color="auto" w:fill="FFFFFF"/>
        </w:rPr>
        <w:t>%，较年初预算数增加3517.20万元，增长100.00%，主要原因是年初未对山水林田湖草沙项目进行预算，年中追加2023年</w:t>
      </w:r>
      <w:r>
        <w:rPr>
          <w:rFonts w:ascii="方正仿宋_GBK" w:eastAsia="方正仿宋_GBK"/>
          <w:sz w:val="32"/>
          <w:szCs w:val="32"/>
        </w:rPr>
        <w:t>山水林田湖草沙项目资金</w:t>
      </w:r>
      <w:r>
        <w:rPr>
          <w:rFonts w:ascii="方正仿宋_GBK" w:hAnsi="方正仿宋_GBK" w:eastAsia="方正仿宋_GBK" w:cs="方正仿宋_GBK"/>
          <w:sz w:val="32"/>
          <w:szCs w:val="32"/>
          <w:shd w:val="clear" w:color="auto" w:fill="FFFFFF"/>
        </w:rPr>
        <w:t>。</w:t>
      </w:r>
    </w:p>
    <w:p>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w:t>
      </w:r>
      <w:r>
        <w:rPr>
          <w:rFonts w:ascii="方正仿宋_GBK" w:hAnsi="方正仿宋_GBK" w:eastAsia="方正仿宋_GBK" w:cs="方正仿宋_GBK"/>
          <w:sz w:val="32"/>
          <w:szCs w:val="32"/>
        </w:rPr>
        <w:t>住房保障支出167.50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0.94</w:t>
      </w:r>
      <w:r>
        <w:rPr>
          <w:rFonts w:ascii="方正仿宋_GBK" w:hAnsi="方正仿宋_GBK" w:eastAsia="方正仿宋_GBK" w:cs="方正仿宋_GBK"/>
          <w:sz w:val="32"/>
          <w:szCs w:val="32"/>
          <w:shd w:val="clear" w:color="auto" w:fill="FFFFFF"/>
        </w:rPr>
        <w:t>%，较年初预算数减少37.86万元，下降18.44%，主要原因一是人员退休导致的住房保障支出减少，二是公务员津补贴清算，对公积金指标进行了调减。</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shd w:val="clear" w:color="auto" w:fill="FFFFFF"/>
        <w:spacing w:before="0" w:beforeAutospacing="0" w:after="0" w:afterAutospacing="0" w:line="600" w:lineRule="exact"/>
        <w:ind w:firstLine="320" w:firstLineChars="100"/>
        <w:jc w:val="both"/>
        <w:rPr>
          <w:rFonts w:hint="default" w:ascii="方正仿宋_GBK" w:eastAsia="方正仿宋_GBK"/>
          <w:color w:val="FF0000"/>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4624.13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4215.68</w:t>
      </w:r>
      <w:r>
        <w:rPr>
          <w:rFonts w:ascii="方正仿宋_GBK" w:hAnsi="方正仿宋_GBK" w:eastAsia="方正仿宋_GBK" w:cs="方正仿宋_GBK"/>
          <w:sz w:val="32"/>
          <w:szCs w:val="32"/>
          <w:shd w:val="clear" w:color="auto" w:fill="FFFFFF"/>
        </w:rPr>
        <w:t>万元，较上年决算数增加202.99万元，增长5.06%，主要原因是在职人员养老保险、职业年金、住房公积金及工资调增。人员经费用途主要包括</w:t>
      </w:r>
      <w:r>
        <w:rPr>
          <w:rFonts w:ascii="方正仿宋_GBK" w:hAnsi="Helvetica" w:eastAsia="方正仿宋_GBK" w:cs="Helvetica"/>
          <w:color w:val="000000"/>
          <w:sz w:val="32"/>
          <w:szCs w:val="32"/>
          <w:shd w:val="clear" w:color="auto" w:fill="FFFFFF"/>
        </w:rPr>
        <w:t>基本工资、津贴补贴、奖金、社会保障缴费、住房公积金、养老保险缴费、职业年金缴费、生活补助等支出</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408.45</w:t>
      </w:r>
      <w:r>
        <w:rPr>
          <w:rFonts w:ascii="方正仿宋_GBK" w:hAnsi="方正仿宋_GBK" w:eastAsia="方正仿宋_GBK" w:cs="方正仿宋_GBK"/>
          <w:sz w:val="32"/>
          <w:szCs w:val="32"/>
          <w:shd w:val="clear" w:color="auto" w:fill="FFFFFF"/>
        </w:rPr>
        <w:t>万元，较上年决算数减少152.29万元，下降27.16%，主要原因是贯彻落实中央过“紧日子”思想，公用经费口径持续压缩，严格控制各项支出范围及标准。公用经费用途主要包括</w:t>
      </w:r>
      <w:r>
        <w:rPr>
          <w:rFonts w:ascii="方正仿宋_GBK" w:hAnsi="Helvetica" w:eastAsia="方正仿宋_GBK" w:cs="Helvetica"/>
          <w:color w:val="000000"/>
          <w:sz w:val="32"/>
          <w:szCs w:val="32"/>
          <w:shd w:val="clear" w:color="auto" w:fill="FFFFFF"/>
        </w:rPr>
        <w:t>办公费、维修（维护）费、劳务费、委托业务费、公务用车运行维护费、其他商品和服务支出、办公设备购置等。</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2025.74</w:t>
      </w:r>
      <w:r>
        <w:rPr>
          <w:rFonts w:ascii="方正仿宋_GBK" w:hAnsi="方正仿宋_GBK" w:eastAsia="方正仿宋_GBK" w:cs="方正仿宋_GBK"/>
          <w:sz w:val="32"/>
          <w:szCs w:val="32"/>
          <w:shd w:val="clear" w:color="auto" w:fill="FFFFFF"/>
        </w:rPr>
        <w:t>万元，较上年决算数增加1916.34万元，增长1751.68%，主要原因是三峡后续千里林带项目资金拨入。本年支出</w:t>
      </w:r>
      <w:r>
        <w:rPr>
          <w:rFonts w:ascii="方正仿宋_GBK" w:hAnsi="方正仿宋_GBK" w:eastAsia="方正仿宋_GBK" w:cs="方正仿宋_GBK"/>
          <w:sz w:val="32"/>
          <w:szCs w:val="32"/>
        </w:rPr>
        <w:t>2025.74</w:t>
      </w:r>
      <w:r>
        <w:rPr>
          <w:rFonts w:ascii="方正仿宋_GBK" w:hAnsi="方正仿宋_GBK" w:eastAsia="方正仿宋_GBK" w:cs="方正仿宋_GBK"/>
          <w:sz w:val="32"/>
          <w:szCs w:val="32"/>
          <w:shd w:val="clear" w:color="auto" w:fill="FFFFFF"/>
        </w:rPr>
        <w:t>万元，较上年决算数增加1916.34万元，增长1751.68%，主要原因是按项目实施进度情况，完成三峡后续千里林带项目资金的兑付工作。</w:t>
      </w:r>
    </w:p>
    <w:p>
      <w:pPr>
        <w:pStyle w:val="11"/>
        <w:autoSpaceDE w:val="0"/>
        <w:ind w:firstLine="417" w:firstLineChars="13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Helvetica" w:eastAsia="方正仿宋_GBK" w:cs="Helvetica"/>
          <w:color w:val="000000"/>
          <w:sz w:val="32"/>
          <w:szCs w:val="32"/>
          <w:shd w:val="clear" w:color="auto" w:fill="FFFFFF"/>
        </w:rPr>
        <w:t>本部门2023年度无国有资本经营预算财政拨款支出</w:t>
      </w:r>
    </w:p>
    <w:p>
      <w:pPr>
        <w:pStyle w:val="6"/>
        <w:shd w:val="clear" w:color="auto" w:fill="FFFFFF"/>
        <w:spacing w:before="0" w:beforeAutospacing="0" w:after="0" w:afterAutospacing="0"/>
        <w:ind w:firstLine="314" w:firstLineChars="98"/>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三、“三公”经费情况说明</w:t>
      </w:r>
    </w:p>
    <w:p>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66.57</w:t>
      </w:r>
      <w:r>
        <w:rPr>
          <w:rFonts w:ascii="方正仿宋_GBK" w:hAnsi="方正仿宋_GBK" w:eastAsia="方正仿宋_GBK" w:cs="方正仿宋_GBK"/>
          <w:sz w:val="32"/>
          <w:szCs w:val="32"/>
          <w:shd w:val="clear" w:color="auto" w:fill="FFFFFF"/>
        </w:rPr>
        <w:t>万元，较年初预算数增加22.57万元，增长51.30%，主要原因是森林防火工作需要，国有林场消防队新购入两台消防车辆，公务用车购置费及公车运行维护费相应增加。较上年支出数增加39.05万元，增长141.90%，主要原因是森林防火工作需要，国有林场消防队新购入两台消防车辆，公务用车购置费及公车运行维护费相应增加。</w:t>
      </w:r>
    </w:p>
    <w:p>
      <w:pPr>
        <w:pStyle w:val="6"/>
        <w:snapToGrid w:val="0"/>
        <w:spacing w:before="0" w:beforeAutospacing="0" w:after="0" w:afterAutospacing="0" w:line="600" w:lineRule="exact"/>
        <w:ind w:firstLine="642"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（二）“三公”经费分项支出情况</w:t>
      </w:r>
    </w:p>
    <w:p>
      <w:pPr>
        <w:pStyle w:val="6"/>
        <w:shd w:val="clear" w:color="auto" w:fill="FFFFFF"/>
        <w:spacing w:before="0" w:beforeAutospacing="0" w:after="0" w:afterAutospacing="0" w:line="600" w:lineRule="exact"/>
        <w:ind w:firstLine="640" w:firstLineChars="200"/>
        <w:jc w:val="both"/>
        <w:rPr>
          <w:rFonts w:hint="default" w:ascii="方正仿宋_GBK" w:eastAsia="方正仿宋_GBK"/>
          <w:sz w:val="32"/>
          <w:szCs w:val="32"/>
        </w:rPr>
      </w:pPr>
      <w:r>
        <w:rPr>
          <w:rFonts w:ascii="方正仿宋_GBK" w:eastAsia="方正仿宋_GBK"/>
          <w:color w:val="000000" w:themeColor="text1"/>
          <w:sz w:val="32"/>
          <w:szCs w:val="32"/>
        </w:rPr>
        <w:t>2023年度本部门因公出国（境）费用0万元。费用支出较年初预算数增加0万元，增长0.0%。较上年支出数增加0万元，增长</w:t>
      </w:r>
      <w:r>
        <w:rPr>
          <w:rFonts w:ascii="方正仿宋_GBK" w:eastAsia="方正仿宋_GBK"/>
          <w:sz w:val="32"/>
          <w:szCs w:val="32"/>
        </w:rPr>
        <w:t>0.0%，</w:t>
      </w:r>
      <w:r>
        <w:rPr>
          <w:rFonts w:ascii="方正仿宋_GBK" w:hAnsi="Helvetica" w:eastAsia="方正仿宋_GBK" w:cs="Helvetica"/>
          <w:color w:val="000000"/>
          <w:sz w:val="32"/>
          <w:szCs w:val="32"/>
          <w:shd w:val="clear" w:color="auto" w:fill="FFFFFF"/>
        </w:rPr>
        <w:t>与上年持平。本部门2023年度未发生因公出国（境）支出。</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29.16</w:t>
      </w:r>
      <w:r>
        <w:rPr>
          <w:rFonts w:ascii="方正仿宋_GBK" w:hAnsi="方正仿宋_GBK" w:eastAsia="方正仿宋_GBK" w:cs="方正仿宋_GBK"/>
          <w:sz w:val="32"/>
          <w:szCs w:val="32"/>
          <w:shd w:val="clear" w:color="auto" w:fill="FFFFFF"/>
        </w:rPr>
        <w:t>万元，主要用于国有林场专业消防队用车，以提高森林防灭火能力。费用支出较年初预算数增加29.16万元，增长100.00%，主要原因是年初未预算公务用车购置费。较上年支出数增加29.16万元，增长100.00%，主要原因是新购置国有林场专业消防队用车。</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32.97</w:t>
      </w:r>
      <w:r>
        <w:rPr>
          <w:rFonts w:ascii="方正仿宋_GBK" w:hAnsi="方正仿宋_GBK" w:eastAsia="方正仿宋_GBK" w:cs="方正仿宋_GBK"/>
          <w:sz w:val="32"/>
          <w:szCs w:val="32"/>
          <w:shd w:val="clear" w:color="auto" w:fill="FFFFFF"/>
        </w:rPr>
        <w:t>万元，</w:t>
      </w:r>
      <w:r>
        <w:rPr>
          <w:rFonts w:ascii="方正仿宋_GBK" w:eastAsia="方正仿宋_GBK"/>
          <w:sz w:val="32"/>
          <w:szCs w:val="32"/>
        </w:rPr>
        <w:t>主要用于</w:t>
      </w:r>
      <w:r>
        <w:rPr>
          <w:rFonts w:ascii="方正仿宋_GBK" w:hAnsi="Helvetica" w:eastAsia="方正仿宋_GBK" w:cs="Helvetica"/>
          <w:sz w:val="32"/>
          <w:szCs w:val="32"/>
          <w:shd w:val="clear" w:color="auto" w:fill="FFFFFF"/>
        </w:rPr>
        <w:t>开展森林防火、松材线虫除治等工作所需车辆的燃料费、维修费、过桥过路费、保险费等</w:t>
      </w:r>
      <w:r>
        <w:rPr>
          <w:rFonts w:ascii="方正仿宋_GBK" w:hAnsi="方正仿宋_GBK" w:eastAsia="方正仿宋_GBK" w:cs="方正仿宋_GBK"/>
          <w:sz w:val="32"/>
          <w:szCs w:val="32"/>
          <w:shd w:val="clear" w:color="auto" w:fill="FFFFFF"/>
        </w:rPr>
        <w:t>。费用支出较年初预算数减少0.03万元，下降0.09%，</w:t>
      </w:r>
      <w:r>
        <w:rPr>
          <w:rFonts w:ascii="方正仿宋_GBK" w:eastAsia="方正仿宋_GBK"/>
          <w:sz w:val="32"/>
          <w:szCs w:val="32"/>
        </w:rPr>
        <w:t>主要原因是</w:t>
      </w:r>
      <w:r>
        <w:rPr>
          <w:rFonts w:ascii="方正仿宋_GBK" w:hAnsi="Helvetica" w:eastAsia="方正仿宋_GBK" w:cs="Helvetica"/>
          <w:color w:val="000000"/>
          <w:sz w:val="32"/>
          <w:szCs w:val="32"/>
          <w:shd w:val="clear" w:color="auto" w:fill="FFFFFF"/>
        </w:rPr>
        <w:t>认真贯彻落实中央八项规定</w:t>
      </w:r>
      <w:bookmarkStart w:id="0" w:name="_GoBack"/>
      <w:bookmarkEnd w:id="0"/>
      <w:r>
        <w:rPr>
          <w:rFonts w:ascii="方正仿宋_GBK" w:hAnsi="Helvetica" w:eastAsia="方正仿宋_GBK" w:cs="Helvetica"/>
          <w:color w:val="000000"/>
          <w:sz w:val="32"/>
          <w:szCs w:val="32"/>
          <w:shd w:val="clear" w:color="auto" w:fill="FFFFFF"/>
        </w:rPr>
        <w:t>精神和厉行节约要求，从严控制公务车运行维护费。</w:t>
      </w:r>
      <w:r>
        <w:rPr>
          <w:rFonts w:ascii="方正仿宋_GBK" w:hAnsi="方正仿宋_GBK" w:eastAsia="方正仿宋_GBK" w:cs="方正仿宋_GBK"/>
          <w:sz w:val="32"/>
          <w:szCs w:val="32"/>
          <w:shd w:val="clear" w:color="auto" w:fill="FFFFFF"/>
        </w:rPr>
        <w:t>较上年支出数增加7.49万元，增长29.40%，主要原因是新购入车辆维修保养、车辆保险、燃料费增加。</w:t>
      </w:r>
    </w:p>
    <w:p>
      <w:pPr>
        <w:pStyle w:val="6"/>
        <w:snapToGrid w:val="0"/>
        <w:spacing w:before="0" w:beforeAutospacing="0" w:after="0" w:afterAutospacing="0" w:line="600" w:lineRule="exact"/>
        <w:ind w:firstLine="160" w:firstLineChars="50"/>
        <w:jc w:val="both"/>
        <w:rPr>
          <w:rFonts w:hint="default" w:ascii="方正仿宋_GBK" w:hAnsi="方正仿宋_GBK" w:eastAsia="方正仿宋_GBK" w:cs="方正仿宋_GBK"/>
          <w:sz w:val="32"/>
          <w:szCs w:val="32"/>
          <w:shd w:val="clear" w:color="auto" w:fill="FFFFFF"/>
        </w:rPr>
      </w:pPr>
      <w:r>
        <w:rPr>
          <w:rFonts w:cs="宋体"/>
          <w:sz w:val="32"/>
          <w:szCs w:val="32"/>
          <w:shd w:val="clear" w:color="auto" w:fill="FFFFFF"/>
        </w:rPr>
        <w:t> </w:t>
      </w:r>
      <w:r>
        <w:rPr>
          <w:rFonts w:ascii="方正仿宋_GBK" w:hAnsi="方正仿宋_GBK" w:eastAsia="方正仿宋_GBK" w:cs="方正仿宋_GBK"/>
          <w:sz w:val="32"/>
          <w:szCs w:val="32"/>
          <w:shd w:val="clear" w:color="auto" w:fill="FFFFFF"/>
        </w:rPr>
        <w:t xml:space="preserve"> 公务接待费</w:t>
      </w:r>
      <w:r>
        <w:rPr>
          <w:rFonts w:ascii="方正仿宋_GBK" w:hAnsi="方正仿宋_GBK" w:eastAsia="方正仿宋_GBK" w:cs="方正仿宋_GBK"/>
          <w:sz w:val="32"/>
          <w:szCs w:val="32"/>
        </w:rPr>
        <w:t>4.45</w:t>
      </w:r>
      <w:r>
        <w:rPr>
          <w:rFonts w:ascii="方正仿宋_GBK" w:hAnsi="方正仿宋_GBK" w:eastAsia="方正仿宋_GBK" w:cs="方正仿宋_GBK"/>
          <w:sz w:val="32"/>
          <w:szCs w:val="32"/>
          <w:shd w:val="clear" w:color="auto" w:fill="FFFFFF"/>
        </w:rPr>
        <w:t>万元，</w:t>
      </w:r>
      <w:r>
        <w:rPr>
          <w:rFonts w:ascii="方正仿宋_GBK" w:eastAsia="方正仿宋_GBK"/>
          <w:sz w:val="32"/>
          <w:szCs w:val="32"/>
        </w:rPr>
        <w:t>主要用于接待</w:t>
      </w:r>
      <w:r>
        <w:rPr>
          <w:rFonts w:ascii="方正仿宋_GBK" w:hAnsi="Helvetica" w:eastAsia="方正仿宋_GBK" w:cs="Helvetica"/>
          <w:color w:val="000000"/>
          <w:sz w:val="32"/>
          <w:szCs w:val="32"/>
          <w:shd w:val="clear" w:color="auto" w:fill="FFFFFF"/>
        </w:rPr>
        <w:t>上级相关部门检查指导工作发生的接待支出以及</w:t>
      </w:r>
      <w:r>
        <w:rPr>
          <w:rFonts w:ascii="方正仿宋_GBK" w:hAnsi="Helvetica" w:eastAsia="方正仿宋_GBK" w:cs="Helvetica"/>
          <w:sz w:val="32"/>
          <w:szCs w:val="32"/>
          <w:shd w:val="clear" w:color="auto" w:fill="FFFFFF"/>
        </w:rPr>
        <w:t>市内其他区县林业主管部门到我区学习交流发生的接待支出。</w:t>
      </w:r>
      <w:r>
        <w:rPr>
          <w:rFonts w:ascii="方正仿宋_GBK" w:hAnsi="方正仿宋_GBK" w:eastAsia="方正仿宋_GBK" w:cs="方正仿宋_GBK"/>
          <w:sz w:val="32"/>
          <w:szCs w:val="32"/>
          <w:shd w:val="clear" w:color="auto" w:fill="FFFFFF"/>
        </w:rPr>
        <w:t>费用支出较年初预算数减少6.55万元，下降59.55%，主要原因是</w:t>
      </w:r>
      <w:r>
        <w:rPr>
          <w:rFonts w:ascii="方正仿宋_GBK" w:eastAsia="方正仿宋_GBK"/>
          <w:sz w:val="32"/>
          <w:szCs w:val="32"/>
        </w:rPr>
        <w:t>主要原因是严格遵守公务接待开支和范围，严格控制陪餐人</w:t>
      </w:r>
      <w:r>
        <w:rPr>
          <w:rFonts w:ascii="方正仿宋_GBK" w:eastAsia="方正仿宋_GBK"/>
          <w:color w:val="000000" w:themeColor="text1"/>
          <w:sz w:val="32"/>
          <w:szCs w:val="32"/>
        </w:rPr>
        <w:t>数。</w:t>
      </w:r>
      <w:r>
        <w:rPr>
          <w:rFonts w:ascii="方正仿宋_GBK" w:hAnsi="方正仿宋_GBK" w:eastAsia="方正仿宋_GBK" w:cs="方正仿宋_GBK"/>
          <w:sz w:val="32"/>
          <w:szCs w:val="32"/>
          <w:shd w:val="clear" w:color="auto" w:fill="FFFFFF"/>
        </w:rPr>
        <w:t>较上年支出数增加2.42万元，增长119.21%，主要原因一是林业工作持续开展，主管部门加大有关工作督导检查等，及与其他区县交流学习增多；二是2022年因疫情防控原因，上级各项检查验收较少，2023年度与2022年度基数比，接待费有所增加。</w:t>
      </w:r>
    </w:p>
    <w:p>
      <w:pPr>
        <w:pStyle w:val="6"/>
        <w:snapToGrid w:val="0"/>
        <w:spacing w:before="0" w:beforeAutospacing="0" w:after="0" w:afterAutospacing="0" w:line="600" w:lineRule="exact"/>
        <w:ind w:firstLine="160" w:firstLineChars="5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（三）“三公”经费实物量情况</w:t>
      </w:r>
    </w:p>
    <w:p>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48</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451</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98.67</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14.58</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3.00</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ind w:firstLine="314" w:firstLineChars="98"/>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1"/>
        <w:autoSpaceDE w:val="0"/>
        <w:ind w:firstLine="417" w:firstLineChars="13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3.80</w:t>
      </w:r>
      <w:r>
        <w:rPr>
          <w:rFonts w:ascii="方正仿宋_GBK" w:hAnsi="方正仿宋_GBK" w:eastAsia="方正仿宋_GBK" w:cs="方正仿宋_GBK"/>
          <w:sz w:val="32"/>
          <w:szCs w:val="32"/>
          <w:shd w:val="clear" w:color="auto" w:fill="FFFFFF"/>
        </w:rPr>
        <w:t>万元，较上年决算数增加2.61万元，增长219.33%，主要原因一是为提升防灭火能力，本年度加大防火工作部署力度，组织召开相关工作会议；二是2022年因疫情防控原因，集中组织会议频次较少，2023年度在2022年度基数上，会议费有所增加。本年度培训费支出</w:t>
      </w:r>
      <w:r>
        <w:rPr>
          <w:rFonts w:ascii="方正仿宋_GBK" w:hAnsi="方正仿宋_GBK" w:eastAsia="方正仿宋_GBK" w:cs="方正仿宋_GBK"/>
          <w:sz w:val="32"/>
          <w:szCs w:val="32"/>
        </w:rPr>
        <w:t>8.71</w:t>
      </w:r>
      <w:r>
        <w:rPr>
          <w:rFonts w:ascii="方正仿宋_GBK" w:hAnsi="方正仿宋_GBK" w:eastAsia="方正仿宋_GBK" w:cs="方正仿宋_GBK"/>
          <w:sz w:val="32"/>
          <w:szCs w:val="32"/>
          <w:shd w:val="clear" w:color="auto" w:fill="FFFFFF"/>
        </w:rPr>
        <w:t>万元，较上年决算数增加3.40万元，增长64.03%，主要原因一是为更好开展林业工作、增强工作能力，外出学习增多；二是2022年因疫情防控原因，集中培训频次较少，2023年度在2022年度基数上，培训费有所增加。。</w:t>
      </w:r>
    </w:p>
    <w:p>
      <w:pPr>
        <w:pStyle w:val="11"/>
        <w:autoSpaceDE w:val="0"/>
        <w:ind w:firstLine="417" w:firstLineChars="13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176.11</w:t>
      </w:r>
      <w:r>
        <w:rPr>
          <w:rFonts w:ascii="方正仿宋_GBK" w:hAnsi="方正仿宋_GBK" w:eastAsia="方正仿宋_GBK" w:cs="方正仿宋_GBK"/>
          <w:sz w:val="32"/>
          <w:szCs w:val="32"/>
          <w:shd w:val="clear" w:color="auto" w:fill="FFFFFF"/>
        </w:rPr>
        <w:t>万元，机关运行经费主要用于开</w:t>
      </w:r>
      <w:r>
        <w:rPr>
          <w:rFonts w:ascii="方正仿宋_GBK" w:eastAsia="方正仿宋_GBK"/>
          <w:sz w:val="32"/>
          <w:szCs w:val="32"/>
        </w:rPr>
        <w:t>支</w:t>
      </w:r>
      <w:r>
        <w:rPr>
          <w:rFonts w:ascii="方正仿宋_GBK" w:hAnsi="Helvetica" w:eastAsia="方正仿宋_GBK" w:cs="Helvetica"/>
          <w:color w:val="000000"/>
          <w:sz w:val="32"/>
          <w:szCs w:val="32"/>
          <w:shd w:val="clear" w:color="auto" w:fill="FFFFFF"/>
        </w:rPr>
        <w:t>办公费、维修（护）费、劳务费、委托业务费、差旅费、公务车运行维护费等</w:t>
      </w:r>
      <w:r>
        <w:rPr>
          <w:rFonts w:ascii="方正仿宋_GBK" w:eastAsia="方正仿宋_GBK"/>
          <w:sz w:val="32"/>
          <w:szCs w:val="32"/>
        </w:rPr>
        <w:t>机关运行经费。</w:t>
      </w:r>
      <w:r>
        <w:rPr>
          <w:rFonts w:ascii="方正仿宋_GBK" w:hAnsi="方正仿宋_GBK" w:eastAsia="方正仿宋_GBK" w:cs="方正仿宋_GBK"/>
          <w:sz w:val="32"/>
          <w:szCs w:val="32"/>
          <w:shd w:val="clear" w:color="auto" w:fill="FFFFFF"/>
        </w:rPr>
        <w:t>机关运行经费较上年支出数减少38.12万元，下降17.79%，主要原因是通过加强管理，倡导节约用水用电，严控出差标准、人数和行程，对非重点、非刚性、非急需支出进行压减。</w:t>
      </w:r>
    </w:p>
    <w:p>
      <w:pPr>
        <w:pStyle w:val="11"/>
        <w:autoSpaceDE w:val="0"/>
        <w:ind w:firstLine="417" w:firstLineChars="13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11"/>
        <w:autoSpaceDE w:val="0"/>
        <w:ind w:firstLine="480" w:firstLineChars="150"/>
        <w:rPr>
          <w:rFonts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截至2023年12月31日，本部门共有车辆</w:t>
      </w:r>
      <w:r>
        <w:rPr>
          <w:rFonts w:ascii="方正仿宋_GBK" w:hAnsi="方正仿宋_GBK" w:eastAsia="方正仿宋_GBK" w:cs="方正仿宋_GBK"/>
          <w:sz w:val="32"/>
          <w:szCs w:val="32"/>
        </w:rPr>
        <w:t>13</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9</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ind w:firstLine="314" w:firstLineChars="98"/>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2023年度本部门政府采购支出总额</w:t>
      </w:r>
      <w:r>
        <w:rPr>
          <w:rFonts w:ascii="方正仿宋_GBK" w:hAnsi="方正仿宋_GBK" w:eastAsia="方正仿宋_GBK" w:cs="方正仿宋_GBK"/>
          <w:sz w:val="32"/>
          <w:szCs w:val="32"/>
        </w:rPr>
        <w:t>9083.45</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5379.25</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3704.20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5697.25万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62.72</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724.28</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7.97</w:t>
      </w:r>
      <w:r>
        <w:rPr>
          <w:rFonts w:ascii="方正仿宋_GBK" w:hAnsi="方正仿宋_GBK" w:eastAsia="方正仿宋_GBK" w:cs="方正仿宋_GBK"/>
          <w:sz w:val="32"/>
          <w:szCs w:val="32"/>
          <w:shd w:val="clear" w:color="auto" w:fill="FFFFFF"/>
        </w:rPr>
        <w:t xml:space="preserve"> %。主要用于千里林带项目、城市面山防灭火能力提升项目工程采购、千里林带项目勘察设计造林服务费、森林草原火情智能监控系统服务采购、各类</w:t>
      </w:r>
      <w:r>
        <w:rPr>
          <w:rFonts w:ascii="方正仿宋_GBK" w:eastAsia="方正仿宋_GBK"/>
          <w:sz w:val="32"/>
          <w:szCs w:val="32"/>
        </w:rPr>
        <w:t>林业技术服务采购等等</w:t>
      </w:r>
      <w:r>
        <w:rPr>
          <w:rFonts w:ascii="方正仿宋_GBK" w:hAnsi="方正仿宋_GBK" w:eastAsia="方正仿宋_GBK" w:cs="方正仿宋_GBK"/>
          <w:sz w:val="32"/>
          <w:szCs w:val="32"/>
          <w:shd w:val="clear" w:color="auto" w:fill="FFFFFF"/>
        </w:rPr>
        <w:t>。</w:t>
      </w:r>
    </w:p>
    <w:p>
      <w:pPr>
        <w:pStyle w:val="6"/>
        <w:shd w:val="clear" w:color="auto" w:fill="FFFFFF"/>
        <w:spacing w:before="0" w:beforeAutospacing="0" w:after="0" w:afterAutospacing="0"/>
        <w:ind w:firstLine="314" w:firstLineChars="98"/>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五、预算绩效管理情况说明</w:t>
      </w:r>
    </w:p>
    <w:p>
      <w:pPr>
        <w:pStyle w:val="11"/>
        <w:autoSpaceDE w:val="0"/>
        <w:ind w:firstLine="0" w:firstLineChars="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pPr>
        <w:pStyle w:val="12"/>
        <w:autoSpaceDE w:val="0"/>
        <w:spacing w:before="0" w:beforeAutospacing="0" w:line="600" w:lineRule="exact"/>
        <w:ind w:firstLine="640"/>
        <w:rPr>
          <w:rFonts w:eastAsia="方正仿宋_GBK" w:cs="宋体"/>
          <w:sz w:val="32"/>
          <w:szCs w:val="32"/>
        </w:rPr>
      </w:pPr>
      <w:r>
        <w:rPr>
          <w:rFonts w:hint="eastAsia" w:ascii="方正仿宋_GBK" w:hAnsi="方正仿宋_GBK" w:eastAsia="方正仿宋_GBK" w:cs="方正仿宋_GBK"/>
          <w:sz w:val="32"/>
          <w:szCs w:val="32"/>
          <w:shd w:val="clear" w:color="auto" w:fill="FFFFFF"/>
        </w:rPr>
        <w:t>根据预算绩效管理要求，我部门对部门整体和27个项目开展了绩效评价。</w:t>
      </w:r>
    </w:p>
    <w:p>
      <w:pPr>
        <w:pStyle w:val="12"/>
        <w:autoSpaceDE w:val="0"/>
        <w:spacing w:before="0" w:beforeAutospacing="0" w:line="600" w:lineRule="exact"/>
        <w:ind w:firstLine="640"/>
        <w:rPr>
          <w:rFonts w:eastAsia="方正仿宋_GBK" w:cs="宋体"/>
          <w:sz w:val="32"/>
          <w:szCs w:val="32"/>
          <w:highlight w:val="yellow"/>
        </w:rPr>
      </w:pPr>
      <w:r>
        <w:rPr>
          <w:rFonts w:hint="eastAsia" w:ascii="方正仿宋_GBK" w:hAnsi="方正仿宋_GBK" w:eastAsia="方正仿宋_GBK" w:cs="方正仿宋_GBK"/>
          <w:sz w:val="28"/>
          <w:szCs w:val="28"/>
          <w:shd w:val="clear" w:color="auto" w:fill="FFFFFF"/>
        </w:rPr>
        <w:t>1.部门整体绩效自评表</w:t>
      </w:r>
    </w:p>
    <w:tbl>
      <w:tblPr>
        <w:tblStyle w:val="7"/>
        <w:tblW w:w="7952" w:type="dxa"/>
        <w:tblInd w:w="0" w:type="dxa"/>
        <w:tblLayout w:type="fixed"/>
        <w:tblCellMar>
          <w:top w:w="0" w:type="dxa"/>
          <w:left w:w="0" w:type="dxa"/>
          <w:bottom w:w="0" w:type="dxa"/>
          <w:right w:w="0" w:type="dxa"/>
        </w:tblCellMar>
      </w:tblPr>
      <w:tblGrid>
        <w:gridCol w:w="1125"/>
        <w:gridCol w:w="875"/>
        <w:gridCol w:w="329"/>
        <w:gridCol w:w="521"/>
        <w:gridCol w:w="683"/>
        <w:gridCol w:w="310"/>
        <w:gridCol w:w="434"/>
        <w:gridCol w:w="700"/>
        <w:gridCol w:w="115"/>
        <w:gridCol w:w="957"/>
        <w:gridCol w:w="602"/>
        <w:gridCol w:w="647"/>
        <w:gridCol w:w="654"/>
      </w:tblGrid>
      <w:tr>
        <w:tblPrEx>
          <w:tblCellMar>
            <w:top w:w="0" w:type="dxa"/>
            <w:left w:w="0" w:type="dxa"/>
            <w:bottom w:w="0" w:type="dxa"/>
            <w:right w:w="0" w:type="dxa"/>
          </w:tblCellMar>
        </w:tblPrEx>
        <w:trPr>
          <w:trHeight w:val="337" w:hRule="atLeast"/>
        </w:trPr>
        <w:tc>
          <w:tcPr>
            <w:tcW w:w="7952"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微软雅黑" w:hAnsi="微软雅黑" w:eastAsia="微软雅黑" w:cs="微软雅黑"/>
                <w:b/>
                <w:color w:val="000000"/>
                <w:sz w:val="12"/>
                <w:szCs w:val="12"/>
              </w:rPr>
            </w:pPr>
            <w:r>
              <w:rPr>
                <w:rFonts w:ascii="方正仿宋_GBK" w:eastAsia="方正仿宋_GBK" w:cs="宋体"/>
                <w:b/>
                <w:color w:val="000000"/>
                <w:sz w:val="15"/>
                <w:szCs w:val="15"/>
              </w:rPr>
              <w:t>林业局2023年度部门整体绩效自评表</w:t>
            </w:r>
          </w:p>
        </w:tc>
      </w:tr>
      <w:tr>
        <w:tblPrEx>
          <w:tblCellMar>
            <w:top w:w="0" w:type="dxa"/>
            <w:left w:w="0" w:type="dxa"/>
            <w:bottom w:w="0" w:type="dxa"/>
            <w:right w:w="0" w:type="dxa"/>
          </w:tblCellMar>
        </w:tblPrEx>
        <w:trPr>
          <w:trHeight w:val="337"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12"/>
                <w:szCs w:val="12"/>
              </w:rPr>
            </w:pPr>
            <w:r>
              <w:rPr>
                <w:rFonts w:ascii="方正仿宋_GBK" w:hAnsi="方正仿宋_GBK" w:eastAsia="方正仿宋_GBK" w:cs="方正仿宋_GBK"/>
                <w:b/>
                <w:color w:val="000000"/>
                <w:sz w:val="12"/>
                <w:szCs w:val="12"/>
              </w:rPr>
              <w:t>项目主管部门：</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hAnsi="方正仿宋_GBK" w:eastAsia="方正仿宋_GBK" w:cs="方正仿宋_GBK"/>
                <w:color w:val="000000"/>
                <w:sz w:val="12"/>
                <w:szCs w:val="12"/>
              </w:rPr>
            </w:pPr>
            <w:r>
              <w:rPr>
                <w:rFonts w:hint="default" w:ascii="方正仿宋_GBK" w:eastAsia="方正仿宋_GBK" w:cs="宋体"/>
                <w:b/>
                <w:color w:val="000000"/>
                <w:sz w:val="15"/>
                <w:szCs w:val="15"/>
              </w:rPr>
              <w:t>404-重庆市涪陵区林业局</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12"/>
                <w:szCs w:val="12"/>
              </w:rPr>
            </w:pPr>
            <w:r>
              <w:rPr>
                <w:rFonts w:ascii="方正仿宋_GBK" w:hAnsi="方正仿宋_GBK" w:eastAsia="方正仿宋_GBK" w:cs="方正仿宋_GBK"/>
                <w:b/>
                <w:color w:val="000000"/>
                <w:sz w:val="12"/>
                <w:szCs w:val="12"/>
              </w:rPr>
              <w:t>执行率得分</w:t>
            </w: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hAnsi="方正仿宋_GBK" w:eastAsia="方正仿宋_GBK" w:cs="方正仿宋_GBK"/>
                <w:color w:val="000000"/>
                <w:sz w:val="12"/>
                <w:szCs w:val="12"/>
              </w:rPr>
            </w:pPr>
            <w:r>
              <w:rPr>
                <w:rFonts w:ascii="方正仿宋_GBK" w:eastAsia="方正仿宋_GBK" w:cs="宋体"/>
                <w:b/>
                <w:color w:val="000000"/>
                <w:sz w:val="15"/>
                <w:szCs w:val="15"/>
              </w:rPr>
              <w:t>9.3</w:t>
            </w:r>
          </w:p>
        </w:tc>
        <w:tc>
          <w:tcPr>
            <w:tcW w:w="10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12"/>
                <w:szCs w:val="12"/>
              </w:rPr>
            </w:pPr>
            <w:r>
              <w:rPr>
                <w:rFonts w:ascii="方正仿宋_GBK" w:hAnsi="方正仿宋_GBK" w:eastAsia="方正仿宋_GBK" w:cs="方正仿宋_GBK"/>
                <w:b/>
                <w:color w:val="000000"/>
                <w:sz w:val="12"/>
                <w:szCs w:val="12"/>
              </w:rPr>
              <w:t>自评总分（分）：</w:t>
            </w:r>
          </w:p>
        </w:tc>
        <w:tc>
          <w:tcPr>
            <w:tcW w:w="190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color w:val="000000"/>
                <w:sz w:val="12"/>
                <w:szCs w:val="12"/>
              </w:rPr>
            </w:pPr>
            <w:r>
              <w:rPr>
                <w:rFonts w:ascii="方正仿宋_GBK" w:eastAsia="方正仿宋_GBK" w:cs="宋体"/>
                <w:b/>
                <w:color w:val="000000"/>
                <w:sz w:val="15"/>
                <w:szCs w:val="15"/>
              </w:rPr>
              <w:t>98.56</w:t>
            </w:r>
          </w:p>
        </w:tc>
      </w:tr>
      <w:tr>
        <w:tblPrEx>
          <w:tblCellMar>
            <w:top w:w="0" w:type="dxa"/>
            <w:left w:w="0" w:type="dxa"/>
            <w:bottom w:w="0" w:type="dxa"/>
            <w:right w:w="0" w:type="dxa"/>
          </w:tblCellMar>
        </w:tblPrEx>
        <w:trPr>
          <w:trHeight w:val="337" w:hRule="atLeast"/>
        </w:trPr>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12"/>
                <w:szCs w:val="12"/>
              </w:rPr>
            </w:pPr>
            <w:r>
              <w:rPr>
                <w:rFonts w:ascii="方正仿宋_GBK" w:hAnsi="方正仿宋_GBK" w:eastAsia="方正仿宋_GBK" w:cs="方正仿宋_GBK"/>
                <w:b/>
                <w:color w:val="000000"/>
                <w:sz w:val="12"/>
                <w:szCs w:val="12"/>
              </w:rPr>
              <w:t>当年绩效目标</w:t>
            </w:r>
          </w:p>
        </w:tc>
        <w:tc>
          <w:tcPr>
            <w:tcW w:w="1725" w:type="dxa"/>
            <w:gridSpan w:val="3"/>
            <w:tcBorders>
              <w:top w:val="single" w:color="000000"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12"/>
                <w:szCs w:val="12"/>
              </w:rPr>
            </w:pPr>
            <w:r>
              <w:rPr>
                <w:rFonts w:ascii="方正仿宋_GBK" w:hAnsi="方正仿宋_GBK" w:eastAsia="方正仿宋_GBK" w:cs="方正仿宋_GBK"/>
                <w:b/>
                <w:color w:val="000000"/>
                <w:sz w:val="12"/>
                <w:szCs w:val="12"/>
              </w:rPr>
              <w:t>年初绩效目标</w:t>
            </w:r>
          </w:p>
        </w:tc>
        <w:tc>
          <w:tcPr>
            <w:tcW w:w="2242" w:type="dxa"/>
            <w:gridSpan w:val="5"/>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12"/>
                <w:szCs w:val="12"/>
              </w:rPr>
            </w:pPr>
            <w:r>
              <w:rPr>
                <w:rFonts w:ascii="方正仿宋_GBK" w:hAnsi="方正仿宋_GBK" w:eastAsia="方正仿宋_GBK" w:cs="方正仿宋_GBK"/>
                <w:b/>
                <w:color w:val="000000"/>
                <w:sz w:val="12"/>
                <w:szCs w:val="12"/>
              </w:rPr>
              <w:t>全年（调整）绩效目标</w:t>
            </w:r>
          </w:p>
        </w:tc>
        <w:tc>
          <w:tcPr>
            <w:tcW w:w="2860"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12"/>
                <w:szCs w:val="12"/>
              </w:rPr>
            </w:pPr>
            <w:r>
              <w:rPr>
                <w:rFonts w:ascii="方正仿宋_GBK" w:hAnsi="方正仿宋_GBK" w:eastAsia="方正仿宋_GBK" w:cs="方正仿宋_GBK"/>
                <w:b/>
                <w:color w:val="000000"/>
                <w:sz w:val="12"/>
                <w:szCs w:val="12"/>
              </w:rPr>
              <w:t>全年目标实际完成情况</w:t>
            </w:r>
          </w:p>
        </w:tc>
      </w:tr>
      <w:tr>
        <w:tblPrEx>
          <w:tblCellMar>
            <w:top w:w="0" w:type="dxa"/>
            <w:left w:w="0" w:type="dxa"/>
            <w:bottom w:w="0" w:type="dxa"/>
            <w:right w:w="0" w:type="dxa"/>
          </w:tblCellMar>
        </w:tblPrEx>
        <w:trPr>
          <w:trHeight w:val="1503" w:hRule="atLeast"/>
        </w:trPr>
        <w:tc>
          <w:tcPr>
            <w:tcW w:w="1125"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default" w:cs="宋体"/>
                <w:b/>
                <w:color w:val="000000"/>
                <w:sz w:val="12"/>
                <w:szCs w:val="12"/>
              </w:rPr>
            </w:pPr>
          </w:p>
        </w:tc>
        <w:tc>
          <w:tcPr>
            <w:tcW w:w="1725"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rPr>
                <w:rFonts w:hint="default" w:cs="宋体"/>
                <w:color w:val="000000"/>
                <w:sz w:val="12"/>
                <w:szCs w:val="12"/>
              </w:rPr>
            </w:pPr>
            <w:r>
              <w:rPr>
                <w:rFonts w:ascii="方正仿宋_GBK" w:eastAsia="方正仿宋_GBK" w:cs="宋体"/>
                <w:b/>
                <w:color w:val="000000"/>
                <w:sz w:val="15"/>
                <w:szCs w:val="15"/>
              </w:rPr>
              <w:t>负责林业和草原及其生态保护修复的监督管理；牵头组织实施林业和草原等生态保护修复和造林绿化工作；负责森林、草原和湿地资源的监督管理；监督管理石漠化防治工作；负责陆生野生动植物资源的监督管理；落实综合防灾减灾规划相关要求，组织编制森林、草原火灾防治规划和防护标准并指导实施，指导开展防火巡护、火源管理、防火设施建设等工作；监督管理林业、草原及其生态保护区级以上资金和国有资产；完成区委、区政府交办的其他任务。</w:t>
            </w:r>
          </w:p>
          <w:p>
            <w:pPr>
              <w:jc w:val="center"/>
              <w:rPr>
                <w:rFonts w:hint="default" w:cs="宋体"/>
                <w:color w:val="000000"/>
                <w:sz w:val="12"/>
                <w:szCs w:val="12"/>
              </w:rPr>
            </w:pPr>
          </w:p>
        </w:tc>
        <w:tc>
          <w:tcPr>
            <w:tcW w:w="2242"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rPr>
                <w:rFonts w:hint="default" w:cs="宋体"/>
                <w:color w:val="000000"/>
                <w:sz w:val="12"/>
                <w:szCs w:val="12"/>
              </w:rPr>
            </w:pPr>
          </w:p>
        </w:tc>
        <w:tc>
          <w:tcPr>
            <w:tcW w:w="2860"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jc w:val="center"/>
              <w:rPr>
                <w:rFonts w:hint="default" w:cs="宋体"/>
                <w:color w:val="000000"/>
                <w:sz w:val="12"/>
                <w:szCs w:val="12"/>
              </w:rPr>
            </w:pPr>
            <w:r>
              <w:rPr>
                <w:rFonts w:ascii="方正仿宋_GBK" w:eastAsia="方正仿宋_GBK" w:cs="宋体"/>
                <w:b/>
                <w:color w:val="000000"/>
                <w:sz w:val="15"/>
                <w:szCs w:val="15"/>
              </w:rPr>
              <w:t>负责林业和草原及其生态保护修复的监督管理；牵头组织实施林业和草原等生态保护修复和造林绿化工作；负责森林、草原和湿地资源的监督管理；监督管理石漠化防治工作；负责陆生野生动植物资源的监督管理；落实综合防灾减灾规划相关要求，组织编制森林、草原火灾防治规划和防护标准并指导实施，指导开展防火巡护、火源管理、防火设施建设等工作；监督管理林业、草原及其生态保护区级以上资金和国有资产；完成区委、区政府交办的其他任务。</w:t>
            </w:r>
          </w:p>
        </w:tc>
      </w:tr>
      <w:tr>
        <w:tblPrEx>
          <w:tblCellMar>
            <w:top w:w="0" w:type="dxa"/>
            <w:left w:w="0" w:type="dxa"/>
            <w:bottom w:w="0" w:type="dxa"/>
            <w:right w:w="0" w:type="dxa"/>
          </w:tblCellMar>
        </w:tblPrEx>
        <w:trPr>
          <w:trHeight w:val="337" w:hRule="atLeast"/>
        </w:trPr>
        <w:tc>
          <w:tcPr>
            <w:tcW w:w="112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textAlignment w:val="center"/>
              <w:rPr>
                <w:rFonts w:hint="default" w:cs="宋体"/>
                <w:b/>
                <w:color w:val="000000"/>
                <w:sz w:val="12"/>
                <w:szCs w:val="12"/>
              </w:rPr>
            </w:pPr>
            <w:r>
              <w:rPr>
                <w:rFonts w:ascii="方正仿宋_GBK" w:hAnsi="方正仿宋_GBK" w:eastAsia="方正仿宋_GBK" w:cs="方正仿宋_GBK"/>
                <w:b/>
                <w:color w:val="000000"/>
                <w:sz w:val="12"/>
                <w:szCs w:val="12"/>
              </w:rPr>
              <w:t>绩效指标</w:t>
            </w:r>
          </w:p>
        </w:tc>
        <w:tc>
          <w:tcPr>
            <w:tcW w:w="87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12"/>
                <w:szCs w:val="12"/>
              </w:rPr>
            </w:pPr>
            <w:r>
              <w:rPr>
                <w:rFonts w:ascii="方正仿宋_GBK" w:hAnsi="方正仿宋_GBK" w:eastAsia="方正仿宋_GBK" w:cs="方正仿宋_GBK"/>
                <w:b/>
                <w:color w:val="000000"/>
                <w:sz w:val="12"/>
                <w:szCs w:val="12"/>
              </w:rPr>
              <w:t>指标名称</w:t>
            </w:r>
          </w:p>
        </w:tc>
        <w:tc>
          <w:tcPr>
            <w:tcW w:w="32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12"/>
                <w:szCs w:val="12"/>
              </w:rPr>
            </w:pPr>
            <w:r>
              <w:rPr>
                <w:rFonts w:ascii="方正仿宋_GBK" w:hAnsi="方正仿宋_GBK" w:eastAsia="方正仿宋_GBK" w:cs="方正仿宋_GBK"/>
                <w:b/>
                <w:color w:val="000000"/>
                <w:sz w:val="12"/>
                <w:szCs w:val="12"/>
              </w:rPr>
              <w:t>计量单位</w:t>
            </w:r>
          </w:p>
        </w:tc>
        <w:tc>
          <w:tcPr>
            <w:tcW w:w="52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12"/>
                <w:szCs w:val="12"/>
              </w:rPr>
            </w:pPr>
            <w:r>
              <w:rPr>
                <w:rFonts w:ascii="方正仿宋_GBK" w:hAnsi="方正仿宋_GBK" w:eastAsia="方正仿宋_GBK" w:cs="方正仿宋_GBK"/>
                <w:b/>
                <w:color w:val="000000"/>
                <w:sz w:val="12"/>
                <w:szCs w:val="12"/>
              </w:rPr>
              <w:t>指标性质</w:t>
            </w:r>
          </w:p>
        </w:tc>
        <w:tc>
          <w:tcPr>
            <w:tcW w:w="68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12"/>
                <w:szCs w:val="12"/>
              </w:rPr>
            </w:pPr>
            <w:r>
              <w:rPr>
                <w:rFonts w:ascii="方正仿宋_GBK" w:hAnsi="方正仿宋_GBK" w:eastAsia="方正仿宋_GBK" w:cs="方正仿宋_GBK"/>
                <w:b/>
                <w:color w:val="000000"/>
                <w:sz w:val="12"/>
                <w:szCs w:val="12"/>
              </w:rPr>
              <w:t>指标值</w:t>
            </w:r>
          </w:p>
        </w:tc>
        <w:tc>
          <w:tcPr>
            <w:tcW w:w="744" w:type="dxa"/>
            <w:gridSpan w:val="2"/>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12"/>
                <w:szCs w:val="12"/>
              </w:rPr>
            </w:pPr>
            <w:r>
              <w:rPr>
                <w:rFonts w:ascii="方正仿宋_GBK" w:hAnsi="方正仿宋_GBK" w:eastAsia="方正仿宋_GBK" w:cs="方正仿宋_GBK"/>
                <w:b/>
                <w:color w:val="000000"/>
                <w:sz w:val="12"/>
                <w:szCs w:val="12"/>
              </w:rPr>
              <w:t>全年完成值</w:t>
            </w:r>
          </w:p>
        </w:tc>
        <w:tc>
          <w:tcPr>
            <w:tcW w:w="815" w:type="dxa"/>
            <w:gridSpan w:val="2"/>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12"/>
                <w:szCs w:val="12"/>
              </w:rPr>
            </w:pPr>
            <w:r>
              <w:rPr>
                <w:rFonts w:ascii="方正仿宋_GBK" w:hAnsi="方正仿宋_GBK" w:eastAsia="方正仿宋_GBK" w:cs="方正仿宋_GBK"/>
                <w:b/>
                <w:color w:val="000000"/>
                <w:sz w:val="12"/>
                <w:szCs w:val="12"/>
              </w:rPr>
              <w:t>偏离度（%）</w:t>
            </w:r>
          </w:p>
        </w:tc>
        <w:tc>
          <w:tcPr>
            <w:tcW w:w="957"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12"/>
                <w:szCs w:val="12"/>
              </w:rPr>
            </w:pPr>
            <w:r>
              <w:rPr>
                <w:rFonts w:ascii="方正仿宋_GBK" w:hAnsi="方正仿宋_GBK" w:eastAsia="方正仿宋_GBK" w:cs="方正仿宋_GBK"/>
                <w:b/>
                <w:color w:val="000000"/>
                <w:sz w:val="12"/>
                <w:szCs w:val="12"/>
              </w:rPr>
              <w:t>得分系数（%）</w:t>
            </w:r>
          </w:p>
        </w:tc>
        <w:tc>
          <w:tcPr>
            <w:tcW w:w="60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12"/>
                <w:szCs w:val="12"/>
              </w:rPr>
            </w:pPr>
            <w:r>
              <w:rPr>
                <w:rFonts w:ascii="方正仿宋_GBK" w:hAnsi="方正仿宋_GBK" w:eastAsia="方正仿宋_GBK" w:cs="方正仿宋_GBK"/>
                <w:b/>
                <w:color w:val="000000"/>
                <w:sz w:val="12"/>
                <w:szCs w:val="12"/>
              </w:rPr>
              <w:t>指标权重</w:t>
            </w:r>
          </w:p>
        </w:tc>
        <w:tc>
          <w:tcPr>
            <w:tcW w:w="647"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12"/>
                <w:szCs w:val="12"/>
              </w:rPr>
            </w:pPr>
            <w:r>
              <w:rPr>
                <w:rFonts w:ascii="方正仿宋_GBK" w:hAnsi="方正仿宋_GBK" w:eastAsia="方正仿宋_GBK" w:cs="方正仿宋_GBK"/>
                <w:b/>
                <w:color w:val="000000"/>
                <w:sz w:val="12"/>
                <w:szCs w:val="12"/>
              </w:rPr>
              <w:t>指标得分</w:t>
            </w:r>
          </w:p>
        </w:tc>
        <w:tc>
          <w:tcPr>
            <w:tcW w:w="65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方正仿宋_GBK" w:hAnsi="方正仿宋_GBK" w:eastAsia="方正仿宋_GBK" w:cs="方正仿宋_GBK"/>
                <w:b/>
                <w:color w:val="000000"/>
                <w:sz w:val="12"/>
                <w:szCs w:val="12"/>
              </w:rPr>
            </w:pPr>
            <w:r>
              <w:rPr>
                <w:rFonts w:ascii="方正仿宋_GBK" w:hAnsi="方正仿宋_GBK" w:eastAsia="方正仿宋_GBK" w:cs="方正仿宋_GBK"/>
                <w:b/>
                <w:color w:val="000000"/>
                <w:sz w:val="12"/>
                <w:szCs w:val="12"/>
              </w:rPr>
              <w:t>说明</w:t>
            </w:r>
          </w:p>
        </w:tc>
      </w:tr>
      <w:tr>
        <w:tblPrEx>
          <w:tblCellMar>
            <w:top w:w="0" w:type="dxa"/>
            <w:left w:w="0" w:type="dxa"/>
            <w:bottom w:w="0" w:type="dxa"/>
            <w:right w:w="0" w:type="dxa"/>
          </w:tblCellMar>
        </w:tblPrEx>
        <w:trPr>
          <w:trHeight w:val="337" w:hRule="atLeast"/>
        </w:trPr>
        <w:tc>
          <w:tcPr>
            <w:tcW w:w="1125" w:type="dxa"/>
            <w:vMerge w:val="continue"/>
            <w:tcBorders>
              <w:left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default" w:cs="宋体"/>
                <w:b/>
                <w:color w:val="000000"/>
                <w:sz w:val="12"/>
                <w:szCs w:val="12"/>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补偿林主户数</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万户</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hint="default" w:ascii="方正仿宋_GBK" w:eastAsia="方正仿宋_GBK" w:cs="宋体"/>
                <w:b/>
                <w:color w:val="000000"/>
                <w:sz w:val="15"/>
                <w:szCs w:val="15"/>
              </w:rPr>
              <w:t>12</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hint="default" w:ascii="方正仿宋_GBK" w:eastAsia="方正仿宋_GBK" w:cs="宋体"/>
                <w:b/>
                <w:color w:val="000000"/>
                <w:sz w:val="15"/>
                <w:szCs w:val="15"/>
              </w:rPr>
              <w:t>12.39</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hint="default" w:ascii="方正仿宋_GBK" w:eastAsia="方正仿宋_GBK" w:cs="宋体"/>
                <w:b/>
                <w:color w:val="000000"/>
                <w:sz w:val="15"/>
                <w:szCs w:val="15"/>
              </w:rPr>
              <w:t>3.25</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hint="default" w:ascii="方正仿宋_GBK" w:eastAsia="方正仿宋_GBK" w:cs="宋体"/>
                <w:b/>
                <w:color w:val="000000"/>
                <w:sz w:val="15"/>
                <w:szCs w:val="15"/>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hint="default" w:ascii="方正仿宋_GBK" w:eastAsia="方正仿宋_GBK" w:cs="宋体"/>
                <w:b/>
                <w:color w:val="000000"/>
                <w:sz w:val="15"/>
                <w:szCs w:val="15"/>
              </w:rPr>
              <w:t>10</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10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p>
        </w:tc>
      </w:tr>
      <w:tr>
        <w:tblPrEx>
          <w:tblCellMar>
            <w:top w:w="0" w:type="dxa"/>
            <w:left w:w="0" w:type="dxa"/>
            <w:bottom w:w="0" w:type="dxa"/>
            <w:right w:w="0" w:type="dxa"/>
          </w:tblCellMar>
        </w:tblPrEx>
        <w:trPr>
          <w:trHeight w:val="337" w:hRule="atLeast"/>
        </w:trPr>
        <w:tc>
          <w:tcPr>
            <w:tcW w:w="1125" w:type="dxa"/>
            <w:vMerge w:val="continue"/>
            <w:tcBorders>
              <w:left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default" w:cs="宋体"/>
                <w:b/>
                <w:color w:val="000000"/>
                <w:sz w:val="12"/>
                <w:szCs w:val="12"/>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地方公益林森林资源管护面积</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万亩</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hint="default" w:ascii="方正仿宋_GBK" w:eastAsia="方正仿宋_GBK" w:cs="宋体"/>
                <w:b/>
                <w:color w:val="000000"/>
                <w:sz w:val="15"/>
                <w:szCs w:val="15"/>
              </w:rPr>
              <w:t>50</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hint="default" w:ascii="方正仿宋_GBK" w:eastAsia="方正仿宋_GBK" w:cs="宋体"/>
                <w:b/>
                <w:color w:val="000000"/>
                <w:sz w:val="15"/>
                <w:szCs w:val="15"/>
              </w:rPr>
              <w:t>49.6</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hint="default" w:ascii="方正仿宋_GBK" w:eastAsia="方正仿宋_GBK" w:cs="宋体"/>
                <w:b/>
                <w:color w:val="000000"/>
                <w:sz w:val="15"/>
                <w:szCs w:val="15"/>
              </w:rPr>
              <w:t>0.8</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hint="default" w:ascii="方正仿宋_GBK" w:eastAsia="方正仿宋_GBK" w:cs="宋体"/>
                <w:b/>
                <w:color w:val="000000"/>
                <w:sz w:val="15"/>
                <w:szCs w:val="15"/>
              </w:rPr>
              <w:t>92</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hint="default" w:ascii="方正仿宋_GBK" w:eastAsia="方正仿宋_GBK" w:cs="宋体"/>
                <w:b/>
                <w:color w:val="000000"/>
                <w:sz w:val="15"/>
                <w:szCs w:val="15"/>
              </w:rPr>
              <w:t>20</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10.84</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p>
        </w:tc>
      </w:tr>
      <w:tr>
        <w:tblPrEx>
          <w:tblCellMar>
            <w:top w:w="0" w:type="dxa"/>
            <w:left w:w="0" w:type="dxa"/>
            <w:bottom w:w="0" w:type="dxa"/>
            <w:right w:w="0" w:type="dxa"/>
          </w:tblCellMar>
        </w:tblPrEx>
        <w:trPr>
          <w:trHeight w:val="337" w:hRule="atLeast"/>
        </w:trPr>
        <w:tc>
          <w:tcPr>
            <w:tcW w:w="1125" w:type="dxa"/>
            <w:vMerge w:val="continue"/>
            <w:tcBorders>
              <w:left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default" w:cs="宋体"/>
                <w:b/>
                <w:color w:val="000000"/>
                <w:sz w:val="12"/>
                <w:szCs w:val="12"/>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国家级公益林森林资源管护面积</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万亩</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hint="default" w:ascii="方正仿宋_GBK" w:eastAsia="方正仿宋_GBK" w:cs="宋体"/>
                <w:b/>
                <w:color w:val="000000"/>
                <w:sz w:val="15"/>
                <w:szCs w:val="15"/>
              </w:rPr>
              <w:t>60</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hint="default" w:ascii="方正仿宋_GBK" w:eastAsia="方正仿宋_GBK" w:cs="宋体"/>
                <w:b/>
                <w:color w:val="000000"/>
                <w:sz w:val="15"/>
                <w:szCs w:val="15"/>
              </w:rPr>
              <w:t>61.2</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hint="default" w:ascii="方正仿宋_GBK" w:eastAsia="方正仿宋_GBK" w:cs="宋体"/>
                <w:b/>
                <w:color w:val="000000"/>
                <w:sz w:val="15"/>
                <w:szCs w:val="15"/>
              </w:rPr>
              <w:t>2</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hint="default" w:ascii="方正仿宋_GBK" w:eastAsia="方正仿宋_GBK" w:cs="宋体"/>
                <w:b/>
                <w:color w:val="000000"/>
                <w:sz w:val="15"/>
                <w:szCs w:val="15"/>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hint="default" w:ascii="方正仿宋_GBK" w:eastAsia="方正仿宋_GBK" w:cs="宋体"/>
                <w:b/>
                <w:color w:val="000000"/>
                <w:sz w:val="15"/>
                <w:szCs w:val="15"/>
              </w:rPr>
              <w:t>20</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20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p>
        </w:tc>
      </w:tr>
      <w:tr>
        <w:tblPrEx>
          <w:tblCellMar>
            <w:top w:w="0" w:type="dxa"/>
            <w:left w:w="0" w:type="dxa"/>
            <w:bottom w:w="0" w:type="dxa"/>
            <w:right w:w="0" w:type="dxa"/>
          </w:tblCellMar>
        </w:tblPrEx>
        <w:trPr>
          <w:trHeight w:val="337" w:hRule="atLeast"/>
        </w:trPr>
        <w:tc>
          <w:tcPr>
            <w:tcW w:w="1125" w:type="dxa"/>
            <w:vMerge w:val="continue"/>
            <w:tcBorders>
              <w:left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default" w:cs="宋体"/>
                <w:b/>
                <w:color w:val="000000"/>
                <w:sz w:val="12"/>
                <w:szCs w:val="12"/>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森林覆盖率</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hint="default" w:ascii="方正仿宋_GBK" w:eastAsia="方正仿宋_GBK" w:cs="宋体"/>
                <w:b/>
                <w:color w:val="000000"/>
                <w:sz w:val="15"/>
                <w:szCs w:val="15"/>
              </w:rPr>
              <w:t>%</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hint="default" w:ascii="方正仿宋_GBK" w:eastAsia="方正仿宋_GBK" w:cs="宋体"/>
                <w:b/>
                <w:color w:val="000000"/>
                <w:sz w:val="15"/>
                <w:szCs w:val="15"/>
              </w:rPr>
              <w:t>47</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hint="default" w:ascii="方正仿宋_GBK" w:eastAsia="方正仿宋_GBK" w:cs="宋体"/>
                <w:b/>
                <w:color w:val="000000"/>
                <w:sz w:val="15"/>
                <w:szCs w:val="15"/>
              </w:rPr>
              <w:t>47.6</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hint="default" w:ascii="方正仿宋_GBK" w:eastAsia="方正仿宋_GBK" w:cs="宋体"/>
                <w:b/>
                <w:color w:val="000000"/>
                <w:sz w:val="15"/>
                <w:szCs w:val="15"/>
              </w:rPr>
              <w:t>1.28</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hint="default" w:ascii="方正仿宋_GBK" w:eastAsia="方正仿宋_GBK" w:cs="宋体"/>
                <w:b/>
                <w:color w:val="000000"/>
                <w:sz w:val="15"/>
                <w:szCs w:val="15"/>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10</w:t>
            </w:r>
          </w:p>
          <w:p>
            <w:pPr>
              <w:jc w:val="center"/>
              <w:rPr>
                <w:rFonts w:hint="default" w:ascii="方正仿宋_GBK" w:eastAsia="方正仿宋_GBK" w:cs="宋体"/>
                <w:b/>
                <w:color w:val="000000"/>
                <w:sz w:val="15"/>
                <w:szCs w:val="15"/>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10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p>
        </w:tc>
      </w:tr>
      <w:tr>
        <w:tblPrEx>
          <w:tblCellMar>
            <w:top w:w="0" w:type="dxa"/>
            <w:left w:w="0" w:type="dxa"/>
            <w:bottom w:w="0" w:type="dxa"/>
            <w:right w:w="0" w:type="dxa"/>
          </w:tblCellMar>
        </w:tblPrEx>
        <w:trPr>
          <w:trHeight w:val="337" w:hRule="atLeast"/>
        </w:trPr>
        <w:tc>
          <w:tcPr>
            <w:tcW w:w="1125" w:type="dxa"/>
            <w:vMerge w:val="continue"/>
            <w:tcBorders>
              <w:left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default" w:cs="宋体"/>
                <w:b/>
                <w:color w:val="000000"/>
                <w:sz w:val="12"/>
                <w:szCs w:val="12"/>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森林火灾受害率</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hint="default" w:ascii="方正仿宋_GBK" w:eastAsia="方正仿宋_GBK" w:cs="宋体"/>
                <w:b/>
                <w:color w:val="000000"/>
                <w:sz w:val="15"/>
                <w:szCs w:val="15"/>
              </w:rPr>
              <w:t>%</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hint="default" w:ascii="方正仿宋_GBK" w:eastAsia="方正仿宋_GBK" w:cs="宋体"/>
                <w:b/>
                <w:color w:val="000000"/>
                <w:sz w:val="15"/>
                <w:szCs w:val="15"/>
              </w:rPr>
              <w:t>0.03</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hint="default" w:ascii="方正仿宋_GBK" w:eastAsia="方正仿宋_GBK" w:cs="宋体"/>
                <w:b/>
                <w:color w:val="000000"/>
                <w:sz w:val="15"/>
                <w:szCs w:val="15"/>
              </w:rPr>
              <w:t>0</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hint="default" w:ascii="方正仿宋_GBK" w:eastAsia="方正仿宋_GBK" w:cs="宋体"/>
                <w:b/>
                <w:color w:val="000000"/>
                <w:sz w:val="15"/>
                <w:szCs w:val="15"/>
              </w:rPr>
              <w:t>100</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hint="default" w:ascii="方正仿宋_GBK" w:eastAsia="方正仿宋_GBK" w:cs="宋体"/>
                <w:b/>
                <w:color w:val="000000"/>
                <w:sz w:val="15"/>
                <w:szCs w:val="15"/>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10</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10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p>
        </w:tc>
      </w:tr>
      <w:tr>
        <w:tblPrEx>
          <w:tblCellMar>
            <w:top w:w="0" w:type="dxa"/>
            <w:left w:w="0" w:type="dxa"/>
            <w:bottom w:w="0" w:type="dxa"/>
            <w:right w:w="0" w:type="dxa"/>
          </w:tblCellMar>
        </w:tblPrEx>
        <w:trPr>
          <w:trHeight w:val="337" w:hRule="atLeast"/>
        </w:trPr>
        <w:tc>
          <w:tcPr>
            <w:tcW w:w="1125" w:type="dxa"/>
            <w:vMerge w:val="continue"/>
            <w:tcBorders>
              <w:left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default" w:cs="宋体"/>
                <w:b/>
                <w:color w:val="000000"/>
                <w:sz w:val="12"/>
                <w:szCs w:val="12"/>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主要林业有害生物成灾率</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hint="default" w:ascii="方正仿宋_GBK" w:eastAsia="方正仿宋_GBK" w:cs="宋体"/>
                <w:b/>
                <w:color w:val="000000"/>
                <w:sz w:val="15"/>
                <w:szCs w:val="15"/>
              </w:rPr>
              <w:t>%</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hint="default" w:ascii="方正仿宋_GBK" w:eastAsia="方正仿宋_GBK" w:cs="宋体"/>
                <w:b/>
                <w:color w:val="000000"/>
                <w:sz w:val="15"/>
                <w:szCs w:val="15"/>
              </w:rPr>
              <w:t>1</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hint="default" w:ascii="方正仿宋_GBK" w:eastAsia="方正仿宋_GBK" w:cs="宋体"/>
                <w:b/>
                <w:color w:val="000000"/>
                <w:sz w:val="15"/>
                <w:szCs w:val="15"/>
              </w:rPr>
              <w:t>0.077</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hint="default" w:ascii="方正仿宋_GBK" w:eastAsia="方正仿宋_GBK" w:cs="宋体"/>
                <w:b/>
                <w:color w:val="000000"/>
                <w:sz w:val="15"/>
                <w:szCs w:val="15"/>
              </w:rPr>
              <w:t>92.3</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hint="default" w:ascii="方正仿宋_GBK" w:eastAsia="方正仿宋_GBK" w:cs="宋体"/>
                <w:b/>
                <w:color w:val="000000"/>
                <w:sz w:val="15"/>
                <w:szCs w:val="15"/>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10</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10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p>
          <w:p>
            <w:pPr>
              <w:rPr>
                <w:rFonts w:hint="default" w:ascii="方正仿宋_GBK" w:eastAsia="方正仿宋_GBK" w:cs="宋体"/>
                <w:b/>
                <w:color w:val="000000"/>
                <w:sz w:val="15"/>
                <w:szCs w:val="15"/>
              </w:rPr>
            </w:pPr>
          </w:p>
        </w:tc>
      </w:tr>
      <w:tr>
        <w:tblPrEx>
          <w:tblCellMar>
            <w:top w:w="0" w:type="dxa"/>
            <w:left w:w="0" w:type="dxa"/>
            <w:bottom w:w="0" w:type="dxa"/>
            <w:right w:w="0" w:type="dxa"/>
          </w:tblCellMar>
        </w:tblPrEx>
        <w:trPr>
          <w:trHeight w:val="337" w:hRule="atLeast"/>
        </w:trPr>
        <w:tc>
          <w:tcPr>
            <w:tcW w:w="1125" w:type="dxa"/>
            <w:tcBorders>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default" w:cs="宋体"/>
                <w:b/>
                <w:color w:val="000000"/>
                <w:sz w:val="12"/>
                <w:szCs w:val="12"/>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新增绿化面积</w:t>
            </w:r>
          </w:p>
        </w:tc>
        <w:tc>
          <w:tcPr>
            <w:tcW w:w="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亩</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w:t>
            </w:r>
          </w:p>
        </w:tc>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hint="default" w:ascii="方正仿宋_GBK" w:eastAsia="方正仿宋_GBK" w:cs="宋体"/>
                <w:b/>
                <w:color w:val="000000"/>
                <w:sz w:val="15"/>
                <w:szCs w:val="15"/>
              </w:rPr>
              <w:t>60</w:t>
            </w:r>
          </w:p>
        </w:tc>
        <w:tc>
          <w:tcPr>
            <w:tcW w:w="74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hint="default" w:ascii="方正仿宋_GBK" w:eastAsia="方正仿宋_GBK" w:cs="宋体"/>
                <w:b/>
                <w:color w:val="000000"/>
                <w:sz w:val="15"/>
                <w:szCs w:val="15"/>
              </w:rPr>
              <w:t>60</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hint="default" w:ascii="方正仿宋_GBK" w:eastAsia="方正仿宋_GBK" w:cs="宋体"/>
                <w:b/>
                <w:color w:val="000000"/>
                <w:sz w:val="15"/>
                <w:szCs w:val="15"/>
              </w:rPr>
              <w:t>0</w:t>
            </w:r>
          </w:p>
        </w:tc>
        <w:tc>
          <w:tcPr>
            <w:tcW w:w="9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hint="default" w:ascii="方正仿宋_GBK" w:eastAsia="方正仿宋_GBK" w:cs="宋体"/>
                <w:b/>
                <w:color w:val="000000"/>
                <w:sz w:val="15"/>
                <w:szCs w:val="15"/>
              </w:rPr>
              <w:t>100</w:t>
            </w: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20</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20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p>
        </w:tc>
      </w:tr>
      <w:tr>
        <w:tblPrEx>
          <w:tblCellMar>
            <w:top w:w="0" w:type="dxa"/>
            <w:left w:w="0" w:type="dxa"/>
            <w:bottom w:w="0" w:type="dxa"/>
            <w:right w:w="0" w:type="dxa"/>
          </w:tblCellMar>
        </w:tblPrEx>
        <w:trPr>
          <w:trHeight w:val="415"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12"/>
                <w:szCs w:val="12"/>
              </w:rPr>
            </w:pPr>
            <w:r>
              <w:rPr>
                <w:rFonts w:ascii="方正仿宋_GBK" w:hAnsi="方正仿宋_GBK" w:eastAsia="方正仿宋_GBK" w:cs="方正仿宋_GBK"/>
                <w:b/>
                <w:color w:val="000000"/>
                <w:sz w:val="12"/>
                <w:szCs w:val="12"/>
              </w:rPr>
              <w:t>总体说明</w:t>
            </w:r>
          </w:p>
        </w:tc>
        <w:tc>
          <w:tcPr>
            <w:tcW w:w="6827"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方正仿宋_GBK" w:eastAsia="方正仿宋_GBK" w:cs="宋体"/>
                <w:b/>
                <w:color w:val="000000"/>
                <w:sz w:val="15"/>
                <w:szCs w:val="15"/>
              </w:rPr>
            </w:pPr>
          </w:p>
        </w:tc>
      </w:tr>
    </w:tbl>
    <w:p>
      <w:pPr>
        <w:pStyle w:val="12"/>
        <w:spacing w:before="0" w:beforeAutospacing="0" w:after="0" w:afterAutospacing="0"/>
        <w:ind w:firstLine="560"/>
        <w:rPr>
          <w:rFonts w:ascii="方正仿宋_GBK" w:hAnsi="方正仿宋_GBK" w:eastAsia="方正仿宋_GBK" w:cs="方正仿宋_GBK"/>
          <w:sz w:val="28"/>
          <w:szCs w:val="28"/>
          <w:shd w:val="clear" w:color="auto" w:fill="FFFFFF"/>
        </w:rPr>
      </w:pPr>
      <w:r>
        <w:rPr>
          <w:rFonts w:hint="eastAsia" w:ascii="方正仿宋_GBK" w:hAnsi="方正仿宋_GBK" w:eastAsia="方正仿宋_GBK" w:cs="方正仿宋_GBK"/>
          <w:sz w:val="28"/>
          <w:szCs w:val="28"/>
          <w:shd w:val="clear" w:color="auto" w:fill="FFFFFF"/>
        </w:rPr>
        <w:t>2.项目支出绩效自评汇总表</w:t>
      </w:r>
    </w:p>
    <w:tbl>
      <w:tblPr>
        <w:tblStyle w:val="7"/>
        <w:tblW w:w="7953" w:type="dxa"/>
        <w:tblInd w:w="93" w:type="dxa"/>
        <w:tblLayout w:type="autofit"/>
        <w:tblCellMar>
          <w:top w:w="0" w:type="dxa"/>
          <w:left w:w="108" w:type="dxa"/>
          <w:bottom w:w="0" w:type="dxa"/>
          <w:right w:w="108" w:type="dxa"/>
        </w:tblCellMar>
      </w:tblPr>
      <w:tblGrid>
        <w:gridCol w:w="580"/>
        <w:gridCol w:w="2280"/>
        <w:gridCol w:w="3959"/>
        <w:gridCol w:w="1134"/>
      </w:tblGrid>
      <w:tr>
        <w:tblPrEx>
          <w:tblCellMar>
            <w:top w:w="0" w:type="dxa"/>
            <w:left w:w="108" w:type="dxa"/>
            <w:bottom w:w="0" w:type="dxa"/>
            <w:right w:w="108" w:type="dxa"/>
          </w:tblCellMar>
        </w:tblPrEx>
        <w:trPr>
          <w:trHeight w:val="345" w:hRule="atLeast"/>
        </w:trPr>
        <w:tc>
          <w:tcPr>
            <w:tcW w:w="7953" w:type="dxa"/>
            <w:gridSpan w:val="4"/>
            <w:tcBorders>
              <w:top w:val="nil"/>
              <w:left w:val="nil"/>
              <w:bottom w:val="single" w:color="auto" w:sz="4" w:space="0"/>
              <w:right w:val="nil"/>
            </w:tcBorders>
            <w:shd w:val="clear" w:color="auto" w:fill="auto"/>
            <w:vAlign w:val="center"/>
          </w:tcPr>
          <w:p>
            <w:pPr>
              <w:jc w:val="center"/>
              <w:rPr>
                <w:rFonts w:hint="default" w:ascii="方正仿宋_GBK" w:eastAsia="方正仿宋_GBK" w:cs="宋体"/>
                <w:b/>
                <w:color w:val="000000"/>
                <w:sz w:val="15"/>
                <w:szCs w:val="15"/>
              </w:rPr>
            </w:pPr>
          </w:p>
        </w:tc>
      </w:tr>
      <w:tr>
        <w:tblPrEx>
          <w:tblCellMar>
            <w:top w:w="0" w:type="dxa"/>
            <w:left w:w="108" w:type="dxa"/>
            <w:bottom w:w="0" w:type="dxa"/>
            <w:right w:w="108" w:type="dxa"/>
          </w:tblCellMar>
        </w:tblPrEx>
        <w:trPr>
          <w:trHeight w:val="555"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序号</w:t>
            </w:r>
          </w:p>
        </w:tc>
        <w:tc>
          <w:tcPr>
            <w:tcW w:w="2280" w:type="dxa"/>
            <w:tcBorders>
              <w:top w:val="nil"/>
              <w:left w:val="nil"/>
              <w:bottom w:val="single" w:color="auto" w:sz="4" w:space="0"/>
              <w:right w:val="single" w:color="auto" w:sz="4" w:space="0"/>
            </w:tcBorders>
            <w:shd w:val="clear" w:color="auto" w:fill="auto"/>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单位信息</w:t>
            </w:r>
          </w:p>
        </w:tc>
        <w:tc>
          <w:tcPr>
            <w:tcW w:w="3959" w:type="dxa"/>
            <w:tcBorders>
              <w:top w:val="nil"/>
              <w:left w:val="nil"/>
              <w:bottom w:val="single" w:color="auto" w:sz="4" w:space="0"/>
              <w:right w:val="single" w:color="auto" w:sz="4" w:space="0"/>
            </w:tcBorders>
            <w:shd w:val="clear" w:color="auto" w:fill="auto"/>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项目名称</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自评得分</w:t>
            </w:r>
          </w:p>
        </w:tc>
      </w:tr>
      <w:tr>
        <w:tblPrEx>
          <w:tblCellMar>
            <w:top w:w="0" w:type="dxa"/>
            <w:left w:w="108" w:type="dxa"/>
            <w:bottom w:w="0" w:type="dxa"/>
            <w:right w:w="108" w:type="dxa"/>
          </w:tblCellMar>
        </w:tblPrEx>
        <w:trPr>
          <w:trHeight w:val="555"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1</w:t>
            </w:r>
          </w:p>
        </w:tc>
        <w:tc>
          <w:tcPr>
            <w:tcW w:w="2280" w:type="dxa"/>
            <w:tcBorders>
              <w:top w:val="nil"/>
              <w:left w:val="nil"/>
              <w:bottom w:val="single" w:color="auto" w:sz="4" w:space="0"/>
              <w:right w:val="single" w:color="auto" w:sz="4" w:space="0"/>
            </w:tcBorders>
            <w:shd w:val="clear" w:color="auto" w:fill="auto"/>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重庆市涪陵区林业局（本级）</w:t>
            </w:r>
          </w:p>
        </w:tc>
        <w:tc>
          <w:tcPr>
            <w:tcW w:w="3959" w:type="dxa"/>
            <w:tcBorders>
              <w:top w:val="nil"/>
              <w:left w:val="nil"/>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国土绿化提升行动　</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　85</w:t>
            </w:r>
          </w:p>
        </w:tc>
      </w:tr>
      <w:tr>
        <w:trPr>
          <w:trHeight w:val="555"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2</w:t>
            </w:r>
          </w:p>
        </w:tc>
        <w:tc>
          <w:tcPr>
            <w:tcW w:w="2280" w:type="dxa"/>
            <w:tcBorders>
              <w:top w:val="nil"/>
              <w:left w:val="nil"/>
              <w:bottom w:val="single" w:color="auto" w:sz="4" w:space="0"/>
              <w:right w:val="single" w:color="auto" w:sz="4" w:space="0"/>
            </w:tcBorders>
            <w:shd w:val="clear" w:color="auto" w:fill="auto"/>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重庆市涪陵区林业局（本级）</w:t>
            </w:r>
          </w:p>
        </w:tc>
        <w:tc>
          <w:tcPr>
            <w:tcW w:w="3959" w:type="dxa"/>
            <w:tcBorders>
              <w:top w:val="nil"/>
              <w:left w:val="nil"/>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hint="default" w:ascii="方正仿宋_GBK" w:hAnsi="Times New Roman" w:eastAsia="方正仿宋_GBK"/>
                <w:b/>
                <w:color w:val="000000"/>
                <w:sz w:val="15"/>
                <w:szCs w:val="15"/>
              </w:rPr>
              <w:t>2023年森林资源管护费</w:t>
            </w:r>
            <w:r>
              <w:rPr>
                <w:rFonts w:ascii="方正仿宋_GBK" w:hAnsi="Times New Roman" w:eastAsia="方正仿宋_GBK"/>
                <w:b/>
                <w:color w:val="000000"/>
                <w:sz w:val="15"/>
                <w:szCs w:val="15"/>
              </w:rPr>
              <w:t>　</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100　</w:t>
            </w:r>
          </w:p>
        </w:tc>
      </w:tr>
      <w:tr>
        <w:tblPrEx>
          <w:tblCellMar>
            <w:top w:w="0" w:type="dxa"/>
            <w:left w:w="108" w:type="dxa"/>
            <w:bottom w:w="0" w:type="dxa"/>
            <w:right w:w="108" w:type="dxa"/>
          </w:tblCellMar>
        </w:tblPrEx>
        <w:trPr>
          <w:trHeight w:val="555"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3</w:t>
            </w:r>
          </w:p>
        </w:tc>
        <w:tc>
          <w:tcPr>
            <w:tcW w:w="2280" w:type="dxa"/>
            <w:tcBorders>
              <w:top w:val="nil"/>
              <w:left w:val="nil"/>
              <w:bottom w:val="single" w:color="auto" w:sz="4" w:space="0"/>
              <w:right w:val="single" w:color="auto" w:sz="4" w:space="0"/>
            </w:tcBorders>
            <w:shd w:val="clear" w:color="auto" w:fill="auto"/>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重庆市涪陵区林业局（本级）</w:t>
            </w:r>
          </w:p>
        </w:tc>
        <w:tc>
          <w:tcPr>
            <w:tcW w:w="3959" w:type="dxa"/>
            <w:tcBorders>
              <w:top w:val="nil"/>
              <w:left w:val="nil"/>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森林防火宣传　</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100　</w:t>
            </w:r>
          </w:p>
        </w:tc>
      </w:tr>
      <w:tr>
        <w:tblPrEx>
          <w:tblCellMar>
            <w:top w:w="0" w:type="dxa"/>
            <w:left w:w="108" w:type="dxa"/>
            <w:bottom w:w="0" w:type="dxa"/>
            <w:right w:w="108" w:type="dxa"/>
          </w:tblCellMar>
        </w:tblPrEx>
        <w:trPr>
          <w:trHeight w:val="555"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4</w:t>
            </w:r>
          </w:p>
        </w:tc>
        <w:tc>
          <w:tcPr>
            <w:tcW w:w="2280" w:type="dxa"/>
            <w:tcBorders>
              <w:top w:val="nil"/>
              <w:left w:val="nil"/>
              <w:bottom w:val="single" w:color="auto" w:sz="4" w:space="0"/>
              <w:right w:val="single" w:color="auto" w:sz="4" w:space="0"/>
            </w:tcBorders>
            <w:shd w:val="clear" w:color="auto" w:fill="auto"/>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重庆市涪陵区林业局（本级）</w:t>
            </w:r>
          </w:p>
        </w:tc>
        <w:tc>
          <w:tcPr>
            <w:tcW w:w="3959" w:type="dxa"/>
            <w:tcBorders>
              <w:top w:val="nil"/>
              <w:left w:val="nil"/>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涪陵区森林草原火情智能监控购买服务</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100</w:t>
            </w:r>
          </w:p>
        </w:tc>
      </w:tr>
      <w:tr>
        <w:tblPrEx>
          <w:tblCellMar>
            <w:top w:w="0" w:type="dxa"/>
            <w:left w:w="108" w:type="dxa"/>
            <w:bottom w:w="0" w:type="dxa"/>
            <w:right w:w="108" w:type="dxa"/>
          </w:tblCellMar>
        </w:tblPrEx>
        <w:trPr>
          <w:trHeight w:val="555"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5</w:t>
            </w:r>
          </w:p>
        </w:tc>
        <w:tc>
          <w:tcPr>
            <w:tcW w:w="2280" w:type="dxa"/>
            <w:tcBorders>
              <w:top w:val="nil"/>
              <w:left w:val="nil"/>
              <w:bottom w:val="single" w:color="auto" w:sz="4" w:space="0"/>
              <w:right w:val="single" w:color="auto" w:sz="4" w:space="0"/>
            </w:tcBorders>
            <w:shd w:val="clear" w:color="auto" w:fill="auto"/>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重庆市涪陵区林业局（本级）</w:t>
            </w:r>
          </w:p>
        </w:tc>
        <w:tc>
          <w:tcPr>
            <w:tcW w:w="3959" w:type="dxa"/>
            <w:tcBorders>
              <w:top w:val="nil"/>
              <w:left w:val="nil"/>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区国有林场森林消防专业队运行项目</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100</w:t>
            </w:r>
          </w:p>
        </w:tc>
      </w:tr>
      <w:tr>
        <w:trPr>
          <w:trHeight w:val="555"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6</w:t>
            </w:r>
          </w:p>
        </w:tc>
        <w:tc>
          <w:tcPr>
            <w:tcW w:w="2280" w:type="dxa"/>
            <w:tcBorders>
              <w:top w:val="nil"/>
              <w:left w:val="nil"/>
              <w:bottom w:val="single" w:color="auto" w:sz="4" w:space="0"/>
              <w:right w:val="single" w:color="auto" w:sz="4" w:space="0"/>
            </w:tcBorders>
            <w:shd w:val="clear" w:color="auto" w:fill="auto"/>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重庆市涪陵区林业局（本级）</w:t>
            </w:r>
          </w:p>
        </w:tc>
        <w:tc>
          <w:tcPr>
            <w:tcW w:w="3959" w:type="dxa"/>
            <w:tcBorders>
              <w:top w:val="nil"/>
              <w:left w:val="nil"/>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涪陵区</w:t>
            </w:r>
            <w:r>
              <w:rPr>
                <w:rFonts w:hint="default" w:ascii="方正仿宋_GBK" w:hAnsi="Times New Roman" w:eastAsia="方正仿宋_GBK"/>
                <w:b/>
                <w:color w:val="000000"/>
                <w:sz w:val="15"/>
                <w:szCs w:val="15"/>
              </w:rPr>
              <w:t>2023年同乐镇雪峰村花卉产业示范基地建设项目</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100</w:t>
            </w:r>
          </w:p>
        </w:tc>
      </w:tr>
      <w:tr>
        <w:tblPrEx>
          <w:tblCellMar>
            <w:top w:w="0" w:type="dxa"/>
            <w:left w:w="108" w:type="dxa"/>
            <w:bottom w:w="0" w:type="dxa"/>
            <w:right w:w="108" w:type="dxa"/>
          </w:tblCellMar>
        </w:tblPrEx>
        <w:trPr>
          <w:trHeight w:val="555"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7</w:t>
            </w:r>
          </w:p>
        </w:tc>
        <w:tc>
          <w:tcPr>
            <w:tcW w:w="2280" w:type="dxa"/>
            <w:tcBorders>
              <w:top w:val="nil"/>
              <w:left w:val="nil"/>
              <w:bottom w:val="single" w:color="auto" w:sz="4" w:space="0"/>
              <w:right w:val="single" w:color="auto" w:sz="4" w:space="0"/>
            </w:tcBorders>
            <w:shd w:val="clear" w:color="auto" w:fill="auto"/>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重庆市涪陵区林业局（本级）</w:t>
            </w:r>
          </w:p>
        </w:tc>
        <w:tc>
          <w:tcPr>
            <w:tcW w:w="3959" w:type="dxa"/>
            <w:tcBorders>
              <w:top w:val="nil"/>
              <w:left w:val="nil"/>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中央及市级林业改革发展项目</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100</w:t>
            </w:r>
          </w:p>
        </w:tc>
      </w:tr>
      <w:tr>
        <w:tblPrEx>
          <w:tblCellMar>
            <w:top w:w="0" w:type="dxa"/>
            <w:left w:w="108" w:type="dxa"/>
            <w:bottom w:w="0" w:type="dxa"/>
            <w:right w:w="108" w:type="dxa"/>
          </w:tblCellMar>
        </w:tblPrEx>
        <w:trPr>
          <w:trHeight w:val="555"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8</w:t>
            </w:r>
          </w:p>
        </w:tc>
        <w:tc>
          <w:tcPr>
            <w:tcW w:w="2280" w:type="dxa"/>
            <w:tcBorders>
              <w:top w:val="nil"/>
              <w:left w:val="nil"/>
              <w:bottom w:val="single" w:color="auto" w:sz="4" w:space="0"/>
              <w:right w:val="single" w:color="auto" w:sz="4" w:space="0"/>
            </w:tcBorders>
            <w:shd w:val="clear" w:color="auto" w:fill="auto"/>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重庆市涪陵区林业局（本级）</w:t>
            </w:r>
          </w:p>
        </w:tc>
        <w:tc>
          <w:tcPr>
            <w:tcW w:w="3959" w:type="dxa"/>
            <w:tcBorders>
              <w:top w:val="nil"/>
              <w:left w:val="nil"/>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三峡后续项目</w:t>
            </w:r>
            <w:r>
              <w:rPr>
                <w:rFonts w:hint="default" w:ascii="方正仿宋_GBK" w:hAnsi="Times New Roman" w:eastAsia="方正仿宋_GBK"/>
                <w:b/>
                <w:color w:val="000000"/>
                <w:sz w:val="15"/>
                <w:szCs w:val="15"/>
              </w:rPr>
              <w:t>-千里林带</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100</w:t>
            </w:r>
          </w:p>
        </w:tc>
      </w:tr>
      <w:tr>
        <w:tblPrEx>
          <w:tblCellMar>
            <w:top w:w="0" w:type="dxa"/>
            <w:left w:w="108" w:type="dxa"/>
            <w:bottom w:w="0" w:type="dxa"/>
            <w:right w:w="108" w:type="dxa"/>
          </w:tblCellMar>
        </w:tblPrEx>
        <w:trPr>
          <w:trHeight w:val="555"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9</w:t>
            </w:r>
          </w:p>
        </w:tc>
        <w:tc>
          <w:tcPr>
            <w:tcW w:w="2280" w:type="dxa"/>
            <w:tcBorders>
              <w:top w:val="nil"/>
              <w:left w:val="nil"/>
              <w:bottom w:val="single" w:color="auto" w:sz="4" w:space="0"/>
              <w:right w:val="single" w:color="auto" w:sz="4" w:space="0"/>
            </w:tcBorders>
            <w:shd w:val="clear" w:color="auto" w:fill="auto"/>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重庆市涪陵区林业局（本级）</w:t>
            </w:r>
          </w:p>
        </w:tc>
        <w:tc>
          <w:tcPr>
            <w:tcW w:w="3959" w:type="dxa"/>
            <w:tcBorders>
              <w:top w:val="nil"/>
              <w:left w:val="nil"/>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长江绿化土地流转项目</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100</w:t>
            </w:r>
          </w:p>
        </w:tc>
      </w:tr>
      <w:tr>
        <w:trPr>
          <w:trHeight w:val="555"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10</w:t>
            </w:r>
          </w:p>
        </w:tc>
        <w:tc>
          <w:tcPr>
            <w:tcW w:w="2280" w:type="dxa"/>
            <w:tcBorders>
              <w:top w:val="nil"/>
              <w:left w:val="nil"/>
              <w:bottom w:val="single" w:color="auto" w:sz="4" w:space="0"/>
              <w:right w:val="single" w:color="auto" w:sz="4" w:space="0"/>
            </w:tcBorders>
            <w:shd w:val="clear" w:color="auto" w:fill="auto"/>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重庆市涪陵区林业局（本级）</w:t>
            </w:r>
          </w:p>
        </w:tc>
        <w:tc>
          <w:tcPr>
            <w:tcW w:w="3959" w:type="dxa"/>
            <w:tcBorders>
              <w:top w:val="nil"/>
              <w:left w:val="nil"/>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差异化运转项目</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100</w:t>
            </w:r>
          </w:p>
        </w:tc>
      </w:tr>
      <w:tr>
        <w:tblPrEx>
          <w:tblCellMar>
            <w:top w:w="0" w:type="dxa"/>
            <w:left w:w="108" w:type="dxa"/>
            <w:bottom w:w="0" w:type="dxa"/>
            <w:right w:w="108" w:type="dxa"/>
          </w:tblCellMar>
        </w:tblPrEx>
        <w:trPr>
          <w:trHeight w:val="555"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11</w:t>
            </w:r>
          </w:p>
        </w:tc>
        <w:tc>
          <w:tcPr>
            <w:tcW w:w="2280" w:type="dxa"/>
            <w:tcBorders>
              <w:top w:val="nil"/>
              <w:left w:val="nil"/>
              <w:bottom w:val="single" w:color="auto" w:sz="4" w:space="0"/>
              <w:right w:val="single" w:color="auto" w:sz="4" w:space="0"/>
            </w:tcBorders>
            <w:shd w:val="clear" w:color="auto" w:fill="auto"/>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重庆市涪陵区林业局（本级）</w:t>
            </w:r>
          </w:p>
        </w:tc>
        <w:tc>
          <w:tcPr>
            <w:tcW w:w="3959" w:type="dxa"/>
            <w:tcBorders>
              <w:top w:val="nil"/>
              <w:left w:val="nil"/>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森林防火标准化检查站</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100</w:t>
            </w:r>
          </w:p>
        </w:tc>
      </w:tr>
      <w:tr>
        <w:tblPrEx>
          <w:tblCellMar>
            <w:top w:w="0" w:type="dxa"/>
            <w:left w:w="108" w:type="dxa"/>
            <w:bottom w:w="0" w:type="dxa"/>
            <w:right w:w="108" w:type="dxa"/>
          </w:tblCellMar>
        </w:tblPrEx>
        <w:trPr>
          <w:trHeight w:val="555"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12</w:t>
            </w:r>
          </w:p>
        </w:tc>
        <w:tc>
          <w:tcPr>
            <w:tcW w:w="2280" w:type="dxa"/>
            <w:tcBorders>
              <w:top w:val="nil"/>
              <w:left w:val="nil"/>
              <w:bottom w:val="single" w:color="auto" w:sz="4" w:space="0"/>
              <w:right w:val="single" w:color="auto" w:sz="4" w:space="0"/>
            </w:tcBorders>
            <w:shd w:val="clear" w:color="auto" w:fill="auto"/>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重庆市涪陵区林业局（本级）</w:t>
            </w:r>
          </w:p>
        </w:tc>
        <w:tc>
          <w:tcPr>
            <w:tcW w:w="3959" w:type="dxa"/>
            <w:tcBorders>
              <w:top w:val="nil"/>
              <w:left w:val="nil"/>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区国有林场森林消防专业队建队项目</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70</w:t>
            </w:r>
          </w:p>
        </w:tc>
      </w:tr>
      <w:tr>
        <w:tblPrEx>
          <w:tblCellMar>
            <w:top w:w="0" w:type="dxa"/>
            <w:left w:w="108" w:type="dxa"/>
            <w:bottom w:w="0" w:type="dxa"/>
            <w:right w:w="108" w:type="dxa"/>
          </w:tblCellMar>
        </w:tblPrEx>
        <w:trPr>
          <w:trHeight w:val="555"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13</w:t>
            </w:r>
          </w:p>
        </w:tc>
        <w:tc>
          <w:tcPr>
            <w:tcW w:w="2280" w:type="dxa"/>
            <w:tcBorders>
              <w:top w:val="nil"/>
              <w:left w:val="nil"/>
              <w:bottom w:val="single" w:color="auto" w:sz="4" w:space="0"/>
              <w:right w:val="single" w:color="auto" w:sz="4" w:space="0"/>
            </w:tcBorders>
            <w:shd w:val="clear" w:color="auto" w:fill="auto"/>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重庆市涪陵区林业局（本级）</w:t>
            </w:r>
          </w:p>
        </w:tc>
        <w:tc>
          <w:tcPr>
            <w:tcW w:w="3959" w:type="dxa"/>
            <w:tcBorders>
              <w:top w:val="nil"/>
              <w:left w:val="nil"/>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涪陵区百胜镇等</w:t>
            </w:r>
            <w:r>
              <w:rPr>
                <w:rFonts w:hint="default" w:ascii="方正仿宋_GBK" w:hAnsi="Times New Roman" w:eastAsia="方正仿宋_GBK"/>
                <w:b/>
                <w:color w:val="000000"/>
                <w:sz w:val="15"/>
                <w:szCs w:val="15"/>
              </w:rPr>
              <w:t>13个镇街和2个国有林场森林病虫害防治</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96.67</w:t>
            </w:r>
          </w:p>
        </w:tc>
      </w:tr>
      <w:tr>
        <w:trPr>
          <w:trHeight w:val="555"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14</w:t>
            </w:r>
          </w:p>
        </w:tc>
        <w:tc>
          <w:tcPr>
            <w:tcW w:w="2280" w:type="dxa"/>
            <w:tcBorders>
              <w:top w:val="nil"/>
              <w:left w:val="nil"/>
              <w:bottom w:val="single" w:color="auto" w:sz="4" w:space="0"/>
              <w:right w:val="single" w:color="auto" w:sz="4" w:space="0"/>
            </w:tcBorders>
            <w:shd w:val="clear" w:color="auto" w:fill="auto"/>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重庆市涪陵区林业局（本级）</w:t>
            </w:r>
          </w:p>
        </w:tc>
        <w:tc>
          <w:tcPr>
            <w:tcW w:w="3959" w:type="dxa"/>
            <w:tcBorders>
              <w:top w:val="nil"/>
              <w:left w:val="nil"/>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涪陵区白涛街道等</w:t>
            </w:r>
            <w:r>
              <w:rPr>
                <w:rFonts w:hint="default" w:ascii="方正仿宋_GBK" w:hAnsi="Times New Roman" w:eastAsia="方正仿宋_GBK"/>
                <w:b/>
                <w:color w:val="000000"/>
                <w:sz w:val="15"/>
                <w:szCs w:val="15"/>
              </w:rPr>
              <w:t>13个镇街森林病虫害防治</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77.77</w:t>
            </w:r>
          </w:p>
        </w:tc>
      </w:tr>
      <w:tr>
        <w:tblPrEx>
          <w:tblCellMar>
            <w:top w:w="0" w:type="dxa"/>
            <w:left w:w="108" w:type="dxa"/>
            <w:bottom w:w="0" w:type="dxa"/>
            <w:right w:w="108" w:type="dxa"/>
          </w:tblCellMar>
        </w:tblPrEx>
        <w:trPr>
          <w:trHeight w:val="555"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15</w:t>
            </w:r>
          </w:p>
        </w:tc>
        <w:tc>
          <w:tcPr>
            <w:tcW w:w="2280" w:type="dxa"/>
            <w:tcBorders>
              <w:top w:val="nil"/>
              <w:left w:val="nil"/>
              <w:bottom w:val="single" w:color="auto" w:sz="4" w:space="0"/>
              <w:right w:val="single" w:color="auto" w:sz="4" w:space="0"/>
            </w:tcBorders>
            <w:shd w:val="clear" w:color="auto" w:fill="auto"/>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重庆市涪陵区林业局（本级）</w:t>
            </w:r>
          </w:p>
        </w:tc>
        <w:tc>
          <w:tcPr>
            <w:tcW w:w="3959" w:type="dxa"/>
            <w:tcBorders>
              <w:top w:val="nil"/>
              <w:left w:val="nil"/>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自然保护区管理</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100</w:t>
            </w:r>
          </w:p>
        </w:tc>
      </w:tr>
      <w:tr>
        <w:tblPrEx>
          <w:tblCellMar>
            <w:top w:w="0" w:type="dxa"/>
            <w:left w:w="108" w:type="dxa"/>
            <w:bottom w:w="0" w:type="dxa"/>
            <w:right w:w="108" w:type="dxa"/>
          </w:tblCellMar>
        </w:tblPrEx>
        <w:trPr>
          <w:trHeight w:val="555"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16</w:t>
            </w:r>
          </w:p>
        </w:tc>
        <w:tc>
          <w:tcPr>
            <w:tcW w:w="2280" w:type="dxa"/>
            <w:tcBorders>
              <w:top w:val="nil"/>
              <w:left w:val="nil"/>
              <w:bottom w:val="single" w:color="auto" w:sz="4" w:space="0"/>
              <w:right w:val="single" w:color="auto" w:sz="4" w:space="0"/>
            </w:tcBorders>
            <w:shd w:val="clear" w:color="auto" w:fill="auto"/>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重庆市涪陵区林业局（本级）</w:t>
            </w:r>
          </w:p>
        </w:tc>
        <w:tc>
          <w:tcPr>
            <w:tcW w:w="3959" w:type="dxa"/>
            <w:tcBorders>
              <w:top w:val="nil"/>
              <w:left w:val="nil"/>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遗属人员基本生活补助</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100</w:t>
            </w:r>
          </w:p>
        </w:tc>
      </w:tr>
      <w:tr>
        <w:tblPrEx>
          <w:tblCellMar>
            <w:top w:w="0" w:type="dxa"/>
            <w:left w:w="108" w:type="dxa"/>
            <w:bottom w:w="0" w:type="dxa"/>
            <w:right w:w="108" w:type="dxa"/>
          </w:tblCellMar>
        </w:tblPrEx>
        <w:trPr>
          <w:trHeight w:val="555"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17</w:t>
            </w:r>
          </w:p>
        </w:tc>
        <w:tc>
          <w:tcPr>
            <w:tcW w:w="2280" w:type="dxa"/>
            <w:tcBorders>
              <w:top w:val="nil"/>
              <w:left w:val="nil"/>
              <w:bottom w:val="single" w:color="auto" w:sz="4" w:space="0"/>
              <w:right w:val="single" w:color="auto" w:sz="4" w:space="0"/>
            </w:tcBorders>
            <w:shd w:val="clear" w:color="auto" w:fill="auto"/>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重庆市涪陵区林业局（本级）</w:t>
            </w:r>
          </w:p>
        </w:tc>
        <w:tc>
          <w:tcPr>
            <w:tcW w:w="3959" w:type="dxa"/>
            <w:tcBorders>
              <w:top w:val="nil"/>
              <w:left w:val="nil"/>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新一轮退耕还林项目</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64</w:t>
            </w:r>
          </w:p>
        </w:tc>
      </w:tr>
      <w:tr>
        <w:trPr>
          <w:trHeight w:val="555"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18</w:t>
            </w:r>
          </w:p>
        </w:tc>
        <w:tc>
          <w:tcPr>
            <w:tcW w:w="2280" w:type="dxa"/>
            <w:tcBorders>
              <w:top w:val="nil"/>
              <w:left w:val="nil"/>
              <w:bottom w:val="single" w:color="auto" w:sz="4" w:space="0"/>
              <w:right w:val="single" w:color="auto" w:sz="4" w:space="0"/>
            </w:tcBorders>
            <w:shd w:val="clear" w:color="auto" w:fill="auto"/>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重庆市涪陵区林业局（本级）</w:t>
            </w:r>
          </w:p>
        </w:tc>
        <w:tc>
          <w:tcPr>
            <w:tcW w:w="3959" w:type="dxa"/>
            <w:tcBorders>
              <w:top w:val="nil"/>
              <w:left w:val="nil"/>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涪陵区</w:t>
            </w:r>
            <w:r>
              <w:rPr>
                <w:rFonts w:hint="default" w:ascii="方正仿宋_GBK" w:hAnsi="Times New Roman" w:eastAsia="方正仿宋_GBK"/>
                <w:b/>
                <w:color w:val="000000"/>
                <w:sz w:val="15"/>
                <w:szCs w:val="15"/>
              </w:rPr>
              <w:t>2023年马武镇石朝门村花卉产业示范基地建设项目</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100</w:t>
            </w:r>
          </w:p>
        </w:tc>
      </w:tr>
      <w:tr>
        <w:tblPrEx>
          <w:tblCellMar>
            <w:top w:w="0" w:type="dxa"/>
            <w:left w:w="108" w:type="dxa"/>
            <w:bottom w:w="0" w:type="dxa"/>
            <w:right w:w="108" w:type="dxa"/>
          </w:tblCellMar>
        </w:tblPrEx>
        <w:trPr>
          <w:trHeight w:val="555"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19</w:t>
            </w:r>
          </w:p>
        </w:tc>
        <w:tc>
          <w:tcPr>
            <w:tcW w:w="2280" w:type="dxa"/>
            <w:tcBorders>
              <w:top w:val="nil"/>
              <w:left w:val="nil"/>
              <w:bottom w:val="single" w:color="auto" w:sz="4" w:space="0"/>
              <w:right w:val="single" w:color="auto" w:sz="4" w:space="0"/>
            </w:tcBorders>
            <w:shd w:val="clear" w:color="auto" w:fill="auto"/>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重庆市涪陵区林业局（本级）</w:t>
            </w:r>
          </w:p>
        </w:tc>
        <w:tc>
          <w:tcPr>
            <w:tcW w:w="3959" w:type="dxa"/>
            <w:tcBorders>
              <w:top w:val="nil"/>
              <w:left w:val="nil"/>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湿地等生态保护支出</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100</w:t>
            </w:r>
          </w:p>
        </w:tc>
      </w:tr>
      <w:tr>
        <w:tblPrEx>
          <w:tblCellMar>
            <w:top w:w="0" w:type="dxa"/>
            <w:left w:w="108" w:type="dxa"/>
            <w:bottom w:w="0" w:type="dxa"/>
            <w:right w:w="108" w:type="dxa"/>
          </w:tblCellMar>
        </w:tblPrEx>
        <w:trPr>
          <w:trHeight w:val="555"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20</w:t>
            </w:r>
          </w:p>
        </w:tc>
        <w:tc>
          <w:tcPr>
            <w:tcW w:w="2280" w:type="dxa"/>
            <w:tcBorders>
              <w:top w:val="nil"/>
              <w:left w:val="nil"/>
              <w:bottom w:val="single" w:color="auto" w:sz="4" w:space="0"/>
              <w:right w:val="single" w:color="auto" w:sz="4" w:space="0"/>
            </w:tcBorders>
            <w:shd w:val="clear" w:color="auto" w:fill="auto"/>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重庆市涪陵区林业局（本级）</w:t>
            </w:r>
          </w:p>
        </w:tc>
        <w:tc>
          <w:tcPr>
            <w:tcW w:w="3959" w:type="dxa"/>
            <w:tcBorders>
              <w:top w:val="nil"/>
              <w:left w:val="nil"/>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创建国家森林城市项目</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100</w:t>
            </w:r>
          </w:p>
        </w:tc>
      </w:tr>
      <w:tr>
        <w:tblPrEx>
          <w:tblCellMar>
            <w:top w:w="0" w:type="dxa"/>
            <w:left w:w="108" w:type="dxa"/>
            <w:bottom w:w="0" w:type="dxa"/>
            <w:right w:w="108" w:type="dxa"/>
          </w:tblCellMar>
        </w:tblPrEx>
        <w:trPr>
          <w:trHeight w:val="555"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21</w:t>
            </w:r>
          </w:p>
        </w:tc>
        <w:tc>
          <w:tcPr>
            <w:tcW w:w="2280" w:type="dxa"/>
            <w:tcBorders>
              <w:top w:val="nil"/>
              <w:left w:val="nil"/>
              <w:bottom w:val="single" w:color="auto" w:sz="4" w:space="0"/>
              <w:right w:val="single" w:color="auto" w:sz="4" w:space="0"/>
            </w:tcBorders>
            <w:shd w:val="clear" w:color="auto" w:fill="auto"/>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重庆市涪陵区林业局（本级）</w:t>
            </w:r>
          </w:p>
        </w:tc>
        <w:tc>
          <w:tcPr>
            <w:tcW w:w="3959" w:type="dxa"/>
            <w:tcBorders>
              <w:top w:val="nil"/>
              <w:left w:val="nil"/>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森林资源培育及森林生态效益补偿项目</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98.4</w:t>
            </w:r>
          </w:p>
        </w:tc>
      </w:tr>
      <w:tr>
        <w:trPr>
          <w:trHeight w:val="555"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22</w:t>
            </w:r>
          </w:p>
        </w:tc>
        <w:tc>
          <w:tcPr>
            <w:tcW w:w="2280" w:type="dxa"/>
            <w:tcBorders>
              <w:top w:val="nil"/>
              <w:left w:val="nil"/>
              <w:bottom w:val="single" w:color="auto" w:sz="4" w:space="0"/>
              <w:right w:val="single" w:color="auto" w:sz="4" w:space="0"/>
            </w:tcBorders>
            <w:shd w:val="clear" w:color="auto" w:fill="auto"/>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重庆市涪陵区林业局（本级）</w:t>
            </w:r>
          </w:p>
        </w:tc>
        <w:tc>
          <w:tcPr>
            <w:tcW w:w="3959" w:type="dxa"/>
            <w:tcBorders>
              <w:top w:val="nil"/>
              <w:left w:val="nil"/>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涪陵区白涛街道等</w:t>
            </w:r>
            <w:r>
              <w:rPr>
                <w:rFonts w:hint="default" w:ascii="方正仿宋_GBK" w:hAnsi="Times New Roman" w:eastAsia="方正仿宋_GBK"/>
                <w:b/>
                <w:color w:val="000000"/>
                <w:sz w:val="15"/>
                <w:szCs w:val="15"/>
              </w:rPr>
              <w:t>10个镇街石漠化综合治理</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50</w:t>
            </w:r>
          </w:p>
        </w:tc>
      </w:tr>
      <w:tr>
        <w:tblPrEx>
          <w:tblCellMar>
            <w:top w:w="0" w:type="dxa"/>
            <w:left w:w="108" w:type="dxa"/>
            <w:bottom w:w="0" w:type="dxa"/>
            <w:right w:w="108" w:type="dxa"/>
          </w:tblCellMar>
        </w:tblPrEx>
        <w:trPr>
          <w:trHeight w:val="555"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23</w:t>
            </w:r>
          </w:p>
        </w:tc>
        <w:tc>
          <w:tcPr>
            <w:tcW w:w="2280" w:type="dxa"/>
            <w:tcBorders>
              <w:top w:val="nil"/>
              <w:left w:val="nil"/>
              <w:bottom w:val="single" w:color="auto" w:sz="4" w:space="0"/>
              <w:right w:val="single" w:color="auto" w:sz="4" w:space="0"/>
            </w:tcBorders>
            <w:shd w:val="clear" w:color="auto" w:fill="auto"/>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重庆市涪陵区林业局（本级）</w:t>
            </w:r>
          </w:p>
        </w:tc>
        <w:tc>
          <w:tcPr>
            <w:tcW w:w="3959" w:type="dxa"/>
            <w:tcBorders>
              <w:top w:val="nil"/>
              <w:left w:val="nil"/>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中央及市级林业生态恢复保护项目</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100</w:t>
            </w:r>
          </w:p>
        </w:tc>
      </w:tr>
      <w:tr>
        <w:tblPrEx>
          <w:tblCellMar>
            <w:top w:w="0" w:type="dxa"/>
            <w:left w:w="108" w:type="dxa"/>
            <w:bottom w:w="0" w:type="dxa"/>
            <w:right w:w="108" w:type="dxa"/>
          </w:tblCellMar>
        </w:tblPrEx>
        <w:trPr>
          <w:trHeight w:val="555"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24</w:t>
            </w:r>
          </w:p>
        </w:tc>
        <w:tc>
          <w:tcPr>
            <w:tcW w:w="2280" w:type="dxa"/>
            <w:tcBorders>
              <w:top w:val="nil"/>
              <w:left w:val="nil"/>
              <w:bottom w:val="single" w:color="auto" w:sz="4" w:space="0"/>
              <w:right w:val="single" w:color="auto" w:sz="4" w:space="0"/>
            </w:tcBorders>
            <w:shd w:val="clear" w:color="auto" w:fill="auto"/>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重庆市涪陵区林业有害生物监测防治中心</w:t>
            </w:r>
          </w:p>
        </w:tc>
        <w:tc>
          <w:tcPr>
            <w:tcW w:w="3959" w:type="dxa"/>
            <w:tcBorders>
              <w:top w:val="nil"/>
              <w:left w:val="nil"/>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林业有害生物监测防治</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96.2</w:t>
            </w:r>
          </w:p>
        </w:tc>
      </w:tr>
      <w:tr>
        <w:tblPrEx>
          <w:tblCellMar>
            <w:top w:w="0" w:type="dxa"/>
            <w:left w:w="108" w:type="dxa"/>
            <w:bottom w:w="0" w:type="dxa"/>
            <w:right w:w="108" w:type="dxa"/>
          </w:tblCellMar>
        </w:tblPrEx>
        <w:trPr>
          <w:trHeight w:val="555"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25</w:t>
            </w:r>
          </w:p>
        </w:tc>
        <w:tc>
          <w:tcPr>
            <w:tcW w:w="2280" w:type="dxa"/>
            <w:tcBorders>
              <w:top w:val="nil"/>
              <w:left w:val="nil"/>
              <w:bottom w:val="single" w:color="auto" w:sz="4" w:space="0"/>
              <w:right w:val="single" w:color="auto" w:sz="4" w:space="0"/>
            </w:tcBorders>
            <w:shd w:val="clear" w:color="auto" w:fill="auto"/>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重庆市涪陵区永胜林场</w:t>
            </w:r>
          </w:p>
        </w:tc>
        <w:tc>
          <w:tcPr>
            <w:tcW w:w="3959" w:type="dxa"/>
            <w:tcBorders>
              <w:top w:val="nil"/>
              <w:left w:val="nil"/>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遗属人员生活补助</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100</w:t>
            </w:r>
          </w:p>
        </w:tc>
      </w:tr>
      <w:tr>
        <w:trPr>
          <w:trHeight w:val="555"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26</w:t>
            </w:r>
          </w:p>
        </w:tc>
        <w:tc>
          <w:tcPr>
            <w:tcW w:w="2280" w:type="dxa"/>
            <w:tcBorders>
              <w:top w:val="nil"/>
              <w:left w:val="nil"/>
              <w:bottom w:val="single" w:color="auto" w:sz="4" w:space="0"/>
              <w:right w:val="single" w:color="auto" w:sz="4" w:space="0"/>
            </w:tcBorders>
            <w:shd w:val="clear" w:color="auto" w:fill="auto"/>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重庆市涪陵区永胜林场</w:t>
            </w:r>
          </w:p>
        </w:tc>
        <w:tc>
          <w:tcPr>
            <w:tcW w:w="3959" w:type="dxa"/>
            <w:tcBorders>
              <w:top w:val="nil"/>
              <w:left w:val="nil"/>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林场管护站运转费</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100</w:t>
            </w:r>
          </w:p>
        </w:tc>
      </w:tr>
      <w:tr>
        <w:tblPrEx>
          <w:tblCellMar>
            <w:top w:w="0" w:type="dxa"/>
            <w:left w:w="108" w:type="dxa"/>
            <w:bottom w:w="0" w:type="dxa"/>
            <w:right w:w="108" w:type="dxa"/>
          </w:tblCellMar>
        </w:tblPrEx>
        <w:trPr>
          <w:trHeight w:val="555" w:hRule="atLeast"/>
        </w:trPr>
        <w:tc>
          <w:tcPr>
            <w:tcW w:w="580"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27</w:t>
            </w:r>
          </w:p>
        </w:tc>
        <w:tc>
          <w:tcPr>
            <w:tcW w:w="2280" w:type="dxa"/>
            <w:tcBorders>
              <w:top w:val="nil"/>
              <w:left w:val="nil"/>
              <w:bottom w:val="single" w:color="auto" w:sz="4" w:space="0"/>
              <w:right w:val="single" w:color="auto" w:sz="4" w:space="0"/>
            </w:tcBorders>
            <w:shd w:val="clear" w:color="auto" w:fill="auto"/>
            <w:vAlign w:val="center"/>
          </w:tcPr>
          <w:p>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重庆市涪陵区大木山自然保护区服务中心</w:t>
            </w:r>
          </w:p>
        </w:tc>
        <w:tc>
          <w:tcPr>
            <w:tcW w:w="3959" w:type="dxa"/>
            <w:tcBorders>
              <w:top w:val="nil"/>
              <w:left w:val="nil"/>
              <w:bottom w:val="single" w:color="auto" w:sz="4" w:space="0"/>
              <w:right w:val="single" w:color="auto" w:sz="4" w:space="0"/>
            </w:tcBorders>
            <w:shd w:val="clear" w:color="auto" w:fill="auto"/>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遗属生活补助　</w:t>
            </w:r>
          </w:p>
        </w:tc>
        <w:tc>
          <w:tcPr>
            <w:tcW w:w="1134" w:type="dxa"/>
            <w:tcBorders>
              <w:top w:val="nil"/>
              <w:left w:val="nil"/>
              <w:bottom w:val="single" w:color="auto" w:sz="4" w:space="0"/>
              <w:right w:val="single" w:color="auto" w:sz="4" w:space="0"/>
            </w:tcBorders>
            <w:shd w:val="clear" w:color="auto" w:fill="auto"/>
            <w:noWrap/>
            <w:vAlign w:val="center"/>
          </w:tcPr>
          <w:p>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　100</w:t>
            </w:r>
          </w:p>
        </w:tc>
      </w:tr>
    </w:tbl>
    <w:p>
      <w:pPr>
        <w:pStyle w:val="12"/>
        <w:spacing w:before="0" w:beforeAutospacing="0" w:after="0" w:afterAutospacing="0"/>
        <w:ind w:firstLine="560"/>
        <w:rPr>
          <w:rStyle w:val="13"/>
          <w:rFonts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28"/>
          <w:szCs w:val="28"/>
          <w:shd w:val="clear" w:color="auto" w:fill="FFFFFF"/>
        </w:rPr>
        <w:t>3.项目支出绩效自评表</w:t>
      </w:r>
    </w:p>
    <w:tbl>
      <w:tblPr>
        <w:tblStyle w:val="7"/>
        <w:tblW w:w="5000" w:type="pct"/>
        <w:tblInd w:w="0" w:type="dxa"/>
        <w:tblLayout w:type="fixed"/>
        <w:tblCellMar>
          <w:top w:w="0" w:type="dxa"/>
          <w:left w:w="108" w:type="dxa"/>
          <w:bottom w:w="0" w:type="dxa"/>
          <w:right w:w="108" w:type="dxa"/>
        </w:tblCellMar>
      </w:tblPr>
      <w:tblGrid>
        <w:gridCol w:w="960"/>
        <w:gridCol w:w="112"/>
        <w:gridCol w:w="255"/>
        <w:gridCol w:w="740"/>
        <w:gridCol w:w="97"/>
        <w:gridCol w:w="718"/>
        <w:gridCol w:w="816"/>
        <w:gridCol w:w="679"/>
        <w:gridCol w:w="191"/>
        <w:gridCol w:w="324"/>
        <w:gridCol w:w="701"/>
        <w:gridCol w:w="370"/>
        <w:gridCol w:w="351"/>
        <w:gridCol w:w="740"/>
        <w:gridCol w:w="740"/>
        <w:gridCol w:w="737"/>
      </w:tblGrid>
      <w:tr>
        <w:tblPrEx>
          <w:tblCellMar>
            <w:top w:w="0" w:type="dxa"/>
            <w:left w:w="108" w:type="dxa"/>
            <w:bottom w:w="0" w:type="dxa"/>
            <w:right w:w="108" w:type="dxa"/>
          </w:tblCellMar>
        </w:tblPrEx>
        <w:trPr>
          <w:trHeight w:val="540" w:hRule="atLeast"/>
        </w:trPr>
        <w:tc>
          <w:tcPr>
            <w:tcW w:w="62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项目名称：</w:t>
            </w:r>
          </w:p>
        </w:tc>
        <w:tc>
          <w:tcPr>
            <w:tcW w:w="1061" w:type="pct"/>
            <w:gridSpan w:val="4"/>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color w:val="000000"/>
                <w:sz w:val="18"/>
                <w:szCs w:val="18"/>
              </w:rPr>
            </w:pPr>
            <w:r>
              <w:rPr>
                <w:rFonts w:hint="default" w:ascii="方正仿宋_GBK" w:eastAsia="方正仿宋_GBK" w:cs="宋体"/>
                <w:b/>
                <w:color w:val="000000"/>
                <w:sz w:val="15"/>
                <w:szCs w:val="15"/>
              </w:rPr>
              <w:t>2023年森林资源管护费</w:t>
            </w:r>
            <w:r>
              <w:rPr>
                <w:rFonts w:ascii="方正仿宋_GBK" w:eastAsia="方正仿宋_GBK" w:cs="宋体"/>
                <w:b/>
                <w:color w:val="000000"/>
                <w:sz w:val="15"/>
                <w:szCs w:val="15"/>
              </w:rPr>
              <w:t>　</w:t>
            </w:r>
          </w:p>
        </w:tc>
        <w:tc>
          <w:tcPr>
            <w:tcW w:w="876" w:type="pct"/>
            <w:gridSpan w:val="2"/>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执行率得分：</w:t>
            </w:r>
          </w:p>
        </w:tc>
        <w:tc>
          <w:tcPr>
            <w:tcW w:w="302" w:type="pct"/>
            <w:gridSpan w:val="2"/>
            <w:tcBorders>
              <w:top w:val="single" w:color="auto" w:sz="4" w:space="0"/>
              <w:left w:val="nil"/>
              <w:bottom w:val="single" w:color="auto" w:sz="4" w:space="0"/>
              <w:right w:val="single" w:color="auto" w:sz="4" w:space="0"/>
            </w:tcBorders>
            <w:shd w:val="clear" w:color="auto" w:fill="auto"/>
            <w:vAlign w:val="center"/>
          </w:tcPr>
          <w:p>
            <w:pPr>
              <w:jc w:val="right"/>
              <w:rPr>
                <w:rFonts w:hint="default" w:cs="宋体"/>
                <w:bCs/>
                <w:color w:val="000000"/>
                <w:sz w:val="18"/>
                <w:szCs w:val="18"/>
              </w:rPr>
            </w:pPr>
            <w:r>
              <w:rPr>
                <w:rFonts w:cs="宋体"/>
                <w:bCs/>
                <w:color w:val="000000"/>
                <w:sz w:val="18"/>
                <w:szCs w:val="18"/>
              </w:rPr>
              <w:t>10　</w:t>
            </w:r>
          </w:p>
        </w:tc>
        <w:tc>
          <w:tcPr>
            <w:tcW w:w="628" w:type="pct"/>
            <w:gridSpan w:val="2"/>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自评总分：</w:t>
            </w:r>
          </w:p>
        </w:tc>
        <w:tc>
          <w:tcPr>
            <w:tcW w:w="1506" w:type="pct"/>
            <w:gridSpan w:val="4"/>
            <w:tcBorders>
              <w:top w:val="single" w:color="auto" w:sz="4" w:space="0"/>
              <w:left w:val="nil"/>
              <w:bottom w:val="single" w:color="auto" w:sz="4" w:space="0"/>
              <w:right w:val="single" w:color="auto" w:sz="4" w:space="0"/>
            </w:tcBorders>
            <w:shd w:val="clear" w:color="auto" w:fill="auto"/>
            <w:vAlign w:val="center"/>
          </w:tcPr>
          <w:p>
            <w:pPr>
              <w:rPr>
                <w:rFonts w:hint="default" w:cs="宋体"/>
                <w:bCs/>
                <w:color w:val="000000"/>
                <w:sz w:val="18"/>
                <w:szCs w:val="18"/>
              </w:rPr>
            </w:pPr>
            <w:r>
              <w:rPr>
                <w:rFonts w:cs="宋体"/>
                <w:b/>
                <w:bCs/>
                <w:color w:val="000000"/>
                <w:sz w:val="18"/>
                <w:szCs w:val="18"/>
              </w:rPr>
              <w:t>　</w:t>
            </w:r>
            <w:r>
              <w:rPr>
                <w:rFonts w:cs="宋体"/>
                <w:bCs/>
                <w:color w:val="000000"/>
                <w:sz w:val="18"/>
                <w:szCs w:val="18"/>
              </w:rPr>
              <w:t>100</w:t>
            </w:r>
          </w:p>
        </w:tc>
      </w:tr>
      <w:tr>
        <w:tblPrEx>
          <w:tblCellMar>
            <w:top w:w="0" w:type="dxa"/>
            <w:left w:w="108" w:type="dxa"/>
            <w:bottom w:w="0" w:type="dxa"/>
            <w:right w:w="108" w:type="dxa"/>
          </w:tblCellMar>
        </w:tblPrEx>
        <w:trPr>
          <w:trHeight w:val="435" w:hRule="atLeast"/>
        </w:trPr>
        <w:tc>
          <w:tcPr>
            <w:tcW w:w="5000" w:type="pct"/>
            <w:gridSpan w:val="1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微软雅黑" w:hAnsi="微软雅黑" w:eastAsia="微软雅黑" w:cs="宋体"/>
                <w:b/>
                <w:bCs/>
                <w:sz w:val="18"/>
                <w:szCs w:val="18"/>
              </w:rPr>
            </w:pPr>
            <w:r>
              <w:rPr>
                <w:rFonts w:ascii="微软雅黑" w:hAnsi="微软雅黑" w:eastAsia="微软雅黑" w:cs="宋体"/>
                <w:b/>
                <w:bCs/>
                <w:sz w:val="18"/>
                <w:szCs w:val="18"/>
              </w:rPr>
              <w:t>绩效目标</w:t>
            </w:r>
          </w:p>
        </w:tc>
      </w:tr>
      <w:tr>
        <w:tblPrEx>
          <w:tblCellMar>
            <w:top w:w="0" w:type="dxa"/>
            <w:left w:w="108" w:type="dxa"/>
            <w:bottom w:w="0" w:type="dxa"/>
            <w:right w:w="108" w:type="dxa"/>
          </w:tblCellMar>
        </w:tblPrEx>
        <w:trPr>
          <w:trHeight w:val="435" w:hRule="atLeast"/>
        </w:trPr>
        <w:tc>
          <w:tcPr>
            <w:tcW w:w="1267"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sz w:val="18"/>
                <w:szCs w:val="18"/>
              </w:rPr>
            </w:pPr>
            <w:r>
              <w:rPr>
                <w:rFonts w:cs="宋体"/>
                <w:b/>
                <w:bCs/>
                <w:sz w:val="18"/>
                <w:szCs w:val="18"/>
              </w:rPr>
              <w:t>年初绩效目标</w:t>
            </w:r>
          </w:p>
        </w:tc>
        <w:tc>
          <w:tcPr>
            <w:tcW w:w="1599" w:type="pct"/>
            <w:gridSpan w:val="5"/>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b/>
                <w:bCs/>
                <w:sz w:val="18"/>
                <w:szCs w:val="18"/>
              </w:rPr>
            </w:pPr>
            <w:r>
              <w:rPr>
                <w:rFonts w:cs="宋体"/>
                <w:b/>
                <w:bCs/>
                <w:sz w:val="18"/>
                <w:szCs w:val="18"/>
              </w:rPr>
              <w:t>全年（调整）绩效目标</w:t>
            </w:r>
          </w:p>
        </w:tc>
        <w:tc>
          <w:tcPr>
            <w:tcW w:w="2134" w:type="pct"/>
            <w:gridSpan w:val="6"/>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b/>
                <w:bCs/>
                <w:sz w:val="18"/>
                <w:szCs w:val="18"/>
              </w:rPr>
            </w:pPr>
            <w:r>
              <w:rPr>
                <w:rFonts w:cs="宋体"/>
                <w:b/>
                <w:bCs/>
                <w:sz w:val="18"/>
                <w:szCs w:val="18"/>
              </w:rPr>
              <w:t>全年目标实际完成情况</w:t>
            </w:r>
          </w:p>
        </w:tc>
      </w:tr>
      <w:tr>
        <w:tblPrEx>
          <w:tblCellMar>
            <w:top w:w="0" w:type="dxa"/>
            <w:left w:w="108" w:type="dxa"/>
            <w:bottom w:w="0" w:type="dxa"/>
            <w:right w:w="108" w:type="dxa"/>
          </w:tblCellMar>
        </w:tblPrEx>
        <w:trPr>
          <w:trHeight w:val="975" w:hRule="atLeast"/>
        </w:trPr>
        <w:tc>
          <w:tcPr>
            <w:tcW w:w="1267" w:type="pct"/>
            <w:gridSpan w:val="5"/>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cs="宋体"/>
                <w:sz w:val="18"/>
                <w:szCs w:val="18"/>
              </w:rPr>
            </w:pPr>
            <w:r>
              <w:rPr>
                <w:rFonts w:cs="宋体"/>
                <w:sz w:val="18"/>
                <w:szCs w:val="18"/>
              </w:rPr>
              <w:t>　</w:t>
            </w:r>
            <w:r>
              <w:rPr>
                <w:rFonts w:ascii="方正仿宋_GBK" w:eastAsia="方正仿宋_GBK" w:cs="宋体"/>
                <w:b/>
                <w:color w:val="000000"/>
                <w:sz w:val="15"/>
                <w:szCs w:val="15"/>
              </w:rPr>
              <w:t>保障乡镇街道聘用生态护林员、夏季防火期短期护林员、森林防火卡口值守人员以及管护设施设备购置更新等费用；保障护林员人身安全，为护林员购置人身意外险；管护资金拨付率100%，使森林资源安全得到有效保障，保护生物多样性，进一步发挥森林的生态屏障作用，保障国民经济和社会的可持续发展。</w:t>
            </w:r>
          </w:p>
        </w:tc>
        <w:tc>
          <w:tcPr>
            <w:tcW w:w="1599" w:type="pct"/>
            <w:gridSpan w:val="5"/>
            <w:tcBorders>
              <w:top w:val="single" w:color="auto" w:sz="4" w:space="0"/>
              <w:left w:val="nil"/>
              <w:bottom w:val="single" w:color="auto" w:sz="4" w:space="0"/>
              <w:right w:val="single" w:color="auto" w:sz="4" w:space="0"/>
            </w:tcBorders>
            <w:shd w:val="clear" w:color="auto" w:fill="auto"/>
          </w:tcPr>
          <w:p>
            <w:pPr>
              <w:rPr>
                <w:rFonts w:hint="default" w:cs="宋体"/>
                <w:sz w:val="18"/>
                <w:szCs w:val="18"/>
              </w:rPr>
            </w:pPr>
            <w:r>
              <w:rPr>
                <w:rFonts w:cs="宋体"/>
                <w:sz w:val="18"/>
                <w:szCs w:val="18"/>
              </w:rPr>
              <w:t>　</w:t>
            </w:r>
          </w:p>
        </w:tc>
        <w:tc>
          <w:tcPr>
            <w:tcW w:w="2134" w:type="pct"/>
            <w:gridSpan w:val="6"/>
            <w:tcBorders>
              <w:top w:val="single" w:color="auto" w:sz="4" w:space="0"/>
              <w:left w:val="nil"/>
              <w:bottom w:val="single" w:color="auto" w:sz="4" w:space="0"/>
              <w:right w:val="single" w:color="auto" w:sz="4" w:space="0"/>
            </w:tcBorders>
            <w:shd w:val="clear" w:color="auto" w:fill="auto"/>
          </w:tcPr>
          <w:p>
            <w:pPr>
              <w:jc w:val="center"/>
              <w:rPr>
                <w:rFonts w:hint="default" w:cs="宋体"/>
                <w:sz w:val="18"/>
                <w:szCs w:val="18"/>
              </w:rPr>
            </w:pPr>
            <w:r>
              <w:rPr>
                <w:rFonts w:cs="宋体"/>
                <w:sz w:val="18"/>
                <w:szCs w:val="18"/>
              </w:rPr>
              <w:t>　</w:t>
            </w:r>
            <w:r>
              <w:rPr>
                <w:rFonts w:ascii="方正仿宋_GBK" w:eastAsia="方正仿宋_GBK" w:cs="宋体"/>
                <w:b/>
                <w:color w:val="000000"/>
                <w:sz w:val="15"/>
                <w:szCs w:val="15"/>
              </w:rPr>
              <w:t>保障乡镇街道聘用生态护林员、夏季防火期短期护林员、森林防火卡口值守人员以及管护设施设备购置更新等费用；保障护林员人身安全，为护林员购置人身意外险；管护资金拨付率100%，使森林资源安全得到有效保障，保护生物多样性，进一步发挥森林的生态屏障作用，保障国民经济和社会的可持续发展。</w:t>
            </w:r>
          </w:p>
        </w:tc>
      </w:tr>
      <w:tr>
        <w:tblPrEx>
          <w:tblCellMar>
            <w:top w:w="0" w:type="dxa"/>
            <w:left w:w="108" w:type="dxa"/>
            <w:bottom w:w="0" w:type="dxa"/>
            <w:right w:w="108" w:type="dxa"/>
          </w:tblCellMar>
        </w:tblPrEx>
        <w:trPr>
          <w:trHeight w:val="435" w:hRule="atLeast"/>
        </w:trPr>
        <w:tc>
          <w:tcPr>
            <w:tcW w:w="5000" w:type="pct"/>
            <w:gridSpan w:val="16"/>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微软雅黑" w:hAnsi="微软雅黑" w:eastAsia="微软雅黑" w:cs="宋体"/>
                <w:b/>
                <w:bCs/>
                <w:sz w:val="18"/>
                <w:szCs w:val="18"/>
              </w:rPr>
            </w:pPr>
            <w:r>
              <w:rPr>
                <w:rFonts w:ascii="微软雅黑" w:hAnsi="微软雅黑" w:eastAsia="微软雅黑" w:cs="宋体"/>
                <w:b/>
                <w:bCs/>
                <w:sz w:val="18"/>
                <w:szCs w:val="18"/>
              </w:rPr>
              <w:t>绩效指标</w:t>
            </w:r>
          </w:p>
        </w:tc>
      </w:tr>
      <w:tr>
        <w:tblPrEx>
          <w:tblCellMar>
            <w:top w:w="0" w:type="dxa"/>
            <w:left w:w="108" w:type="dxa"/>
            <w:bottom w:w="0" w:type="dxa"/>
            <w:right w:w="108" w:type="dxa"/>
          </w:tblCellMar>
        </w:tblPrEx>
        <w:trPr>
          <w:trHeight w:val="1080" w:hRule="atLeast"/>
        </w:trPr>
        <w:tc>
          <w:tcPr>
            <w:tcW w:w="562" w:type="pct"/>
            <w:tcBorders>
              <w:top w:val="nil"/>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指标名称</w:t>
            </w:r>
          </w:p>
        </w:tc>
        <w:tc>
          <w:tcPr>
            <w:tcW w:w="214" w:type="pct"/>
            <w:gridSpan w:val="2"/>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计量单位</w:t>
            </w:r>
          </w:p>
        </w:tc>
        <w:tc>
          <w:tcPr>
            <w:tcW w:w="434" w:type="pct"/>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指标性质</w:t>
            </w:r>
          </w:p>
        </w:tc>
        <w:tc>
          <w:tcPr>
            <w:tcW w:w="478" w:type="pct"/>
            <w:gridSpan w:val="2"/>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指标值</w:t>
            </w:r>
          </w:p>
        </w:tc>
        <w:tc>
          <w:tcPr>
            <w:tcW w:w="478" w:type="pct"/>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全年完成值</w:t>
            </w:r>
          </w:p>
        </w:tc>
        <w:tc>
          <w:tcPr>
            <w:tcW w:w="510" w:type="pct"/>
            <w:gridSpan w:val="2"/>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偏离度（%）</w:t>
            </w:r>
          </w:p>
        </w:tc>
        <w:tc>
          <w:tcPr>
            <w:tcW w:w="601" w:type="pct"/>
            <w:gridSpan w:val="2"/>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得分系数（%）</w:t>
            </w:r>
          </w:p>
        </w:tc>
        <w:tc>
          <w:tcPr>
            <w:tcW w:w="423" w:type="pct"/>
            <w:gridSpan w:val="2"/>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指标权重</w:t>
            </w:r>
          </w:p>
        </w:tc>
        <w:tc>
          <w:tcPr>
            <w:tcW w:w="434" w:type="pct"/>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指标得分</w:t>
            </w:r>
          </w:p>
        </w:tc>
        <w:tc>
          <w:tcPr>
            <w:tcW w:w="434" w:type="pct"/>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是否核心指标</w:t>
            </w:r>
          </w:p>
        </w:tc>
        <w:tc>
          <w:tcPr>
            <w:tcW w:w="433" w:type="pct"/>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18"/>
                <w:szCs w:val="18"/>
              </w:rPr>
            </w:pPr>
            <w:r>
              <w:rPr>
                <w:rFonts w:cs="宋体"/>
                <w:b/>
                <w:bCs/>
                <w:color w:val="000000"/>
                <w:sz w:val="18"/>
                <w:szCs w:val="18"/>
              </w:rPr>
              <w:t>说明</w:t>
            </w:r>
          </w:p>
        </w:tc>
      </w:tr>
      <w:tr>
        <w:tblPrEx>
          <w:tblCellMar>
            <w:top w:w="0" w:type="dxa"/>
            <w:left w:w="108" w:type="dxa"/>
            <w:bottom w:w="0" w:type="dxa"/>
            <w:right w:w="108" w:type="dxa"/>
          </w:tblCellMar>
        </w:tblPrEx>
        <w:trPr>
          <w:trHeight w:val="1361" w:hRule="atLeast"/>
        </w:trPr>
        <w:tc>
          <w:tcPr>
            <w:tcW w:w="562" w:type="pct"/>
            <w:tcBorders>
              <w:top w:val="nil"/>
              <w:left w:val="single" w:color="auto" w:sz="4" w:space="0"/>
              <w:bottom w:val="single" w:color="auto" w:sz="4" w:space="0"/>
              <w:right w:val="single" w:color="auto" w:sz="4" w:space="0"/>
            </w:tcBorders>
            <w:shd w:val="clear" w:color="auto" w:fill="auto"/>
            <w:vAlign w:val="center"/>
          </w:tcPr>
          <w:p>
            <w:pPr>
              <w:rPr>
                <w:rFonts w:hint="default" w:ascii="方正仿宋_GBK" w:eastAsia="方正仿宋_GBK" w:cs="宋体"/>
                <w:b/>
                <w:color w:val="000000"/>
                <w:sz w:val="15"/>
                <w:szCs w:val="15"/>
              </w:rPr>
            </w:pPr>
            <w:r>
              <w:rPr>
                <w:rFonts w:ascii="方正仿宋_GBK" w:eastAsia="方正仿宋_GBK" w:cs="宋体"/>
                <w:b/>
                <w:color w:val="000000"/>
                <w:sz w:val="15"/>
                <w:szCs w:val="15"/>
              </w:rPr>
              <w:t>聘用生态护林员人数</w:t>
            </w:r>
          </w:p>
        </w:tc>
        <w:tc>
          <w:tcPr>
            <w:tcW w:w="214" w:type="pct"/>
            <w:gridSpan w:val="2"/>
            <w:tcBorders>
              <w:top w:val="nil"/>
              <w:left w:val="nil"/>
              <w:bottom w:val="single" w:color="auto" w:sz="4" w:space="0"/>
              <w:right w:val="single" w:color="auto" w:sz="4" w:space="0"/>
            </w:tcBorders>
            <w:shd w:val="clear" w:color="auto" w:fill="auto"/>
            <w:vAlign w:val="center"/>
          </w:tcPr>
          <w:p>
            <w:pPr>
              <w:rPr>
                <w:rFonts w:hint="default" w:ascii="方正仿宋_GBK" w:eastAsia="方正仿宋_GBK" w:cs="宋体"/>
                <w:b/>
                <w:color w:val="000000"/>
                <w:sz w:val="15"/>
                <w:szCs w:val="15"/>
              </w:rPr>
            </w:pPr>
            <w:r>
              <w:rPr>
                <w:rFonts w:ascii="方正仿宋_GBK" w:eastAsia="方正仿宋_GBK" w:cs="宋体"/>
                <w:b/>
                <w:color w:val="000000"/>
                <w:sz w:val="15"/>
                <w:szCs w:val="15"/>
              </w:rPr>
              <w:t>　个</w:t>
            </w:r>
          </w:p>
        </w:tc>
        <w:tc>
          <w:tcPr>
            <w:tcW w:w="434" w:type="pct"/>
            <w:tcBorders>
              <w:top w:val="nil"/>
              <w:left w:val="nil"/>
              <w:bottom w:val="single" w:color="auto" w:sz="4" w:space="0"/>
              <w:right w:val="single" w:color="auto" w:sz="4" w:space="0"/>
            </w:tcBorders>
            <w:shd w:val="clear" w:color="auto" w:fill="auto"/>
            <w:vAlign w:val="center"/>
          </w:tcPr>
          <w:p>
            <w:pPr>
              <w:rPr>
                <w:rFonts w:hint="default" w:ascii="方正仿宋_GBK" w:eastAsia="方正仿宋_GBK" w:cs="宋体"/>
                <w:b/>
                <w:color w:val="000000"/>
                <w:sz w:val="15"/>
                <w:szCs w:val="15"/>
              </w:rPr>
            </w:pPr>
            <w:r>
              <w:rPr>
                <w:rFonts w:ascii="方正仿宋_GBK" w:eastAsia="方正仿宋_GBK" w:cs="宋体"/>
                <w:b/>
                <w:color w:val="000000"/>
                <w:sz w:val="15"/>
                <w:szCs w:val="15"/>
              </w:rPr>
              <w:t>　≥</w:t>
            </w:r>
          </w:p>
        </w:tc>
        <w:tc>
          <w:tcPr>
            <w:tcW w:w="478" w:type="pct"/>
            <w:gridSpan w:val="2"/>
            <w:tcBorders>
              <w:top w:val="nil"/>
              <w:left w:val="nil"/>
              <w:bottom w:val="single" w:color="auto" w:sz="4" w:space="0"/>
              <w:right w:val="single" w:color="auto" w:sz="4" w:space="0"/>
            </w:tcBorders>
            <w:shd w:val="clear" w:color="auto" w:fill="auto"/>
            <w:vAlign w:val="center"/>
          </w:tcPr>
          <w:p>
            <w:pPr>
              <w:jc w:val="right"/>
              <w:rPr>
                <w:rFonts w:hint="default" w:ascii="方正仿宋_GBK" w:eastAsia="方正仿宋_GBK" w:cs="宋体"/>
                <w:b/>
                <w:color w:val="000000"/>
                <w:sz w:val="15"/>
                <w:szCs w:val="15"/>
              </w:rPr>
            </w:pPr>
            <w:r>
              <w:rPr>
                <w:rFonts w:ascii="方正仿宋_GBK" w:eastAsia="方正仿宋_GBK" w:cs="宋体"/>
                <w:b/>
                <w:color w:val="000000"/>
                <w:sz w:val="15"/>
                <w:szCs w:val="15"/>
              </w:rPr>
              <w:t>300　</w:t>
            </w:r>
          </w:p>
        </w:tc>
        <w:tc>
          <w:tcPr>
            <w:tcW w:w="478" w:type="pct"/>
            <w:tcBorders>
              <w:top w:val="nil"/>
              <w:left w:val="nil"/>
              <w:bottom w:val="single" w:color="auto" w:sz="4" w:space="0"/>
              <w:right w:val="single" w:color="auto" w:sz="4" w:space="0"/>
            </w:tcBorders>
            <w:shd w:val="clear" w:color="auto" w:fill="auto"/>
            <w:vAlign w:val="center"/>
          </w:tcPr>
          <w:p>
            <w:pPr>
              <w:jc w:val="right"/>
              <w:rPr>
                <w:rFonts w:hint="default" w:ascii="方正仿宋_GBK" w:eastAsia="方正仿宋_GBK" w:cs="宋体"/>
                <w:b/>
                <w:color w:val="000000"/>
                <w:sz w:val="15"/>
                <w:szCs w:val="15"/>
              </w:rPr>
            </w:pPr>
            <w:r>
              <w:rPr>
                <w:rFonts w:ascii="方正仿宋_GBK" w:eastAsia="方正仿宋_GBK" w:cs="宋体"/>
                <w:b/>
                <w:color w:val="000000"/>
                <w:sz w:val="15"/>
                <w:szCs w:val="15"/>
              </w:rPr>
              <w:t>460　</w:t>
            </w:r>
          </w:p>
        </w:tc>
        <w:tc>
          <w:tcPr>
            <w:tcW w:w="510" w:type="pct"/>
            <w:gridSpan w:val="2"/>
            <w:tcBorders>
              <w:top w:val="nil"/>
              <w:left w:val="nil"/>
              <w:bottom w:val="single" w:color="auto" w:sz="4" w:space="0"/>
              <w:right w:val="single" w:color="auto" w:sz="4" w:space="0"/>
            </w:tcBorders>
            <w:shd w:val="clear" w:color="auto" w:fill="auto"/>
            <w:vAlign w:val="center"/>
          </w:tcPr>
          <w:p>
            <w:pPr>
              <w:jc w:val="right"/>
              <w:rPr>
                <w:rFonts w:hint="default" w:ascii="方正仿宋_GBK" w:eastAsia="方正仿宋_GBK" w:cs="宋体"/>
                <w:b/>
                <w:color w:val="000000"/>
                <w:sz w:val="15"/>
                <w:szCs w:val="15"/>
              </w:rPr>
            </w:pPr>
            <w:r>
              <w:rPr>
                <w:rFonts w:ascii="方正仿宋_GBK" w:eastAsia="方正仿宋_GBK" w:cs="宋体"/>
                <w:b/>
                <w:color w:val="000000"/>
                <w:sz w:val="15"/>
                <w:szCs w:val="15"/>
              </w:rPr>
              <w:t>53.33　</w:t>
            </w:r>
          </w:p>
        </w:tc>
        <w:tc>
          <w:tcPr>
            <w:tcW w:w="601" w:type="pct"/>
            <w:gridSpan w:val="2"/>
            <w:tcBorders>
              <w:top w:val="nil"/>
              <w:left w:val="nil"/>
              <w:bottom w:val="single" w:color="auto" w:sz="4" w:space="0"/>
              <w:right w:val="single" w:color="auto" w:sz="4" w:space="0"/>
            </w:tcBorders>
            <w:shd w:val="clear" w:color="auto" w:fill="auto"/>
            <w:vAlign w:val="center"/>
          </w:tcPr>
          <w:p>
            <w:pPr>
              <w:jc w:val="right"/>
              <w:rPr>
                <w:rFonts w:hint="default" w:ascii="方正仿宋_GBK" w:eastAsia="方正仿宋_GBK" w:cs="宋体"/>
                <w:b/>
                <w:color w:val="000000"/>
                <w:sz w:val="15"/>
                <w:szCs w:val="15"/>
              </w:rPr>
            </w:pPr>
            <w:r>
              <w:rPr>
                <w:rFonts w:ascii="方正仿宋_GBK" w:eastAsia="方正仿宋_GBK" w:cs="宋体"/>
                <w:b/>
                <w:color w:val="000000"/>
                <w:sz w:val="15"/>
                <w:szCs w:val="15"/>
              </w:rPr>
              <w:t>100　</w:t>
            </w:r>
          </w:p>
        </w:tc>
        <w:tc>
          <w:tcPr>
            <w:tcW w:w="423" w:type="pct"/>
            <w:gridSpan w:val="2"/>
            <w:tcBorders>
              <w:top w:val="nil"/>
              <w:left w:val="nil"/>
              <w:bottom w:val="single" w:color="auto" w:sz="4" w:space="0"/>
              <w:right w:val="single" w:color="auto" w:sz="4" w:space="0"/>
            </w:tcBorders>
            <w:shd w:val="clear" w:color="auto" w:fill="auto"/>
            <w:vAlign w:val="center"/>
          </w:tcPr>
          <w:p>
            <w:pPr>
              <w:jc w:val="right"/>
              <w:rPr>
                <w:rFonts w:hint="default" w:ascii="方正仿宋_GBK" w:eastAsia="方正仿宋_GBK" w:cs="宋体"/>
                <w:b/>
                <w:color w:val="000000"/>
                <w:sz w:val="15"/>
                <w:szCs w:val="15"/>
              </w:rPr>
            </w:pPr>
            <w:r>
              <w:rPr>
                <w:rFonts w:ascii="方正仿宋_GBK" w:eastAsia="方正仿宋_GBK" w:cs="宋体"/>
                <w:b/>
                <w:color w:val="000000"/>
                <w:sz w:val="15"/>
                <w:szCs w:val="15"/>
              </w:rPr>
              <w:t>20　</w:t>
            </w:r>
          </w:p>
        </w:tc>
        <w:tc>
          <w:tcPr>
            <w:tcW w:w="434" w:type="pct"/>
            <w:tcBorders>
              <w:top w:val="nil"/>
              <w:left w:val="nil"/>
              <w:bottom w:val="single" w:color="auto" w:sz="4" w:space="0"/>
              <w:right w:val="single" w:color="auto" w:sz="4" w:space="0"/>
            </w:tcBorders>
            <w:shd w:val="clear" w:color="auto" w:fill="auto"/>
            <w:vAlign w:val="center"/>
          </w:tcPr>
          <w:p>
            <w:pPr>
              <w:jc w:val="right"/>
              <w:rPr>
                <w:rFonts w:hint="default" w:ascii="方正仿宋_GBK" w:eastAsia="方正仿宋_GBK" w:cs="宋体"/>
                <w:b/>
                <w:color w:val="000000"/>
                <w:sz w:val="15"/>
                <w:szCs w:val="15"/>
              </w:rPr>
            </w:pPr>
            <w:r>
              <w:rPr>
                <w:rFonts w:ascii="方正仿宋_GBK" w:eastAsia="方正仿宋_GBK" w:cs="宋体"/>
                <w:b/>
                <w:color w:val="000000"/>
                <w:sz w:val="15"/>
                <w:szCs w:val="15"/>
              </w:rPr>
              <w:t>20　</w:t>
            </w:r>
          </w:p>
        </w:tc>
        <w:tc>
          <w:tcPr>
            <w:tcW w:w="434" w:type="pct"/>
            <w:tcBorders>
              <w:top w:val="nil"/>
              <w:left w:val="nil"/>
              <w:bottom w:val="single" w:color="auto" w:sz="4" w:space="0"/>
              <w:right w:val="single" w:color="auto" w:sz="4" w:space="0"/>
            </w:tcBorders>
            <w:shd w:val="clear" w:color="auto" w:fill="auto"/>
            <w:vAlign w:val="center"/>
          </w:tcPr>
          <w:p>
            <w:pPr>
              <w:rPr>
                <w:rFonts w:hint="default" w:ascii="方正仿宋_GBK" w:eastAsia="方正仿宋_GBK" w:cs="宋体"/>
                <w:b/>
                <w:color w:val="000000"/>
                <w:sz w:val="15"/>
                <w:szCs w:val="15"/>
              </w:rPr>
            </w:pPr>
            <w:r>
              <w:rPr>
                <w:rFonts w:ascii="方正仿宋_GBK" w:eastAsia="方正仿宋_GBK" w:cs="宋体"/>
                <w:b/>
                <w:color w:val="000000"/>
                <w:sz w:val="15"/>
                <w:szCs w:val="15"/>
              </w:rPr>
              <w:t>　是</w:t>
            </w:r>
          </w:p>
        </w:tc>
        <w:tc>
          <w:tcPr>
            <w:tcW w:w="433" w:type="pct"/>
            <w:tcBorders>
              <w:top w:val="nil"/>
              <w:left w:val="nil"/>
              <w:bottom w:val="single" w:color="auto" w:sz="4" w:space="0"/>
              <w:right w:val="single" w:color="auto" w:sz="4" w:space="0"/>
            </w:tcBorders>
            <w:shd w:val="clear" w:color="auto" w:fill="auto"/>
            <w:vAlign w:val="center"/>
          </w:tcPr>
          <w:p>
            <w:pPr>
              <w:rPr>
                <w:rFonts w:hint="default" w:cs="宋体"/>
                <w:color w:val="000000"/>
                <w:sz w:val="18"/>
                <w:szCs w:val="18"/>
              </w:rPr>
            </w:pPr>
            <w:r>
              <w:rPr>
                <w:rFonts w:cs="宋体"/>
                <w:color w:val="000000"/>
                <w:sz w:val="18"/>
                <w:szCs w:val="18"/>
              </w:rPr>
              <w:t>　</w:t>
            </w:r>
          </w:p>
        </w:tc>
      </w:tr>
      <w:tr>
        <w:tblPrEx>
          <w:tblCellMar>
            <w:top w:w="0" w:type="dxa"/>
            <w:left w:w="108" w:type="dxa"/>
            <w:bottom w:w="0" w:type="dxa"/>
            <w:right w:w="108" w:type="dxa"/>
          </w:tblCellMar>
        </w:tblPrEx>
        <w:trPr>
          <w:trHeight w:val="1408" w:hRule="atLeast"/>
        </w:trPr>
        <w:tc>
          <w:tcPr>
            <w:tcW w:w="562" w:type="pct"/>
            <w:tcBorders>
              <w:top w:val="nil"/>
              <w:left w:val="single" w:color="auto" w:sz="4" w:space="0"/>
              <w:bottom w:val="single" w:color="auto" w:sz="4" w:space="0"/>
              <w:right w:val="single" w:color="auto" w:sz="4" w:space="0"/>
            </w:tcBorders>
            <w:shd w:val="clear" w:color="auto" w:fill="auto"/>
            <w:vAlign w:val="center"/>
          </w:tcPr>
          <w:p>
            <w:pPr>
              <w:rPr>
                <w:rFonts w:hint="default" w:ascii="方正仿宋_GBK" w:eastAsia="方正仿宋_GBK" w:cs="宋体"/>
                <w:b/>
                <w:color w:val="000000"/>
                <w:sz w:val="15"/>
                <w:szCs w:val="15"/>
              </w:rPr>
            </w:pPr>
            <w:r>
              <w:rPr>
                <w:rFonts w:ascii="方正仿宋_GBK" w:eastAsia="方正仿宋_GBK" w:cs="宋体"/>
                <w:b/>
                <w:color w:val="000000"/>
                <w:sz w:val="15"/>
                <w:szCs w:val="15"/>
              </w:rPr>
              <w:t>生态护林员管护森林资源面积</w:t>
            </w:r>
          </w:p>
        </w:tc>
        <w:tc>
          <w:tcPr>
            <w:tcW w:w="214" w:type="pct"/>
            <w:gridSpan w:val="2"/>
            <w:tcBorders>
              <w:top w:val="nil"/>
              <w:left w:val="nil"/>
              <w:bottom w:val="single" w:color="auto" w:sz="4" w:space="0"/>
              <w:right w:val="single" w:color="auto" w:sz="4" w:space="0"/>
            </w:tcBorders>
            <w:shd w:val="clear" w:color="auto" w:fill="auto"/>
            <w:vAlign w:val="center"/>
          </w:tcPr>
          <w:p>
            <w:pPr>
              <w:rPr>
                <w:rFonts w:hint="default" w:ascii="方正仿宋_GBK" w:eastAsia="方正仿宋_GBK" w:cs="宋体"/>
                <w:b/>
                <w:color w:val="000000"/>
                <w:sz w:val="15"/>
                <w:szCs w:val="15"/>
              </w:rPr>
            </w:pPr>
            <w:r>
              <w:rPr>
                <w:rFonts w:ascii="方正仿宋_GBK" w:eastAsia="方正仿宋_GBK" w:cs="宋体"/>
                <w:b/>
                <w:color w:val="000000"/>
                <w:sz w:val="15"/>
                <w:szCs w:val="15"/>
              </w:rPr>
              <w:t>万亩</w:t>
            </w:r>
          </w:p>
        </w:tc>
        <w:tc>
          <w:tcPr>
            <w:tcW w:w="434" w:type="pct"/>
            <w:tcBorders>
              <w:top w:val="nil"/>
              <w:left w:val="nil"/>
              <w:bottom w:val="single" w:color="auto" w:sz="4" w:space="0"/>
              <w:right w:val="single" w:color="auto" w:sz="4" w:space="0"/>
            </w:tcBorders>
            <w:shd w:val="clear" w:color="auto" w:fill="auto"/>
            <w:vAlign w:val="center"/>
          </w:tcPr>
          <w:p>
            <w:pPr>
              <w:rPr>
                <w:rFonts w:hint="default" w:ascii="方正仿宋_GBK" w:eastAsia="方正仿宋_GBK" w:cs="宋体"/>
                <w:b/>
                <w:color w:val="000000"/>
                <w:sz w:val="15"/>
                <w:szCs w:val="15"/>
              </w:rPr>
            </w:pPr>
            <w:r>
              <w:rPr>
                <w:rFonts w:ascii="方正仿宋_GBK" w:eastAsia="方正仿宋_GBK" w:cs="宋体"/>
                <w:b/>
                <w:color w:val="000000"/>
                <w:sz w:val="15"/>
                <w:szCs w:val="15"/>
              </w:rPr>
              <w:t>　≥</w:t>
            </w:r>
          </w:p>
        </w:tc>
        <w:tc>
          <w:tcPr>
            <w:tcW w:w="478" w:type="pct"/>
            <w:gridSpan w:val="2"/>
            <w:tcBorders>
              <w:top w:val="nil"/>
              <w:left w:val="nil"/>
              <w:bottom w:val="single" w:color="auto" w:sz="4" w:space="0"/>
              <w:right w:val="single" w:color="auto" w:sz="4" w:space="0"/>
            </w:tcBorders>
            <w:shd w:val="clear" w:color="auto" w:fill="auto"/>
            <w:vAlign w:val="center"/>
          </w:tcPr>
          <w:p>
            <w:pPr>
              <w:jc w:val="right"/>
              <w:rPr>
                <w:rFonts w:hint="default" w:ascii="方正仿宋_GBK" w:eastAsia="方正仿宋_GBK" w:cs="宋体"/>
                <w:b/>
                <w:color w:val="000000"/>
                <w:sz w:val="15"/>
                <w:szCs w:val="15"/>
              </w:rPr>
            </w:pPr>
            <w:r>
              <w:rPr>
                <w:rFonts w:ascii="方正仿宋_GBK" w:eastAsia="方正仿宋_GBK" w:cs="宋体"/>
                <w:b/>
                <w:color w:val="000000"/>
                <w:sz w:val="15"/>
                <w:szCs w:val="15"/>
              </w:rPr>
              <w:t>100　</w:t>
            </w:r>
          </w:p>
        </w:tc>
        <w:tc>
          <w:tcPr>
            <w:tcW w:w="478" w:type="pct"/>
            <w:tcBorders>
              <w:top w:val="nil"/>
              <w:left w:val="nil"/>
              <w:bottom w:val="single" w:color="auto" w:sz="4" w:space="0"/>
              <w:right w:val="single" w:color="auto" w:sz="4" w:space="0"/>
            </w:tcBorders>
            <w:shd w:val="clear" w:color="auto" w:fill="auto"/>
            <w:vAlign w:val="center"/>
          </w:tcPr>
          <w:p>
            <w:pPr>
              <w:jc w:val="right"/>
              <w:rPr>
                <w:rFonts w:hint="default" w:ascii="方正仿宋_GBK" w:eastAsia="方正仿宋_GBK" w:cs="宋体"/>
                <w:b/>
                <w:color w:val="000000"/>
                <w:sz w:val="15"/>
                <w:szCs w:val="15"/>
              </w:rPr>
            </w:pPr>
            <w:r>
              <w:rPr>
                <w:rFonts w:ascii="方正仿宋_GBK" w:eastAsia="方正仿宋_GBK" w:cs="宋体"/>
                <w:b/>
                <w:color w:val="000000"/>
                <w:sz w:val="15"/>
                <w:szCs w:val="15"/>
              </w:rPr>
              <w:t>110.8　</w:t>
            </w:r>
          </w:p>
        </w:tc>
        <w:tc>
          <w:tcPr>
            <w:tcW w:w="510" w:type="pct"/>
            <w:gridSpan w:val="2"/>
            <w:tcBorders>
              <w:top w:val="nil"/>
              <w:left w:val="nil"/>
              <w:bottom w:val="single" w:color="auto" w:sz="4" w:space="0"/>
              <w:right w:val="single" w:color="auto" w:sz="4" w:space="0"/>
            </w:tcBorders>
            <w:shd w:val="clear" w:color="auto" w:fill="auto"/>
            <w:vAlign w:val="center"/>
          </w:tcPr>
          <w:p>
            <w:pPr>
              <w:jc w:val="right"/>
              <w:rPr>
                <w:rFonts w:hint="default" w:ascii="方正仿宋_GBK" w:eastAsia="方正仿宋_GBK" w:cs="宋体"/>
                <w:b/>
                <w:color w:val="000000"/>
                <w:sz w:val="15"/>
                <w:szCs w:val="15"/>
              </w:rPr>
            </w:pPr>
            <w:r>
              <w:rPr>
                <w:rFonts w:ascii="方正仿宋_GBK" w:eastAsia="方正仿宋_GBK" w:cs="宋体"/>
                <w:b/>
                <w:color w:val="000000"/>
                <w:sz w:val="15"/>
                <w:szCs w:val="15"/>
              </w:rPr>
              <w:t>10.8　</w:t>
            </w:r>
          </w:p>
        </w:tc>
        <w:tc>
          <w:tcPr>
            <w:tcW w:w="601" w:type="pct"/>
            <w:gridSpan w:val="2"/>
            <w:tcBorders>
              <w:top w:val="nil"/>
              <w:left w:val="nil"/>
              <w:bottom w:val="single" w:color="auto" w:sz="4" w:space="0"/>
              <w:right w:val="single" w:color="auto" w:sz="4" w:space="0"/>
            </w:tcBorders>
            <w:shd w:val="clear" w:color="auto" w:fill="auto"/>
            <w:vAlign w:val="center"/>
          </w:tcPr>
          <w:p>
            <w:pPr>
              <w:jc w:val="right"/>
              <w:rPr>
                <w:rFonts w:hint="default" w:ascii="方正仿宋_GBK" w:eastAsia="方正仿宋_GBK" w:cs="宋体"/>
                <w:b/>
                <w:color w:val="000000"/>
                <w:sz w:val="15"/>
                <w:szCs w:val="15"/>
              </w:rPr>
            </w:pPr>
            <w:r>
              <w:rPr>
                <w:rFonts w:ascii="方正仿宋_GBK" w:eastAsia="方正仿宋_GBK" w:cs="宋体"/>
                <w:b/>
                <w:color w:val="000000"/>
                <w:sz w:val="15"/>
                <w:szCs w:val="15"/>
              </w:rPr>
              <w:t>100　</w:t>
            </w:r>
          </w:p>
        </w:tc>
        <w:tc>
          <w:tcPr>
            <w:tcW w:w="423" w:type="pct"/>
            <w:gridSpan w:val="2"/>
            <w:tcBorders>
              <w:top w:val="nil"/>
              <w:left w:val="nil"/>
              <w:bottom w:val="single" w:color="auto" w:sz="4" w:space="0"/>
              <w:right w:val="single" w:color="auto" w:sz="4" w:space="0"/>
            </w:tcBorders>
            <w:shd w:val="clear" w:color="auto" w:fill="auto"/>
            <w:vAlign w:val="center"/>
          </w:tcPr>
          <w:p>
            <w:pPr>
              <w:jc w:val="right"/>
              <w:rPr>
                <w:rFonts w:hint="default" w:ascii="方正仿宋_GBK" w:eastAsia="方正仿宋_GBK" w:cs="宋体"/>
                <w:b/>
                <w:color w:val="000000"/>
                <w:sz w:val="15"/>
                <w:szCs w:val="15"/>
              </w:rPr>
            </w:pPr>
            <w:r>
              <w:rPr>
                <w:rFonts w:ascii="方正仿宋_GBK" w:eastAsia="方正仿宋_GBK" w:cs="宋体"/>
                <w:b/>
                <w:color w:val="000000"/>
                <w:sz w:val="15"/>
                <w:szCs w:val="15"/>
              </w:rPr>
              <w:t>20　</w:t>
            </w:r>
          </w:p>
        </w:tc>
        <w:tc>
          <w:tcPr>
            <w:tcW w:w="434" w:type="pct"/>
            <w:tcBorders>
              <w:top w:val="nil"/>
              <w:left w:val="nil"/>
              <w:bottom w:val="single" w:color="auto" w:sz="4" w:space="0"/>
              <w:right w:val="single" w:color="auto" w:sz="4" w:space="0"/>
            </w:tcBorders>
            <w:shd w:val="clear" w:color="auto" w:fill="auto"/>
            <w:vAlign w:val="center"/>
          </w:tcPr>
          <w:p>
            <w:pPr>
              <w:jc w:val="right"/>
              <w:rPr>
                <w:rFonts w:hint="default" w:ascii="方正仿宋_GBK" w:eastAsia="方正仿宋_GBK" w:cs="宋体"/>
                <w:b/>
                <w:color w:val="000000"/>
                <w:sz w:val="15"/>
                <w:szCs w:val="15"/>
              </w:rPr>
            </w:pPr>
            <w:r>
              <w:rPr>
                <w:rFonts w:ascii="方正仿宋_GBK" w:eastAsia="方正仿宋_GBK" w:cs="宋体"/>
                <w:b/>
                <w:color w:val="000000"/>
                <w:sz w:val="15"/>
                <w:szCs w:val="15"/>
              </w:rPr>
              <w:t>20　</w:t>
            </w:r>
          </w:p>
        </w:tc>
        <w:tc>
          <w:tcPr>
            <w:tcW w:w="434" w:type="pct"/>
            <w:tcBorders>
              <w:top w:val="nil"/>
              <w:left w:val="nil"/>
              <w:bottom w:val="single" w:color="auto" w:sz="4" w:space="0"/>
              <w:right w:val="single" w:color="auto" w:sz="4" w:space="0"/>
            </w:tcBorders>
            <w:shd w:val="clear" w:color="auto" w:fill="auto"/>
            <w:vAlign w:val="center"/>
          </w:tcPr>
          <w:p>
            <w:pPr>
              <w:rPr>
                <w:rFonts w:hint="default" w:ascii="方正仿宋_GBK" w:eastAsia="方正仿宋_GBK" w:cs="宋体"/>
                <w:b/>
                <w:color w:val="000000"/>
                <w:sz w:val="15"/>
                <w:szCs w:val="15"/>
              </w:rPr>
            </w:pPr>
            <w:r>
              <w:rPr>
                <w:rFonts w:ascii="方正仿宋_GBK" w:eastAsia="方正仿宋_GBK" w:cs="宋体"/>
                <w:b/>
                <w:color w:val="000000"/>
                <w:sz w:val="15"/>
                <w:szCs w:val="15"/>
              </w:rPr>
              <w:t>　是</w:t>
            </w:r>
          </w:p>
        </w:tc>
        <w:tc>
          <w:tcPr>
            <w:tcW w:w="433" w:type="pct"/>
            <w:tcBorders>
              <w:top w:val="nil"/>
              <w:left w:val="nil"/>
              <w:bottom w:val="single" w:color="auto" w:sz="4" w:space="0"/>
              <w:right w:val="single" w:color="auto" w:sz="4" w:space="0"/>
            </w:tcBorders>
            <w:shd w:val="clear" w:color="auto" w:fill="auto"/>
            <w:vAlign w:val="center"/>
          </w:tcPr>
          <w:p>
            <w:pPr>
              <w:rPr>
                <w:rFonts w:hint="default" w:ascii="方正仿宋_GBK" w:eastAsia="方正仿宋_GBK" w:cs="宋体"/>
                <w:b/>
                <w:color w:val="000000"/>
                <w:sz w:val="15"/>
                <w:szCs w:val="15"/>
              </w:rPr>
            </w:pPr>
            <w:r>
              <w:rPr>
                <w:rFonts w:ascii="方正仿宋_GBK" w:eastAsia="方正仿宋_GBK" w:cs="宋体"/>
                <w:b/>
                <w:color w:val="000000"/>
                <w:sz w:val="15"/>
                <w:szCs w:val="15"/>
              </w:rPr>
              <w:t>　</w:t>
            </w:r>
          </w:p>
        </w:tc>
      </w:tr>
      <w:tr>
        <w:tblPrEx>
          <w:tblCellMar>
            <w:top w:w="0" w:type="dxa"/>
            <w:left w:w="108" w:type="dxa"/>
            <w:bottom w:w="0" w:type="dxa"/>
            <w:right w:w="108" w:type="dxa"/>
          </w:tblCellMar>
        </w:tblPrEx>
        <w:trPr>
          <w:trHeight w:val="1130" w:hRule="atLeast"/>
        </w:trPr>
        <w:tc>
          <w:tcPr>
            <w:tcW w:w="562" w:type="pct"/>
            <w:tcBorders>
              <w:top w:val="nil"/>
              <w:left w:val="single" w:color="auto" w:sz="4" w:space="0"/>
              <w:bottom w:val="single" w:color="auto" w:sz="4" w:space="0"/>
              <w:right w:val="single" w:color="auto" w:sz="4" w:space="0"/>
            </w:tcBorders>
            <w:shd w:val="clear" w:color="auto" w:fill="auto"/>
            <w:vAlign w:val="center"/>
          </w:tcPr>
          <w:p>
            <w:pPr>
              <w:rPr>
                <w:rFonts w:hint="default" w:ascii="方正仿宋_GBK" w:eastAsia="方正仿宋_GBK" w:cs="宋体"/>
                <w:b/>
                <w:color w:val="000000"/>
                <w:sz w:val="15"/>
                <w:szCs w:val="15"/>
              </w:rPr>
            </w:pPr>
            <w:r>
              <w:rPr>
                <w:rFonts w:ascii="方正仿宋_GBK" w:eastAsia="方正仿宋_GBK" w:cs="宋体"/>
                <w:b/>
                <w:color w:val="000000"/>
                <w:sz w:val="15"/>
                <w:szCs w:val="15"/>
              </w:rPr>
              <w:t>森林资源管护当期任务完成率</w:t>
            </w:r>
          </w:p>
        </w:tc>
        <w:tc>
          <w:tcPr>
            <w:tcW w:w="214" w:type="pct"/>
            <w:gridSpan w:val="2"/>
            <w:tcBorders>
              <w:top w:val="nil"/>
              <w:left w:val="nil"/>
              <w:bottom w:val="single" w:color="auto" w:sz="4" w:space="0"/>
              <w:right w:val="single" w:color="auto" w:sz="4" w:space="0"/>
            </w:tcBorders>
            <w:shd w:val="clear" w:color="auto" w:fill="auto"/>
            <w:vAlign w:val="center"/>
          </w:tcPr>
          <w:p>
            <w:pPr>
              <w:rPr>
                <w:rFonts w:hint="default" w:ascii="方正仿宋_GBK" w:eastAsia="方正仿宋_GBK" w:cs="宋体"/>
                <w:b/>
                <w:color w:val="000000"/>
                <w:sz w:val="15"/>
                <w:szCs w:val="15"/>
              </w:rPr>
            </w:pPr>
            <w:r>
              <w:rPr>
                <w:rFonts w:ascii="方正仿宋_GBK" w:eastAsia="方正仿宋_GBK" w:cs="宋体"/>
                <w:b/>
                <w:color w:val="000000"/>
                <w:sz w:val="15"/>
                <w:szCs w:val="15"/>
              </w:rPr>
              <w:t>%</w:t>
            </w:r>
          </w:p>
        </w:tc>
        <w:tc>
          <w:tcPr>
            <w:tcW w:w="434" w:type="pct"/>
            <w:tcBorders>
              <w:top w:val="nil"/>
              <w:left w:val="nil"/>
              <w:bottom w:val="single" w:color="auto" w:sz="4" w:space="0"/>
              <w:right w:val="single" w:color="auto" w:sz="4" w:space="0"/>
            </w:tcBorders>
            <w:shd w:val="clear" w:color="auto" w:fill="auto"/>
            <w:vAlign w:val="center"/>
          </w:tcPr>
          <w:p>
            <w:pPr>
              <w:rPr>
                <w:rFonts w:hint="default" w:ascii="方正仿宋_GBK" w:eastAsia="方正仿宋_GBK" w:cs="宋体"/>
                <w:b/>
                <w:color w:val="000000"/>
                <w:sz w:val="15"/>
                <w:szCs w:val="15"/>
              </w:rPr>
            </w:pPr>
            <w:r>
              <w:rPr>
                <w:rFonts w:ascii="方正仿宋_GBK" w:eastAsia="方正仿宋_GBK" w:cs="宋体"/>
                <w:b/>
                <w:color w:val="000000"/>
                <w:sz w:val="15"/>
                <w:szCs w:val="15"/>
              </w:rPr>
              <w:t>≥</w:t>
            </w:r>
          </w:p>
        </w:tc>
        <w:tc>
          <w:tcPr>
            <w:tcW w:w="478" w:type="pct"/>
            <w:gridSpan w:val="2"/>
            <w:tcBorders>
              <w:top w:val="nil"/>
              <w:left w:val="nil"/>
              <w:bottom w:val="single" w:color="auto" w:sz="4" w:space="0"/>
              <w:right w:val="single" w:color="auto" w:sz="4" w:space="0"/>
            </w:tcBorders>
            <w:shd w:val="clear" w:color="auto" w:fill="auto"/>
            <w:vAlign w:val="center"/>
          </w:tcPr>
          <w:p>
            <w:pPr>
              <w:jc w:val="right"/>
              <w:rPr>
                <w:rFonts w:hint="default" w:ascii="方正仿宋_GBK" w:eastAsia="方正仿宋_GBK" w:cs="宋体"/>
                <w:b/>
                <w:color w:val="000000"/>
                <w:sz w:val="15"/>
                <w:szCs w:val="15"/>
              </w:rPr>
            </w:pPr>
            <w:r>
              <w:rPr>
                <w:rFonts w:ascii="方正仿宋_GBK" w:eastAsia="方正仿宋_GBK" w:cs="宋体"/>
                <w:b/>
                <w:color w:val="000000"/>
                <w:sz w:val="15"/>
                <w:szCs w:val="15"/>
              </w:rPr>
              <w:t>95</w:t>
            </w:r>
          </w:p>
        </w:tc>
        <w:tc>
          <w:tcPr>
            <w:tcW w:w="478" w:type="pct"/>
            <w:tcBorders>
              <w:top w:val="nil"/>
              <w:left w:val="nil"/>
              <w:bottom w:val="single" w:color="auto" w:sz="4" w:space="0"/>
              <w:right w:val="single" w:color="auto" w:sz="4" w:space="0"/>
            </w:tcBorders>
            <w:shd w:val="clear" w:color="auto" w:fill="auto"/>
            <w:vAlign w:val="center"/>
          </w:tcPr>
          <w:p>
            <w:pPr>
              <w:jc w:val="right"/>
              <w:rPr>
                <w:rFonts w:hint="default" w:ascii="方正仿宋_GBK" w:eastAsia="方正仿宋_GBK" w:cs="宋体"/>
                <w:b/>
                <w:color w:val="000000"/>
                <w:sz w:val="15"/>
                <w:szCs w:val="15"/>
              </w:rPr>
            </w:pPr>
            <w:r>
              <w:rPr>
                <w:rFonts w:ascii="方正仿宋_GBK" w:eastAsia="方正仿宋_GBK" w:cs="宋体"/>
                <w:b/>
                <w:color w:val="000000"/>
                <w:sz w:val="15"/>
                <w:szCs w:val="15"/>
              </w:rPr>
              <w:t>95</w:t>
            </w:r>
          </w:p>
        </w:tc>
        <w:tc>
          <w:tcPr>
            <w:tcW w:w="510" w:type="pct"/>
            <w:gridSpan w:val="2"/>
            <w:tcBorders>
              <w:top w:val="nil"/>
              <w:left w:val="nil"/>
              <w:bottom w:val="single" w:color="auto" w:sz="4" w:space="0"/>
              <w:right w:val="single" w:color="auto" w:sz="4" w:space="0"/>
            </w:tcBorders>
            <w:shd w:val="clear" w:color="auto" w:fill="auto"/>
            <w:vAlign w:val="center"/>
          </w:tcPr>
          <w:p>
            <w:pPr>
              <w:jc w:val="right"/>
              <w:rPr>
                <w:rFonts w:hint="default" w:ascii="方正仿宋_GBK" w:eastAsia="方正仿宋_GBK" w:cs="宋体"/>
                <w:b/>
                <w:color w:val="000000"/>
                <w:sz w:val="15"/>
                <w:szCs w:val="15"/>
              </w:rPr>
            </w:pPr>
            <w:r>
              <w:rPr>
                <w:rFonts w:ascii="方正仿宋_GBK" w:eastAsia="方正仿宋_GBK" w:cs="宋体"/>
                <w:b/>
                <w:color w:val="000000"/>
                <w:sz w:val="15"/>
                <w:szCs w:val="15"/>
              </w:rPr>
              <w:t>0</w:t>
            </w:r>
          </w:p>
        </w:tc>
        <w:tc>
          <w:tcPr>
            <w:tcW w:w="601" w:type="pct"/>
            <w:gridSpan w:val="2"/>
            <w:tcBorders>
              <w:top w:val="nil"/>
              <w:left w:val="nil"/>
              <w:bottom w:val="single" w:color="auto" w:sz="4" w:space="0"/>
              <w:right w:val="single" w:color="auto" w:sz="4" w:space="0"/>
            </w:tcBorders>
            <w:shd w:val="clear" w:color="auto" w:fill="auto"/>
            <w:vAlign w:val="center"/>
          </w:tcPr>
          <w:p>
            <w:pPr>
              <w:jc w:val="right"/>
              <w:rPr>
                <w:rFonts w:hint="default" w:ascii="方正仿宋_GBK" w:eastAsia="方正仿宋_GBK" w:cs="宋体"/>
                <w:b/>
                <w:color w:val="000000"/>
                <w:sz w:val="15"/>
                <w:szCs w:val="15"/>
              </w:rPr>
            </w:pPr>
            <w:r>
              <w:rPr>
                <w:rFonts w:ascii="方正仿宋_GBK" w:eastAsia="方正仿宋_GBK" w:cs="宋体"/>
                <w:b/>
                <w:color w:val="000000"/>
                <w:sz w:val="15"/>
                <w:szCs w:val="15"/>
              </w:rPr>
              <w:t>100</w:t>
            </w:r>
          </w:p>
        </w:tc>
        <w:tc>
          <w:tcPr>
            <w:tcW w:w="423" w:type="pct"/>
            <w:gridSpan w:val="2"/>
            <w:tcBorders>
              <w:top w:val="nil"/>
              <w:left w:val="nil"/>
              <w:bottom w:val="single" w:color="auto" w:sz="4" w:space="0"/>
              <w:right w:val="single" w:color="auto" w:sz="4" w:space="0"/>
            </w:tcBorders>
            <w:shd w:val="clear" w:color="auto" w:fill="auto"/>
            <w:vAlign w:val="center"/>
          </w:tcPr>
          <w:p>
            <w:pPr>
              <w:jc w:val="right"/>
              <w:rPr>
                <w:rFonts w:hint="default" w:ascii="方正仿宋_GBK" w:eastAsia="方正仿宋_GBK" w:cs="宋体"/>
                <w:b/>
                <w:color w:val="000000"/>
                <w:sz w:val="15"/>
                <w:szCs w:val="15"/>
              </w:rPr>
            </w:pPr>
            <w:r>
              <w:rPr>
                <w:rFonts w:ascii="方正仿宋_GBK" w:eastAsia="方正仿宋_GBK" w:cs="宋体"/>
                <w:b/>
                <w:color w:val="000000"/>
                <w:sz w:val="15"/>
                <w:szCs w:val="15"/>
              </w:rPr>
              <w:t>20</w:t>
            </w:r>
          </w:p>
        </w:tc>
        <w:tc>
          <w:tcPr>
            <w:tcW w:w="434" w:type="pct"/>
            <w:tcBorders>
              <w:top w:val="nil"/>
              <w:left w:val="nil"/>
              <w:bottom w:val="single" w:color="auto" w:sz="4" w:space="0"/>
              <w:right w:val="single" w:color="auto" w:sz="4" w:space="0"/>
            </w:tcBorders>
            <w:shd w:val="clear" w:color="auto" w:fill="auto"/>
            <w:vAlign w:val="center"/>
          </w:tcPr>
          <w:p>
            <w:pPr>
              <w:jc w:val="right"/>
              <w:rPr>
                <w:rFonts w:hint="default" w:ascii="方正仿宋_GBK" w:eastAsia="方正仿宋_GBK" w:cs="宋体"/>
                <w:b/>
                <w:color w:val="000000"/>
                <w:sz w:val="15"/>
                <w:szCs w:val="15"/>
              </w:rPr>
            </w:pPr>
            <w:r>
              <w:rPr>
                <w:rFonts w:ascii="方正仿宋_GBK" w:eastAsia="方正仿宋_GBK" w:cs="宋体"/>
                <w:b/>
                <w:color w:val="000000"/>
                <w:sz w:val="15"/>
                <w:szCs w:val="15"/>
              </w:rPr>
              <w:t>20</w:t>
            </w:r>
          </w:p>
        </w:tc>
        <w:tc>
          <w:tcPr>
            <w:tcW w:w="434" w:type="pct"/>
            <w:tcBorders>
              <w:top w:val="nil"/>
              <w:left w:val="nil"/>
              <w:bottom w:val="single" w:color="auto" w:sz="4" w:space="0"/>
              <w:right w:val="single" w:color="auto" w:sz="4" w:space="0"/>
            </w:tcBorders>
            <w:shd w:val="clear" w:color="auto" w:fill="auto"/>
            <w:vAlign w:val="center"/>
          </w:tcPr>
          <w:p>
            <w:pPr>
              <w:ind w:firstLine="75" w:firstLineChars="50"/>
              <w:rPr>
                <w:rFonts w:hint="default" w:ascii="方正仿宋_GBK" w:eastAsia="方正仿宋_GBK" w:cs="宋体"/>
                <w:b/>
                <w:color w:val="000000"/>
                <w:sz w:val="15"/>
                <w:szCs w:val="15"/>
              </w:rPr>
            </w:pPr>
            <w:r>
              <w:rPr>
                <w:rFonts w:ascii="方正仿宋_GBK" w:eastAsia="方正仿宋_GBK" w:cs="宋体"/>
                <w:b/>
                <w:color w:val="000000"/>
                <w:sz w:val="15"/>
                <w:szCs w:val="15"/>
              </w:rPr>
              <w:t>否</w:t>
            </w:r>
          </w:p>
        </w:tc>
        <w:tc>
          <w:tcPr>
            <w:tcW w:w="433" w:type="pct"/>
            <w:tcBorders>
              <w:top w:val="nil"/>
              <w:left w:val="nil"/>
              <w:bottom w:val="single" w:color="auto" w:sz="4" w:space="0"/>
              <w:right w:val="single" w:color="auto" w:sz="4" w:space="0"/>
            </w:tcBorders>
            <w:shd w:val="clear" w:color="auto" w:fill="auto"/>
            <w:vAlign w:val="center"/>
          </w:tcPr>
          <w:p>
            <w:pPr>
              <w:rPr>
                <w:rFonts w:hint="default" w:cs="宋体"/>
                <w:color w:val="000000"/>
                <w:sz w:val="18"/>
                <w:szCs w:val="18"/>
              </w:rPr>
            </w:pPr>
          </w:p>
        </w:tc>
      </w:tr>
      <w:tr>
        <w:tblPrEx>
          <w:tblCellMar>
            <w:top w:w="0" w:type="dxa"/>
            <w:left w:w="108" w:type="dxa"/>
            <w:bottom w:w="0" w:type="dxa"/>
            <w:right w:w="108" w:type="dxa"/>
          </w:tblCellMar>
        </w:tblPrEx>
        <w:trPr>
          <w:trHeight w:val="439" w:hRule="atLeast"/>
        </w:trPr>
        <w:tc>
          <w:tcPr>
            <w:tcW w:w="562" w:type="pct"/>
            <w:tcBorders>
              <w:top w:val="nil"/>
              <w:left w:val="single" w:color="auto" w:sz="4" w:space="0"/>
              <w:bottom w:val="single" w:color="auto" w:sz="4" w:space="0"/>
              <w:right w:val="single" w:color="auto" w:sz="4" w:space="0"/>
            </w:tcBorders>
            <w:shd w:val="clear" w:color="auto" w:fill="auto"/>
            <w:vAlign w:val="center"/>
          </w:tcPr>
          <w:p>
            <w:pPr>
              <w:rPr>
                <w:rFonts w:hint="default" w:ascii="方正仿宋_GBK" w:eastAsia="方正仿宋_GBK" w:cs="宋体"/>
                <w:b/>
                <w:color w:val="000000"/>
                <w:sz w:val="15"/>
                <w:szCs w:val="15"/>
              </w:rPr>
            </w:pPr>
            <w:r>
              <w:rPr>
                <w:rFonts w:ascii="方正仿宋_GBK" w:eastAsia="方正仿宋_GBK" w:cs="宋体"/>
                <w:b/>
                <w:color w:val="000000"/>
                <w:sz w:val="15"/>
                <w:szCs w:val="15"/>
              </w:rPr>
              <w:t>森林蓄积量</w:t>
            </w:r>
          </w:p>
        </w:tc>
        <w:tc>
          <w:tcPr>
            <w:tcW w:w="214" w:type="pct"/>
            <w:gridSpan w:val="2"/>
            <w:tcBorders>
              <w:top w:val="nil"/>
              <w:left w:val="nil"/>
              <w:bottom w:val="single" w:color="auto" w:sz="4" w:space="0"/>
              <w:right w:val="single" w:color="auto" w:sz="4" w:space="0"/>
            </w:tcBorders>
            <w:shd w:val="clear" w:color="auto" w:fill="auto"/>
            <w:vAlign w:val="center"/>
          </w:tcPr>
          <w:p>
            <w:pPr>
              <w:rPr>
                <w:rFonts w:hint="default" w:ascii="方正仿宋_GBK" w:eastAsia="方正仿宋_GBK" w:cs="宋体"/>
                <w:b/>
                <w:color w:val="000000"/>
                <w:sz w:val="15"/>
                <w:szCs w:val="15"/>
              </w:rPr>
            </w:pPr>
            <w:r>
              <w:rPr>
                <w:rFonts w:ascii="方正仿宋_GBK" w:eastAsia="方正仿宋_GBK" w:cs="宋体"/>
                <w:b/>
                <w:color w:val="000000"/>
                <w:sz w:val="15"/>
                <w:szCs w:val="15"/>
              </w:rPr>
              <w:t>立方米</w:t>
            </w:r>
          </w:p>
        </w:tc>
        <w:tc>
          <w:tcPr>
            <w:tcW w:w="434" w:type="pct"/>
            <w:tcBorders>
              <w:top w:val="nil"/>
              <w:left w:val="nil"/>
              <w:bottom w:val="single" w:color="auto" w:sz="4" w:space="0"/>
              <w:right w:val="single" w:color="auto" w:sz="4" w:space="0"/>
            </w:tcBorders>
            <w:shd w:val="clear" w:color="auto" w:fill="auto"/>
            <w:vAlign w:val="center"/>
          </w:tcPr>
          <w:p>
            <w:pPr>
              <w:rPr>
                <w:rFonts w:hint="default" w:ascii="方正仿宋_GBK" w:eastAsia="方正仿宋_GBK" w:cs="宋体"/>
                <w:b/>
                <w:color w:val="000000"/>
                <w:sz w:val="15"/>
                <w:szCs w:val="15"/>
              </w:rPr>
            </w:pPr>
            <w:r>
              <w:rPr>
                <w:rFonts w:ascii="方正仿宋_GBK" w:eastAsia="方正仿宋_GBK" w:cs="宋体"/>
                <w:b/>
                <w:color w:val="000000"/>
                <w:sz w:val="15"/>
                <w:szCs w:val="15"/>
              </w:rPr>
              <w:t>≥</w:t>
            </w:r>
          </w:p>
        </w:tc>
        <w:tc>
          <w:tcPr>
            <w:tcW w:w="478" w:type="pct"/>
            <w:gridSpan w:val="2"/>
            <w:tcBorders>
              <w:top w:val="nil"/>
              <w:left w:val="nil"/>
              <w:bottom w:val="single" w:color="auto" w:sz="4" w:space="0"/>
              <w:right w:val="single" w:color="auto" w:sz="4" w:space="0"/>
            </w:tcBorders>
            <w:shd w:val="clear" w:color="auto" w:fill="auto"/>
            <w:vAlign w:val="center"/>
          </w:tcPr>
          <w:p>
            <w:pPr>
              <w:jc w:val="right"/>
              <w:rPr>
                <w:rFonts w:hint="default" w:ascii="方正仿宋_GBK" w:eastAsia="方正仿宋_GBK" w:cs="宋体"/>
                <w:b/>
                <w:color w:val="000000"/>
                <w:sz w:val="15"/>
                <w:szCs w:val="15"/>
              </w:rPr>
            </w:pPr>
            <w:r>
              <w:rPr>
                <w:rFonts w:ascii="方正仿宋_GBK" w:eastAsia="方正仿宋_GBK" w:cs="宋体"/>
                <w:b/>
                <w:color w:val="000000"/>
                <w:sz w:val="15"/>
                <w:szCs w:val="15"/>
              </w:rPr>
              <w:t>10000000</w:t>
            </w:r>
          </w:p>
        </w:tc>
        <w:tc>
          <w:tcPr>
            <w:tcW w:w="478" w:type="pct"/>
            <w:tcBorders>
              <w:top w:val="nil"/>
              <w:left w:val="nil"/>
              <w:bottom w:val="single" w:color="auto" w:sz="4" w:space="0"/>
              <w:right w:val="single" w:color="auto" w:sz="4" w:space="0"/>
            </w:tcBorders>
            <w:shd w:val="clear" w:color="auto" w:fill="auto"/>
            <w:vAlign w:val="center"/>
          </w:tcPr>
          <w:p>
            <w:pPr>
              <w:jc w:val="right"/>
              <w:rPr>
                <w:rFonts w:hint="default" w:ascii="方正仿宋_GBK" w:eastAsia="方正仿宋_GBK" w:cs="宋体"/>
                <w:b/>
                <w:color w:val="000000"/>
                <w:sz w:val="15"/>
                <w:szCs w:val="15"/>
              </w:rPr>
            </w:pPr>
            <w:r>
              <w:rPr>
                <w:rFonts w:ascii="方正仿宋_GBK" w:eastAsia="方正仿宋_GBK" w:cs="宋体"/>
                <w:b/>
                <w:color w:val="000000"/>
                <w:sz w:val="15"/>
                <w:szCs w:val="15"/>
              </w:rPr>
              <w:t>10000000</w:t>
            </w:r>
          </w:p>
        </w:tc>
        <w:tc>
          <w:tcPr>
            <w:tcW w:w="510" w:type="pct"/>
            <w:gridSpan w:val="2"/>
            <w:tcBorders>
              <w:top w:val="nil"/>
              <w:left w:val="nil"/>
              <w:bottom w:val="single" w:color="auto" w:sz="4" w:space="0"/>
              <w:right w:val="single" w:color="auto" w:sz="4" w:space="0"/>
            </w:tcBorders>
            <w:shd w:val="clear" w:color="auto" w:fill="auto"/>
            <w:vAlign w:val="center"/>
          </w:tcPr>
          <w:p>
            <w:pPr>
              <w:jc w:val="right"/>
              <w:rPr>
                <w:rFonts w:hint="default" w:ascii="方正仿宋_GBK" w:eastAsia="方正仿宋_GBK" w:cs="宋体"/>
                <w:b/>
                <w:color w:val="000000"/>
                <w:sz w:val="15"/>
                <w:szCs w:val="15"/>
              </w:rPr>
            </w:pPr>
            <w:r>
              <w:rPr>
                <w:rFonts w:ascii="方正仿宋_GBK" w:eastAsia="方正仿宋_GBK" w:cs="宋体"/>
                <w:b/>
                <w:color w:val="000000"/>
                <w:sz w:val="15"/>
                <w:szCs w:val="15"/>
              </w:rPr>
              <w:t>0</w:t>
            </w:r>
          </w:p>
        </w:tc>
        <w:tc>
          <w:tcPr>
            <w:tcW w:w="601" w:type="pct"/>
            <w:gridSpan w:val="2"/>
            <w:tcBorders>
              <w:top w:val="nil"/>
              <w:left w:val="nil"/>
              <w:bottom w:val="single" w:color="auto" w:sz="4" w:space="0"/>
              <w:right w:val="single" w:color="auto" w:sz="4" w:space="0"/>
            </w:tcBorders>
            <w:shd w:val="clear" w:color="auto" w:fill="auto"/>
            <w:vAlign w:val="center"/>
          </w:tcPr>
          <w:p>
            <w:pPr>
              <w:jc w:val="right"/>
              <w:rPr>
                <w:rFonts w:hint="default" w:ascii="方正仿宋_GBK" w:eastAsia="方正仿宋_GBK" w:cs="宋体"/>
                <w:b/>
                <w:color w:val="000000"/>
                <w:sz w:val="15"/>
                <w:szCs w:val="15"/>
              </w:rPr>
            </w:pPr>
            <w:r>
              <w:rPr>
                <w:rFonts w:ascii="方正仿宋_GBK" w:eastAsia="方正仿宋_GBK" w:cs="宋体"/>
                <w:b/>
                <w:color w:val="000000"/>
                <w:sz w:val="15"/>
                <w:szCs w:val="15"/>
              </w:rPr>
              <w:t>100</w:t>
            </w:r>
          </w:p>
        </w:tc>
        <w:tc>
          <w:tcPr>
            <w:tcW w:w="423" w:type="pct"/>
            <w:gridSpan w:val="2"/>
            <w:tcBorders>
              <w:top w:val="nil"/>
              <w:left w:val="nil"/>
              <w:bottom w:val="single" w:color="auto" w:sz="4" w:space="0"/>
              <w:right w:val="single" w:color="auto" w:sz="4" w:space="0"/>
            </w:tcBorders>
            <w:shd w:val="clear" w:color="auto" w:fill="auto"/>
            <w:vAlign w:val="center"/>
          </w:tcPr>
          <w:p>
            <w:pPr>
              <w:jc w:val="right"/>
              <w:rPr>
                <w:rFonts w:hint="default" w:ascii="方正仿宋_GBK" w:eastAsia="方正仿宋_GBK" w:cs="宋体"/>
                <w:b/>
                <w:color w:val="000000"/>
                <w:sz w:val="15"/>
                <w:szCs w:val="15"/>
              </w:rPr>
            </w:pPr>
            <w:r>
              <w:rPr>
                <w:rFonts w:ascii="方正仿宋_GBK" w:eastAsia="方正仿宋_GBK" w:cs="宋体"/>
                <w:b/>
                <w:color w:val="000000"/>
                <w:sz w:val="15"/>
                <w:szCs w:val="15"/>
              </w:rPr>
              <w:t>20</w:t>
            </w:r>
          </w:p>
        </w:tc>
        <w:tc>
          <w:tcPr>
            <w:tcW w:w="434" w:type="pct"/>
            <w:tcBorders>
              <w:top w:val="nil"/>
              <w:left w:val="nil"/>
              <w:bottom w:val="single" w:color="auto" w:sz="4" w:space="0"/>
              <w:right w:val="single" w:color="auto" w:sz="4" w:space="0"/>
            </w:tcBorders>
            <w:shd w:val="clear" w:color="auto" w:fill="auto"/>
            <w:vAlign w:val="center"/>
          </w:tcPr>
          <w:p>
            <w:pPr>
              <w:jc w:val="right"/>
              <w:rPr>
                <w:rFonts w:hint="default" w:ascii="方正仿宋_GBK" w:eastAsia="方正仿宋_GBK" w:cs="宋体"/>
                <w:b/>
                <w:color w:val="000000"/>
                <w:sz w:val="15"/>
                <w:szCs w:val="15"/>
              </w:rPr>
            </w:pPr>
            <w:r>
              <w:rPr>
                <w:rFonts w:ascii="方正仿宋_GBK" w:eastAsia="方正仿宋_GBK" w:cs="宋体"/>
                <w:b/>
                <w:color w:val="000000"/>
                <w:sz w:val="15"/>
                <w:szCs w:val="15"/>
              </w:rPr>
              <w:t>20</w:t>
            </w:r>
          </w:p>
        </w:tc>
        <w:tc>
          <w:tcPr>
            <w:tcW w:w="434" w:type="pct"/>
            <w:tcBorders>
              <w:top w:val="nil"/>
              <w:left w:val="nil"/>
              <w:bottom w:val="single" w:color="auto" w:sz="4" w:space="0"/>
              <w:right w:val="single" w:color="auto" w:sz="4" w:space="0"/>
            </w:tcBorders>
            <w:shd w:val="clear" w:color="auto" w:fill="auto"/>
            <w:vAlign w:val="center"/>
          </w:tcPr>
          <w:p>
            <w:pPr>
              <w:ind w:firstLine="75" w:firstLineChars="50"/>
              <w:rPr>
                <w:rFonts w:hint="default" w:ascii="方正仿宋_GBK" w:eastAsia="方正仿宋_GBK" w:cs="宋体"/>
                <w:b/>
                <w:color w:val="000000"/>
                <w:sz w:val="15"/>
                <w:szCs w:val="15"/>
              </w:rPr>
            </w:pPr>
            <w:r>
              <w:rPr>
                <w:rFonts w:ascii="方正仿宋_GBK" w:eastAsia="方正仿宋_GBK" w:cs="宋体"/>
                <w:b/>
                <w:color w:val="000000"/>
                <w:sz w:val="15"/>
                <w:szCs w:val="15"/>
              </w:rPr>
              <w:t>否</w:t>
            </w:r>
          </w:p>
        </w:tc>
        <w:tc>
          <w:tcPr>
            <w:tcW w:w="433" w:type="pct"/>
            <w:tcBorders>
              <w:top w:val="nil"/>
              <w:left w:val="nil"/>
              <w:bottom w:val="single" w:color="auto" w:sz="4" w:space="0"/>
              <w:right w:val="single" w:color="auto" w:sz="4" w:space="0"/>
            </w:tcBorders>
            <w:shd w:val="clear" w:color="auto" w:fill="auto"/>
            <w:vAlign w:val="center"/>
          </w:tcPr>
          <w:p>
            <w:pPr>
              <w:rPr>
                <w:rFonts w:hint="default" w:ascii="方正仿宋_GBK" w:eastAsia="方正仿宋_GBK" w:cs="宋体"/>
                <w:b/>
                <w:color w:val="000000"/>
                <w:sz w:val="15"/>
                <w:szCs w:val="15"/>
              </w:rPr>
            </w:pPr>
          </w:p>
        </w:tc>
      </w:tr>
      <w:tr>
        <w:tblPrEx>
          <w:tblCellMar>
            <w:top w:w="0" w:type="dxa"/>
            <w:left w:w="108" w:type="dxa"/>
            <w:bottom w:w="0" w:type="dxa"/>
            <w:right w:w="108" w:type="dxa"/>
          </w:tblCellMar>
        </w:tblPrEx>
        <w:trPr>
          <w:trHeight w:val="636" w:hRule="atLeast"/>
        </w:trPr>
        <w:tc>
          <w:tcPr>
            <w:tcW w:w="562" w:type="pct"/>
            <w:tcBorders>
              <w:top w:val="nil"/>
              <w:left w:val="single" w:color="auto" w:sz="4" w:space="0"/>
              <w:bottom w:val="single" w:color="auto" w:sz="4" w:space="0"/>
              <w:right w:val="single" w:color="auto" w:sz="4" w:space="0"/>
            </w:tcBorders>
            <w:shd w:val="clear" w:color="auto" w:fill="auto"/>
            <w:vAlign w:val="center"/>
          </w:tcPr>
          <w:p>
            <w:pPr>
              <w:rPr>
                <w:rFonts w:hint="default" w:ascii="方正仿宋_GBK" w:eastAsia="方正仿宋_GBK" w:cs="宋体"/>
                <w:b/>
                <w:color w:val="000000"/>
                <w:sz w:val="15"/>
                <w:szCs w:val="15"/>
              </w:rPr>
            </w:pPr>
            <w:r>
              <w:rPr>
                <w:rFonts w:ascii="方正仿宋_GBK" w:eastAsia="方正仿宋_GBK" w:cs="宋体"/>
                <w:b/>
                <w:color w:val="000000"/>
                <w:sz w:val="15"/>
                <w:szCs w:val="15"/>
              </w:rPr>
              <w:t>　林区职工、周边群众满意度</w:t>
            </w:r>
          </w:p>
        </w:tc>
        <w:tc>
          <w:tcPr>
            <w:tcW w:w="214" w:type="pct"/>
            <w:gridSpan w:val="2"/>
            <w:tcBorders>
              <w:top w:val="nil"/>
              <w:left w:val="nil"/>
              <w:bottom w:val="single" w:color="auto" w:sz="4" w:space="0"/>
              <w:right w:val="single" w:color="auto" w:sz="4" w:space="0"/>
            </w:tcBorders>
            <w:shd w:val="clear" w:color="auto" w:fill="auto"/>
            <w:vAlign w:val="center"/>
          </w:tcPr>
          <w:p>
            <w:pPr>
              <w:rPr>
                <w:rFonts w:hint="default" w:ascii="方正仿宋_GBK" w:eastAsia="方正仿宋_GBK" w:cs="宋体"/>
                <w:b/>
                <w:color w:val="000000"/>
                <w:sz w:val="15"/>
                <w:szCs w:val="15"/>
              </w:rPr>
            </w:pPr>
            <w:r>
              <w:rPr>
                <w:rFonts w:ascii="方正仿宋_GBK" w:eastAsia="方正仿宋_GBK" w:cs="宋体"/>
                <w:b/>
                <w:color w:val="000000"/>
                <w:sz w:val="15"/>
                <w:szCs w:val="15"/>
              </w:rPr>
              <w:t>　%</w:t>
            </w:r>
          </w:p>
        </w:tc>
        <w:tc>
          <w:tcPr>
            <w:tcW w:w="434" w:type="pct"/>
            <w:tcBorders>
              <w:top w:val="nil"/>
              <w:left w:val="nil"/>
              <w:bottom w:val="single" w:color="auto" w:sz="4" w:space="0"/>
              <w:right w:val="single" w:color="auto" w:sz="4" w:space="0"/>
            </w:tcBorders>
            <w:shd w:val="clear" w:color="auto" w:fill="auto"/>
            <w:vAlign w:val="center"/>
          </w:tcPr>
          <w:p>
            <w:pPr>
              <w:rPr>
                <w:rFonts w:hint="default" w:ascii="方正仿宋_GBK" w:eastAsia="方正仿宋_GBK" w:cs="宋体"/>
                <w:b/>
                <w:color w:val="000000"/>
                <w:sz w:val="15"/>
                <w:szCs w:val="15"/>
              </w:rPr>
            </w:pPr>
            <w:r>
              <w:rPr>
                <w:rFonts w:ascii="方正仿宋_GBK" w:eastAsia="方正仿宋_GBK" w:cs="宋体"/>
                <w:b/>
                <w:color w:val="000000"/>
                <w:sz w:val="15"/>
                <w:szCs w:val="15"/>
              </w:rPr>
              <w:t>　≥</w:t>
            </w:r>
          </w:p>
        </w:tc>
        <w:tc>
          <w:tcPr>
            <w:tcW w:w="478" w:type="pct"/>
            <w:gridSpan w:val="2"/>
            <w:tcBorders>
              <w:top w:val="nil"/>
              <w:left w:val="nil"/>
              <w:bottom w:val="single" w:color="auto" w:sz="4" w:space="0"/>
              <w:right w:val="single" w:color="auto" w:sz="4" w:space="0"/>
            </w:tcBorders>
            <w:shd w:val="clear" w:color="auto" w:fill="auto"/>
            <w:vAlign w:val="center"/>
          </w:tcPr>
          <w:p>
            <w:pPr>
              <w:jc w:val="right"/>
              <w:rPr>
                <w:rFonts w:hint="default" w:ascii="方正仿宋_GBK" w:eastAsia="方正仿宋_GBK" w:cs="宋体"/>
                <w:b/>
                <w:color w:val="000000"/>
                <w:sz w:val="15"/>
                <w:szCs w:val="15"/>
              </w:rPr>
            </w:pPr>
            <w:r>
              <w:rPr>
                <w:rFonts w:ascii="方正仿宋_GBK" w:eastAsia="方正仿宋_GBK" w:cs="宋体"/>
                <w:b/>
                <w:color w:val="000000"/>
                <w:sz w:val="15"/>
                <w:szCs w:val="15"/>
              </w:rPr>
              <w:t>80　</w:t>
            </w:r>
          </w:p>
        </w:tc>
        <w:tc>
          <w:tcPr>
            <w:tcW w:w="478" w:type="pct"/>
            <w:tcBorders>
              <w:top w:val="nil"/>
              <w:left w:val="nil"/>
              <w:bottom w:val="single" w:color="auto" w:sz="4" w:space="0"/>
              <w:right w:val="single" w:color="auto" w:sz="4" w:space="0"/>
            </w:tcBorders>
            <w:shd w:val="clear" w:color="auto" w:fill="auto"/>
            <w:vAlign w:val="center"/>
          </w:tcPr>
          <w:p>
            <w:pPr>
              <w:jc w:val="right"/>
              <w:rPr>
                <w:rFonts w:hint="default" w:ascii="方正仿宋_GBK" w:eastAsia="方正仿宋_GBK" w:cs="宋体"/>
                <w:b/>
                <w:color w:val="000000"/>
                <w:sz w:val="15"/>
                <w:szCs w:val="15"/>
              </w:rPr>
            </w:pPr>
            <w:r>
              <w:rPr>
                <w:rFonts w:ascii="方正仿宋_GBK" w:eastAsia="方正仿宋_GBK" w:cs="宋体"/>
                <w:b/>
                <w:color w:val="000000"/>
                <w:sz w:val="15"/>
                <w:szCs w:val="15"/>
              </w:rPr>
              <w:t>85　</w:t>
            </w:r>
          </w:p>
        </w:tc>
        <w:tc>
          <w:tcPr>
            <w:tcW w:w="510" w:type="pct"/>
            <w:gridSpan w:val="2"/>
            <w:tcBorders>
              <w:top w:val="nil"/>
              <w:left w:val="nil"/>
              <w:bottom w:val="single" w:color="auto" w:sz="4" w:space="0"/>
              <w:right w:val="single" w:color="auto" w:sz="4" w:space="0"/>
            </w:tcBorders>
            <w:shd w:val="clear" w:color="auto" w:fill="auto"/>
            <w:vAlign w:val="center"/>
          </w:tcPr>
          <w:p>
            <w:pPr>
              <w:jc w:val="right"/>
              <w:rPr>
                <w:rFonts w:hint="default" w:ascii="方正仿宋_GBK" w:eastAsia="方正仿宋_GBK" w:cs="宋体"/>
                <w:b/>
                <w:color w:val="000000"/>
                <w:sz w:val="15"/>
                <w:szCs w:val="15"/>
              </w:rPr>
            </w:pPr>
            <w:r>
              <w:rPr>
                <w:rFonts w:ascii="方正仿宋_GBK" w:eastAsia="方正仿宋_GBK" w:cs="宋体"/>
                <w:b/>
                <w:color w:val="000000"/>
                <w:sz w:val="15"/>
                <w:szCs w:val="15"/>
              </w:rPr>
              <w:t>6.25　</w:t>
            </w:r>
          </w:p>
        </w:tc>
        <w:tc>
          <w:tcPr>
            <w:tcW w:w="601" w:type="pct"/>
            <w:gridSpan w:val="2"/>
            <w:tcBorders>
              <w:top w:val="nil"/>
              <w:left w:val="nil"/>
              <w:bottom w:val="single" w:color="auto" w:sz="4" w:space="0"/>
              <w:right w:val="single" w:color="auto" w:sz="4" w:space="0"/>
            </w:tcBorders>
            <w:shd w:val="clear" w:color="auto" w:fill="auto"/>
            <w:vAlign w:val="center"/>
          </w:tcPr>
          <w:p>
            <w:pPr>
              <w:jc w:val="right"/>
              <w:rPr>
                <w:rFonts w:hint="default" w:ascii="方正仿宋_GBK" w:eastAsia="方正仿宋_GBK" w:cs="宋体"/>
                <w:b/>
                <w:color w:val="000000"/>
                <w:sz w:val="15"/>
                <w:szCs w:val="15"/>
              </w:rPr>
            </w:pPr>
            <w:r>
              <w:rPr>
                <w:rFonts w:ascii="方正仿宋_GBK" w:eastAsia="方正仿宋_GBK" w:cs="宋体"/>
                <w:b/>
                <w:color w:val="000000"/>
                <w:sz w:val="15"/>
                <w:szCs w:val="15"/>
              </w:rPr>
              <w:t>100　</w:t>
            </w:r>
          </w:p>
        </w:tc>
        <w:tc>
          <w:tcPr>
            <w:tcW w:w="423" w:type="pct"/>
            <w:gridSpan w:val="2"/>
            <w:tcBorders>
              <w:top w:val="nil"/>
              <w:left w:val="nil"/>
              <w:bottom w:val="single" w:color="auto" w:sz="4" w:space="0"/>
              <w:right w:val="single" w:color="auto" w:sz="4" w:space="0"/>
            </w:tcBorders>
            <w:shd w:val="clear" w:color="auto" w:fill="auto"/>
            <w:vAlign w:val="center"/>
          </w:tcPr>
          <w:p>
            <w:pPr>
              <w:jc w:val="right"/>
              <w:rPr>
                <w:rFonts w:hint="default" w:ascii="方正仿宋_GBK" w:eastAsia="方正仿宋_GBK" w:cs="宋体"/>
                <w:b/>
                <w:color w:val="000000"/>
                <w:sz w:val="15"/>
                <w:szCs w:val="15"/>
              </w:rPr>
            </w:pPr>
            <w:r>
              <w:rPr>
                <w:rFonts w:ascii="方正仿宋_GBK" w:eastAsia="方正仿宋_GBK" w:cs="宋体"/>
                <w:b/>
                <w:color w:val="000000"/>
                <w:sz w:val="15"/>
                <w:szCs w:val="15"/>
              </w:rPr>
              <w:t>10　</w:t>
            </w:r>
          </w:p>
        </w:tc>
        <w:tc>
          <w:tcPr>
            <w:tcW w:w="434" w:type="pct"/>
            <w:tcBorders>
              <w:top w:val="nil"/>
              <w:left w:val="nil"/>
              <w:bottom w:val="single" w:color="auto" w:sz="4" w:space="0"/>
              <w:right w:val="single" w:color="auto" w:sz="4" w:space="0"/>
            </w:tcBorders>
            <w:shd w:val="clear" w:color="auto" w:fill="auto"/>
            <w:vAlign w:val="center"/>
          </w:tcPr>
          <w:p>
            <w:pPr>
              <w:jc w:val="right"/>
              <w:rPr>
                <w:rFonts w:hint="default" w:ascii="方正仿宋_GBK" w:eastAsia="方正仿宋_GBK" w:cs="宋体"/>
                <w:b/>
                <w:color w:val="000000"/>
                <w:sz w:val="15"/>
                <w:szCs w:val="15"/>
              </w:rPr>
            </w:pPr>
            <w:r>
              <w:rPr>
                <w:rFonts w:ascii="方正仿宋_GBK" w:eastAsia="方正仿宋_GBK" w:cs="宋体"/>
                <w:b/>
                <w:color w:val="000000"/>
                <w:sz w:val="15"/>
                <w:szCs w:val="15"/>
              </w:rPr>
              <w:t>10　</w:t>
            </w:r>
          </w:p>
        </w:tc>
        <w:tc>
          <w:tcPr>
            <w:tcW w:w="434" w:type="pct"/>
            <w:tcBorders>
              <w:top w:val="nil"/>
              <w:left w:val="nil"/>
              <w:bottom w:val="single" w:color="auto" w:sz="4" w:space="0"/>
              <w:right w:val="single" w:color="auto" w:sz="4" w:space="0"/>
            </w:tcBorders>
            <w:shd w:val="clear" w:color="auto" w:fill="auto"/>
            <w:vAlign w:val="center"/>
          </w:tcPr>
          <w:p>
            <w:pPr>
              <w:ind w:firstLine="75" w:firstLineChars="50"/>
              <w:rPr>
                <w:rFonts w:hint="default" w:ascii="方正仿宋_GBK" w:eastAsia="方正仿宋_GBK" w:cs="宋体"/>
                <w:b/>
                <w:color w:val="000000"/>
                <w:sz w:val="15"/>
                <w:szCs w:val="15"/>
              </w:rPr>
            </w:pPr>
            <w:r>
              <w:rPr>
                <w:rFonts w:ascii="方正仿宋_GBK" w:eastAsia="方正仿宋_GBK" w:cs="宋体"/>
                <w:b/>
                <w:color w:val="000000"/>
                <w:sz w:val="15"/>
                <w:szCs w:val="15"/>
              </w:rPr>
              <w:t>否</w:t>
            </w:r>
          </w:p>
        </w:tc>
        <w:tc>
          <w:tcPr>
            <w:tcW w:w="433" w:type="pct"/>
            <w:tcBorders>
              <w:top w:val="nil"/>
              <w:left w:val="nil"/>
              <w:bottom w:val="single" w:color="auto" w:sz="4" w:space="0"/>
              <w:right w:val="single" w:color="auto" w:sz="4" w:space="0"/>
            </w:tcBorders>
            <w:shd w:val="clear" w:color="auto" w:fill="auto"/>
            <w:vAlign w:val="center"/>
          </w:tcPr>
          <w:p>
            <w:pPr>
              <w:rPr>
                <w:rFonts w:hint="default" w:ascii="方正仿宋_GBK" w:eastAsia="方正仿宋_GBK" w:cs="宋体"/>
                <w:b/>
                <w:color w:val="000000"/>
                <w:sz w:val="15"/>
                <w:szCs w:val="15"/>
              </w:rPr>
            </w:pPr>
            <w:r>
              <w:rPr>
                <w:rFonts w:ascii="方正仿宋_GBK" w:eastAsia="方正仿宋_GBK" w:cs="宋体"/>
                <w:b/>
                <w:color w:val="000000"/>
                <w:sz w:val="15"/>
                <w:szCs w:val="15"/>
              </w:rPr>
              <w:t>　</w:t>
            </w:r>
          </w:p>
        </w:tc>
      </w:tr>
    </w:tbl>
    <w:p>
      <w:pPr>
        <w:pStyle w:val="11"/>
        <w:autoSpaceDE w:val="0"/>
        <w:ind w:firstLine="0" w:firstLineChars="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pPr>
        <w:pStyle w:val="16"/>
        <w:tabs>
          <w:tab w:val="center" w:pos="4153"/>
          <w:tab w:val="left" w:pos="7275"/>
        </w:tabs>
        <w:spacing w:line="600" w:lineRule="exact"/>
        <w:ind w:firstLine="640"/>
        <w:rPr>
          <w:rFonts w:eastAsia="方正仿宋_GBK" w:cs="宋体"/>
          <w:color w:val="000000"/>
          <w:kern w:val="0"/>
          <w:sz w:val="32"/>
          <w:szCs w:val="32"/>
        </w:rPr>
      </w:pPr>
      <w:r>
        <w:rPr>
          <w:rFonts w:hint="eastAsia" w:eastAsia="方正仿宋_GBK" w:cs="宋体"/>
          <w:color w:val="000000"/>
          <w:kern w:val="0"/>
          <w:sz w:val="32"/>
          <w:szCs w:val="32"/>
        </w:rPr>
        <w:t>本单位没有委托第三方开展绩效评价。</w:t>
      </w:r>
    </w:p>
    <w:p>
      <w:pPr>
        <w:pStyle w:val="11"/>
        <w:autoSpaceDE w:val="0"/>
        <w:ind w:firstLine="0" w:firstLineChars="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pPr>
        <w:pStyle w:val="16"/>
        <w:tabs>
          <w:tab w:val="center" w:pos="4153"/>
          <w:tab w:val="left" w:pos="7275"/>
        </w:tabs>
        <w:spacing w:line="600" w:lineRule="exact"/>
        <w:ind w:firstLine="640"/>
        <w:rPr>
          <w:rFonts w:eastAsia="方正仿宋_GBK" w:cs="宋体"/>
          <w:color w:val="000000"/>
          <w:kern w:val="0"/>
          <w:sz w:val="32"/>
          <w:szCs w:val="32"/>
        </w:rPr>
      </w:pPr>
      <w:r>
        <w:rPr>
          <w:rFonts w:hint="eastAsia" w:eastAsia="方正仿宋_GBK" w:cs="宋体"/>
          <w:color w:val="000000"/>
          <w:kern w:val="0"/>
          <w:sz w:val="32"/>
          <w:szCs w:val="32"/>
        </w:rPr>
        <w:t>区财政局未委托第三方对我部门开展绩效评价。</w:t>
      </w:r>
    </w:p>
    <w:p>
      <w:pPr>
        <w:pStyle w:val="6"/>
        <w:shd w:val="clear" w:color="auto" w:fill="FFFFFF"/>
        <w:spacing w:before="0" w:beforeAutospacing="0" w:after="0" w:afterAutospacing="0"/>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六、专业名词解释</w:t>
      </w:r>
    </w:p>
    <w:p>
      <w:pPr>
        <w:pStyle w:val="6"/>
        <w:shd w:val="clear" w:color="auto" w:fill="FFFFFF"/>
        <w:spacing w:before="0" w:beforeAutospacing="0" w:after="0" w:afterAutospacing="0"/>
        <w:rPr>
          <w:rFonts w:hint="default" w:ascii="方正仿宋_GBK" w:hAnsi="方正仿宋_GBK" w:eastAsia="方正仿宋_GBK" w:cs="方正仿宋_GBK"/>
          <w:b/>
          <w:sz w:val="32"/>
          <w:szCs w:val="32"/>
          <w:shd w:val="clear" w:color="auto" w:fill="FFFFFF"/>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311" w:firstLineChars="97"/>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311" w:firstLineChars="97"/>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311" w:firstLineChars="97"/>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314" w:firstLineChars="98"/>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314" w:firstLineChars="98"/>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314" w:firstLineChars="98"/>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314" w:firstLineChars="98"/>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314" w:firstLineChars="98"/>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314" w:firstLineChars="98"/>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314" w:firstLineChars="98"/>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472" w:firstLineChars="147"/>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472" w:firstLineChars="147"/>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472" w:firstLineChars="147"/>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472" w:firstLineChars="147"/>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472" w:firstLineChars="147"/>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pPr>
        <w:pStyle w:val="6"/>
        <w:shd w:val="clear" w:color="auto" w:fill="FFFFFF"/>
        <w:spacing w:before="0" w:beforeAutospacing="0" w:after="0" w:afterAutospacing="0" w:line="600" w:lineRule="exact"/>
        <w:ind w:firstLine="640" w:firstLineChars="200"/>
        <w:rPr>
          <w:rFonts w:hint="default" w:ascii="方正仿宋_GBK" w:eastAsia="方正仿宋_GBK"/>
          <w:color w:val="000000" w:themeColor="text1"/>
          <w:sz w:val="32"/>
          <w:szCs w:val="32"/>
        </w:rPr>
      </w:pPr>
      <w:r>
        <w:rPr>
          <w:rFonts w:ascii="方正仿宋_GBK" w:eastAsia="方正仿宋_GBK"/>
          <w:sz w:val="32"/>
          <w:szCs w:val="32"/>
        </w:rPr>
        <w:t>本单位决算公开信息反馈和</w:t>
      </w:r>
      <w:r>
        <w:rPr>
          <w:rFonts w:ascii="方正仿宋_GBK" w:eastAsia="方正仿宋_GBK"/>
          <w:color w:val="000000" w:themeColor="text1"/>
          <w:sz w:val="32"/>
          <w:szCs w:val="32"/>
        </w:rPr>
        <w:t>联系方式：023-72371188</w:t>
      </w:r>
    </w:p>
    <w:p>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pPr>
        <w:rPr>
          <w:rFonts w:hint="default" w:cs="宋体"/>
          <w:sz w:val="21"/>
          <w:szCs w:val="21"/>
        </w:rPr>
      </w:pPr>
    </w:p>
    <w:tbl>
      <w:tblPr>
        <w:tblStyle w:val="7"/>
        <w:tblW w:w="5005" w:type="pct"/>
        <w:tblInd w:w="0" w:type="dxa"/>
        <w:tblLayout w:type="autofit"/>
        <w:tblCellMar>
          <w:top w:w="0" w:type="dxa"/>
          <w:left w:w="0" w:type="dxa"/>
          <w:bottom w:w="0" w:type="dxa"/>
          <w:right w:w="0" w:type="dxa"/>
        </w:tblCellMar>
      </w:tblPr>
      <w:tblGrid>
        <w:gridCol w:w="5104"/>
        <w:gridCol w:w="2012"/>
        <w:gridCol w:w="4791"/>
        <w:gridCol w:w="3430"/>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655"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11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公开01表</w:t>
            </w:r>
          </w:p>
        </w:tc>
      </w:tr>
      <w:tr>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pPr>
              <w:spacing w:line="280" w:lineRule="exact"/>
              <w:textAlignment w:val="bottom"/>
              <w:rPr>
                <w:rFonts w:hint="default" w:cs="宋体"/>
                <w:color w:val="000000"/>
                <w:sz w:val="20"/>
                <w:szCs w:val="20"/>
              </w:rPr>
            </w:pPr>
            <w:r>
              <w:rPr>
                <w:rFonts w:cs="宋体"/>
                <w:sz w:val="20"/>
                <w:szCs w:val="20"/>
              </w:rPr>
              <w:t>公开部门：</w:t>
            </w:r>
            <w:r>
              <w:rPr>
                <w:sz w:val="20"/>
              </w:rPr>
              <w:t>重庆市涪陵区林业局</w:t>
            </w:r>
          </w:p>
        </w:tc>
        <w:tc>
          <w:tcPr>
            <w:tcW w:w="655"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2"/>
                <w:szCs w:val="22"/>
              </w:rPr>
            </w:pPr>
          </w:p>
        </w:tc>
        <w:tc>
          <w:tcPr>
            <w:tcW w:w="156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111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320"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679"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6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111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17,644.65</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2,025.74</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二、外交支出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三、国防支出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四、上级补助收入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四、公共安全支出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五、事业收入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五、教育支出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六、经营收入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六、科学技术支出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八、其他收入</w:t>
            </w:r>
          </w:p>
        </w:tc>
        <w:tc>
          <w:tcPr>
            <w:tcW w:w="655" w:type="pct"/>
            <w:tcBorders>
              <w:top w:val="nil"/>
              <w:left w:val="nil"/>
              <w:bottom w:val="nil"/>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1,535.64</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1,166.36</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九、卫生健康支出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191.33</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十、节能环保支出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469.96</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十二、农林水支出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15,287.38</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十六、金融支出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3,517.20</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167.50</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二十三、其他支出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rPr>
                <w:rFonts w:hint="default" w:cs="宋体"/>
                <w:b/>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21,206.03</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20,799.73</w:t>
            </w: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结余分配</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年初结转和结余</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1,496.64</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年末结转和结余</w:t>
            </w:r>
          </w:p>
        </w:tc>
        <w:tc>
          <w:tcPr>
            <w:tcW w:w="111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1,902.94</w:t>
            </w:r>
          </w:p>
        </w:tc>
      </w:tr>
      <w:tr>
        <w:tblPrEx>
          <w:tblCellMar>
            <w:top w:w="0" w:type="dxa"/>
            <w:left w:w="0" w:type="dxa"/>
            <w:bottom w:w="0" w:type="dxa"/>
            <w:right w:w="0" w:type="dxa"/>
          </w:tblCellMar>
        </w:tblPrEx>
        <w:trPr>
          <w:trHeight w:val="25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22,702.67</w:t>
            </w:r>
          </w:p>
        </w:tc>
        <w:tc>
          <w:tcPr>
            <w:tcW w:w="1562"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11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right"/>
              <w:textAlignment w:val="center"/>
              <w:rPr>
                <w:rFonts w:hint="default" w:cs="宋体"/>
                <w:color w:val="000000"/>
                <w:sz w:val="20"/>
                <w:szCs w:val="20"/>
              </w:rPr>
            </w:pPr>
            <w:r>
              <w:rPr>
                <w:rFonts w:cs="宋体"/>
                <w:color w:val="000000"/>
                <w:sz w:val="20"/>
                <w:szCs w:val="20"/>
              </w:rPr>
              <w:t>22,702.67</w:t>
            </w:r>
          </w:p>
        </w:tc>
      </w:tr>
    </w:tbl>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00" w:type="pct"/>
        <w:tblInd w:w="0" w:type="dxa"/>
        <w:tblLayout w:type="fixed"/>
        <w:tblCellMar>
          <w:top w:w="0" w:type="dxa"/>
          <w:left w:w="0" w:type="dxa"/>
          <w:bottom w:w="0" w:type="dxa"/>
          <w:right w:w="0" w:type="dxa"/>
        </w:tblCellMar>
      </w:tblPr>
      <w:tblGrid>
        <w:gridCol w:w="1694"/>
        <w:gridCol w:w="3159"/>
        <w:gridCol w:w="1229"/>
        <w:gridCol w:w="1229"/>
        <w:gridCol w:w="1229"/>
        <w:gridCol w:w="1229"/>
        <w:gridCol w:w="1361"/>
        <w:gridCol w:w="1302"/>
        <w:gridCol w:w="1434"/>
        <w:gridCol w:w="1456"/>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584" w:type="pct"/>
            <w:gridSpan w:val="2"/>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sz w:val="20"/>
              </w:rPr>
              <w:t>重庆市涪陵区林业局</w:t>
            </w: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公开02表</w:t>
            </w:r>
          </w:p>
        </w:tc>
      </w:tr>
      <w:tr>
        <w:tblPrEx>
          <w:tblCellMar>
            <w:top w:w="0" w:type="dxa"/>
            <w:left w:w="0" w:type="dxa"/>
            <w:bottom w:w="0" w:type="dxa"/>
            <w:right w:w="0" w:type="dxa"/>
          </w:tblCellMar>
        </w:tblPrEx>
        <w:trPr>
          <w:trHeight w:val="328" w:hRule="atLeast"/>
        </w:trPr>
        <w:tc>
          <w:tcPr>
            <w:tcW w:w="1584" w:type="pct"/>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584"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553"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30"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03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03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03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21,206.03</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19,670.39</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1,535.64</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1,166.36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1,166.36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1,166.36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1,166.36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16.78</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16.78</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156.52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156.52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119.88</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119.88</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873.18</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873.18</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191.33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191.33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191.33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191.33</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64.74</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64.74</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126.59</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126.59</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469.96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469.96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40.00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40.00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2110406</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自然保护地</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40.00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40.00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天然林保护</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207.00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207.00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70.00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70.00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2110502</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社会保险补助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87.00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87.00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2110599</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其他天然林保护支出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21106</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退耕还林还草</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222.96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222.96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2110602</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退耕现金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221.16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221.16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2110699</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其他退耕还林还草支出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1.80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1.80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15,693.68</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14,158.05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1,535.64</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13,369.75</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11,834.12</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1,535.64</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1,008.98</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1,008.98</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2130204</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事业机构</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2,090.04</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2,089.97</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0.07</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5,047.66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5,047.66</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132.50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132.50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2130209</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森林生态效益补偿</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1,568.00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1,568.00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2130212</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湿地保护</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211.00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211.00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2130226</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林区公共支出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30.00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30.00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1,076.79</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840.31</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236.48</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2,204.78</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905.70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1,299.08</w:t>
            </w: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298.19</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298.19</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149.10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149.10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149.09</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149.09</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21369</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国家重大水利工程建设基金安排的支出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2,025.74</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2,025.74</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2136902</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三峡后续工作</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2,025.74</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2,025.74</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3,517.20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3,517.20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3,517.20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3,517.20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3,517.20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3,517.20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167.50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167.50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167.50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167.50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167.50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167.50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tbl>
      <w:tblPr>
        <w:tblStyle w:val="7"/>
        <w:tblW w:w="5000" w:type="pct"/>
        <w:tblInd w:w="0" w:type="dxa"/>
        <w:tblLayout w:type="autofit"/>
        <w:tblCellMar>
          <w:top w:w="0" w:type="dxa"/>
          <w:left w:w="0" w:type="dxa"/>
          <w:bottom w:w="0" w:type="dxa"/>
          <w:right w:w="0" w:type="dxa"/>
        </w:tblCellMar>
      </w:tblPr>
      <w:tblGrid>
        <w:gridCol w:w="1754"/>
        <w:gridCol w:w="3630"/>
        <w:gridCol w:w="1654"/>
        <w:gridCol w:w="1654"/>
        <w:gridCol w:w="1654"/>
        <w:gridCol w:w="1638"/>
        <w:gridCol w:w="1638"/>
        <w:gridCol w:w="1700"/>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1677" w:type="pct"/>
            <w:gridSpan w:val="2"/>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rPr>
              <w:t>重庆市涪陵区林业局</w:t>
            </w: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5"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公开03表</w:t>
            </w:r>
          </w:p>
        </w:tc>
      </w:tr>
      <w:tr>
        <w:tblPrEx>
          <w:tblCellMar>
            <w:top w:w="0" w:type="dxa"/>
            <w:left w:w="0" w:type="dxa"/>
            <w:bottom w:w="0" w:type="dxa"/>
            <w:right w:w="0" w:type="dxa"/>
          </w:tblCellMar>
        </w:tblPrEx>
        <w:trPr>
          <w:trHeight w:val="342" w:hRule="atLeast"/>
        </w:trPr>
        <w:tc>
          <w:tcPr>
            <w:tcW w:w="1677" w:type="pct"/>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5"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56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586"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90"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09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09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109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20,799.73</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4,624.20</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16,175.52</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56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1,166.36</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1,166.36</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1,166.36</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1,166.36</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16.78</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16.78</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156.52</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156.52</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119.88</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119.88</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873.18</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873.18</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191.33</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191.33</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191.33</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191.33</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64.74</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64.74</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126.59</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126.59</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469.96</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469.96</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40.00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40.00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2110406</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自然保护地</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40.00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40.00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天然林保护</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207.00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207.00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70.00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70.00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2110502</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社会保险补助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87.00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87.00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2110599</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其他天然林保护支出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50.00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21106</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退耕还林还草</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222.96</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222.96</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2110602</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退耕现金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221.16</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221.16</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2110699</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其他退耕还林还草支出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1.80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1.80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15,287.38</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3,099.02</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12,188.36</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12,963.46</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3,099.02</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9,864.44</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1,008.98</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1,008.98</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2130204</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事业机构</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2,090.04</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2,090.04</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5,047.66</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5,047.66</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132.50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132.50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2130209</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森林生态效益补偿</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1,636.51</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1,636.51</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2130212</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湿地保护</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211.00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211.00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2130226</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林区公共支出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30.00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30.00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997.66</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997.66</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1,809.11</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1,809.11</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298.19</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298.19</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149.10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149.10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149.09</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149.09</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21369</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国家重大水利工程建设基金安排的支出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2,025.74</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2,025.74</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2136902</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三峡后续工作</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2,025.74</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2,025.74</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3,517.20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3,517.20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3,517.20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3,517.20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3,517.20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3,517.20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167.50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167.50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167.50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b/>
                <w:color w:val="000000"/>
                <w:sz w:val="20"/>
                <w:szCs w:val="20"/>
              </w:rPr>
              <w:t>167.50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r>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167.50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r>
              <w:rPr>
                <w:rFonts w:cs="宋体"/>
                <w:color w:val="000000"/>
                <w:sz w:val="20"/>
                <w:szCs w:val="20"/>
              </w:rPr>
              <w:t>167.50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color w:val="000000"/>
                <w:sz w:val="20"/>
                <w:szCs w:val="20"/>
              </w:rPr>
            </w:pP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1529" w:type="pct"/>
            <w:gridSpan w:val="2"/>
            <w:vMerge w:val="restart"/>
            <w:tcBorders>
              <w:top w:val="nil"/>
              <w:left w:val="nil"/>
              <w:right w:val="nil"/>
            </w:tcBorders>
            <w:shd w:val="clear" w:color="auto" w:fill="auto"/>
            <w:noWrap/>
            <w:tcMar>
              <w:top w:w="15" w:type="dxa"/>
              <w:left w:w="15" w:type="dxa"/>
              <w:right w:w="15" w:type="dxa"/>
            </w:tcMar>
            <w:vAlign w:val="bottom"/>
          </w:tcPr>
          <w:p>
            <w:pPr>
              <w:spacing w:line="240" w:lineRule="exact"/>
              <w:rPr>
                <w:rFonts w:hint="default" w:cs="宋体"/>
                <w:color w:val="000000"/>
                <w:sz w:val="18"/>
                <w:szCs w:val="18"/>
              </w:rPr>
            </w:pPr>
            <w:r>
              <w:rPr>
                <w:rFonts w:cs="宋体"/>
                <w:sz w:val="20"/>
                <w:szCs w:val="20"/>
              </w:rPr>
              <w:t>公开部门</w:t>
            </w:r>
            <w:r>
              <w:rPr>
                <w:rFonts w:cs="宋体"/>
                <w:color w:val="000000"/>
                <w:sz w:val="20"/>
                <w:szCs w:val="20"/>
              </w:rPr>
              <w:t xml:space="preserve">： </w:t>
            </w:r>
            <w:r>
              <w:rPr>
                <w:color w:val="000000"/>
                <w:sz w:val="20"/>
              </w:rPr>
              <w:t>重庆市涪陵区林业局</w:t>
            </w:r>
          </w:p>
        </w:tc>
        <w:tc>
          <w:tcPr>
            <w:tcW w:w="108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3" w:type="pct"/>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公开04表</w:t>
            </w:r>
          </w:p>
        </w:tc>
      </w:tr>
      <w:tr>
        <w:tblPrEx>
          <w:tblCellMar>
            <w:top w:w="0" w:type="dxa"/>
            <w:left w:w="0" w:type="dxa"/>
            <w:bottom w:w="0" w:type="dxa"/>
            <w:right w:w="0" w:type="dxa"/>
          </w:tblCellMar>
        </w:tblPrEx>
        <w:trPr>
          <w:trHeight w:val="90" w:hRule="atLeast"/>
        </w:trPr>
        <w:tc>
          <w:tcPr>
            <w:tcW w:w="1529" w:type="pct"/>
            <w:gridSpan w:val="2"/>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0"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7"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3"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17,644.65</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2,025.74</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1,166.36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1,166.36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191.33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191.33</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469.96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469.96</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14,383.91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12,358.17</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2,025.74</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3,517.20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3,517.20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167.50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167.50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19,670.39</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19,896.25</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17,870.51</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2,025.74</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335.25</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109.39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109.39</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335.25</w:t>
            </w:r>
          </w:p>
        </w:tc>
        <w:tc>
          <w:tcPr>
            <w:tcW w:w="1083"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20,005.64</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20,005.64</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17,979.90</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2,025.74</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827"/>
        <w:gridCol w:w="3630"/>
        <w:gridCol w:w="3283"/>
        <w:gridCol w:w="3283"/>
        <w:gridCol w:w="3299"/>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1758" w:type="pct"/>
            <w:gridSpan w:val="2"/>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rPr>
              <w:t>重庆市涪陵区林业局</w:t>
            </w:r>
          </w:p>
        </w:tc>
        <w:tc>
          <w:tcPr>
            <w:tcW w:w="107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1"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公开05表</w:t>
            </w:r>
          </w:p>
        </w:tc>
      </w:tr>
      <w:tr>
        <w:trPr>
          <w:trHeight w:val="285" w:hRule="atLeast"/>
        </w:trPr>
        <w:tc>
          <w:tcPr>
            <w:tcW w:w="1758" w:type="pct"/>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1"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8"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1"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60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1"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81"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81"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8"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17,870.51</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4,624.13</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13,246.38</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1,166.36</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1,166.36</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1,166.36</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1,166.36</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16.78</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16.78</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156.52</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156.52</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119.88</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119.88</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873.18</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873.18</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191.33</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191.33</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191.33</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191.33</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64.74</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64.74</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126.59</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126.59</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469.96</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469.96</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自然生态保护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40.00</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40.00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2110406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自然保护地</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40.00</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40.00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天然林保护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207.00</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207.00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70.00</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70.00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社会保险补助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87.00</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87.00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其他天然林保护支出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50.00</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50.00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退耕还林还草</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222.96</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222.96</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2110602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退耕现金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221.16</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221.16</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2110699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其他退耕还林还草支出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1.80</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1.80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12,358.17</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3,098.95</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9,259.22</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12,059.98</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3,098.95</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8,961.03</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1,008.98</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1,008.98</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事业机构</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2,089.97</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2,089.97</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5,047.66</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5,047.66</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132.50</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132.50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森林生态效益补偿</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1,636.51</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1,636.51</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2130212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湿地保护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211.00</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211.00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2130226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林区公共支出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30.00</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30.00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997.66</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997.66</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905.70</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905.70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298.19</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298.19</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149.10</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149.10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149.09</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149.09</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3,517.20</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3,517.20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3,517.20</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3,517.20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3,517.20</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3,517.20</w:t>
            </w: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167.50</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167.50</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167.50</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167.50</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167.50</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167.50</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1089" w:type="pct"/>
            <w:gridSpan w:val="2"/>
            <w:vMerge w:val="restart"/>
            <w:tcBorders>
              <w:top w:val="nil"/>
              <w:left w:val="nil"/>
              <w:right w:val="nil"/>
            </w:tcBorders>
            <w:shd w:val="clear" w:color="auto" w:fill="auto"/>
            <w:noWrap/>
            <w:tcMar>
              <w:top w:w="15" w:type="dxa"/>
              <w:left w:w="15" w:type="dxa"/>
              <w:right w:w="15" w:type="dxa"/>
            </w:tcMar>
            <w:vAlign w:val="bottom"/>
          </w:tcPr>
          <w:p>
            <w:pPr>
              <w:spacing w:line="240" w:lineRule="exact"/>
              <w:rPr>
                <w:rFonts w:hint="default" w:cs="宋体"/>
                <w:color w:val="000000"/>
                <w:sz w:val="18"/>
                <w:szCs w:val="18"/>
              </w:rPr>
            </w:pPr>
            <w:r>
              <w:rPr>
                <w:rFonts w:cs="宋体"/>
                <w:sz w:val="20"/>
                <w:szCs w:val="20"/>
              </w:rPr>
              <w:t>公开部门</w:t>
            </w:r>
            <w:r>
              <w:rPr>
                <w:rFonts w:cs="宋体"/>
                <w:color w:val="000000"/>
                <w:sz w:val="20"/>
                <w:szCs w:val="20"/>
              </w:rPr>
              <w:t xml:space="preserve">： </w:t>
            </w:r>
            <w:r>
              <w:rPr>
                <w:color w:val="000000"/>
                <w:sz w:val="20"/>
              </w:rPr>
              <w:t>重庆市涪陵区林业局</w:t>
            </w:r>
          </w:p>
        </w:tc>
        <w:tc>
          <w:tcPr>
            <w:tcW w:w="4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26"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4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公开06表</w:t>
            </w:r>
          </w:p>
        </w:tc>
      </w:tr>
      <w:tr>
        <w:tblPrEx>
          <w:tblCellMar>
            <w:top w:w="0" w:type="dxa"/>
            <w:left w:w="0" w:type="dxa"/>
            <w:bottom w:w="0" w:type="dxa"/>
            <w:right w:w="0" w:type="dxa"/>
          </w:tblCellMar>
        </w:tblPrEx>
        <w:trPr>
          <w:trHeight w:val="90" w:hRule="atLeast"/>
        </w:trPr>
        <w:tc>
          <w:tcPr>
            <w:tcW w:w="1089" w:type="pct"/>
            <w:gridSpan w:val="2"/>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48"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26"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4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1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2"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7"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1147"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c>
          <w:tcPr>
            <w:tcW w:w="61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spacing w:line="200"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3,076.99</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398.90</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资本性支出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9.56</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804.17</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43.60</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170.88</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0.46</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9.56</w:t>
            </w: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297.54</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2.54</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0.09</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1,118.03</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1.19</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161.10</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10.50</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125.96</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22.21</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91.05</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13.93</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40.37</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38.16</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214.56</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12.37</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3.24</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40.97</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0.13</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1,138.69</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3.80</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8.71</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4.45</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对企业补助</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196.78</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884.98</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7.72</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56.93</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80.56</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29.63</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10.70</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其他支出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23.17</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61.63</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2.55</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29.94</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rPr>
                <w:rFonts w:hint="default" w:cs="宋体"/>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cs="宋体"/>
                <w:color w:val="000000"/>
                <w:sz w:val="18"/>
                <w:szCs w:val="18"/>
              </w:rPr>
            </w:pPr>
          </w:p>
        </w:tc>
      </w:tr>
      <w:tr>
        <w:tblPrEx>
          <w:tblCellMar>
            <w:top w:w="0" w:type="dxa"/>
            <w:left w:w="0" w:type="dxa"/>
            <w:bottom w:w="0" w:type="dxa"/>
            <w:right w:w="0" w:type="dxa"/>
          </w:tblCellMar>
        </w:tblPrEx>
        <w:trPr>
          <w:trHeight w:val="90" w:hRule="atLeast"/>
        </w:trPr>
        <w:tc>
          <w:tcPr>
            <w:tcW w:w="1089"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cs="宋体"/>
                <w:color w:val="000000"/>
                <w:sz w:val="18"/>
                <w:szCs w:val="18"/>
              </w:rPr>
            </w:pPr>
            <w:r>
              <w:rPr>
                <w:rFonts w:cs="宋体"/>
                <w:color w:val="000000"/>
                <w:sz w:val="18"/>
                <w:szCs w:val="18"/>
              </w:rPr>
              <w:t>4,215.68</w:t>
            </w:r>
          </w:p>
        </w:tc>
        <w:tc>
          <w:tcPr>
            <w:tcW w:w="2848"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cs="宋体"/>
                <w:color w:val="000000"/>
                <w:sz w:val="18"/>
                <w:szCs w:val="18"/>
              </w:rPr>
            </w:pPr>
            <w:r>
              <w:rPr>
                <w:rFonts w:cs="宋体"/>
                <w:color w:val="000000"/>
                <w:sz w:val="18"/>
                <w:szCs w:val="18"/>
              </w:rPr>
              <w:t>408.45</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795"/>
        <w:gridCol w:w="3444"/>
        <w:gridCol w:w="1648"/>
        <w:gridCol w:w="1648"/>
        <w:gridCol w:w="1648"/>
        <w:gridCol w:w="1649"/>
        <w:gridCol w:w="1713"/>
        <w:gridCol w:w="1777"/>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1607" w:type="pct"/>
            <w:gridSpan w:val="2"/>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rPr>
              <w:t>重庆市涪陵区林业局</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4"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公开07表</w:t>
            </w:r>
          </w:p>
        </w:tc>
      </w:tr>
      <w:tr>
        <w:tblPrEx>
          <w:tblCellMar>
            <w:top w:w="0" w:type="dxa"/>
            <w:left w:w="0" w:type="dxa"/>
            <w:bottom w:w="0" w:type="dxa"/>
            <w:right w:w="0" w:type="dxa"/>
          </w:tblCellMar>
        </w:tblPrEx>
        <w:trPr>
          <w:trHeight w:val="329" w:hRule="atLeast"/>
        </w:trPr>
        <w:tc>
          <w:tcPr>
            <w:tcW w:w="1607" w:type="pct"/>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4"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4"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60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00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7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0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7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7"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2,025.74</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2,025.74</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5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bCs/>
                <w:color w:val="000000"/>
                <w:sz w:val="20"/>
                <w:szCs w:val="20"/>
              </w:rPr>
              <w:t>2,025.74</w:t>
            </w:r>
          </w:p>
        </w:tc>
        <w:tc>
          <w:tcPr>
            <w:tcW w:w="5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r>
      <w:tr>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w:t>
            </w:r>
          </w:p>
        </w:tc>
        <w:tc>
          <w:tcPr>
            <w:tcW w:w="10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农林水支出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2,025.74</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2,025.74</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5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2,025.74</w:t>
            </w:r>
          </w:p>
        </w:tc>
        <w:tc>
          <w:tcPr>
            <w:tcW w:w="5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r>
      <w:tr>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21369</w:t>
            </w:r>
          </w:p>
        </w:tc>
        <w:tc>
          <w:tcPr>
            <w:tcW w:w="10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国家重大水利工程建设基金安排的支出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2,025.74</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2,025.74</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5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b/>
                <w:color w:val="000000"/>
                <w:sz w:val="20"/>
                <w:szCs w:val="20"/>
              </w:rPr>
              <w:t>2,025.74</w:t>
            </w:r>
          </w:p>
        </w:tc>
        <w:tc>
          <w:tcPr>
            <w:tcW w:w="5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r>
      <w:tr>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2136902</w:t>
            </w:r>
          </w:p>
        </w:tc>
        <w:tc>
          <w:tcPr>
            <w:tcW w:w="100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三峡后续工作</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2,025.74</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2,025.74</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5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r>
              <w:rPr>
                <w:rFonts w:cs="宋体"/>
                <w:color w:val="000000"/>
                <w:sz w:val="20"/>
                <w:szCs w:val="20"/>
              </w:rPr>
              <w:t>2,025.74</w:t>
            </w:r>
          </w:p>
        </w:tc>
        <w:tc>
          <w:tcPr>
            <w:tcW w:w="5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875"/>
        <w:gridCol w:w="3049"/>
        <w:gridCol w:w="3264"/>
        <w:gridCol w:w="199"/>
        <w:gridCol w:w="3463"/>
        <w:gridCol w:w="77"/>
        <w:gridCol w:w="3395"/>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1607" w:type="pct"/>
            <w:gridSpan w:val="2"/>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rPr>
              <w:t>重庆市涪陵区林业局</w:t>
            </w:r>
          </w:p>
        </w:tc>
        <w:tc>
          <w:tcPr>
            <w:tcW w:w="106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公开08表</w:t>
            </w:r>
          </w:p>
        </w:tc>
      </w:tr>
      <w:tr>
        <w:tblPrEx>
          <w:tblCellMar>
            <w:top w:w="0" w:type="dxa"/>
            <w:left w:w="0" w:type="dxa"/>
            <w:bottom w:w="0" w:type="dxa"/>
            <w:right w:w="0" w:type="dxa"/>
          </w:tblCellMar>
        </w:tblPrEx>
        <w:trPr>
          <w:trHeight w:val="332" w:hRule="atLeast"/>
        </w:trPr>
        <w:tc>
          <w:tcPr>
            <w:tcW w:w="1607" w:type="pct"/>
            <w:gridSpan w:val="2"/>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6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6" w:type="pct"/>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2"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61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9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0"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99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99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99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cs="宋体"/>
                <w:b/>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cs="宋体"/>
                <w:b/>
                <w:color w:val="000000"/>
                <w:sz w:val="20"/>
                <w:szCs w:val="20"/>
              </w:rPr>
            </w:pP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4151"/>
        <w:gridCol w:w="2228"/>
        <w:gridCol w:w="2176"/>
        <w:gridCol w:w="4643"/>
        <w:gridCol w:w="2124"/>
      </w:tblGrid>
      <w:tr>
        <w:tblPrEx>
          <w:tblCellMar>
            <w:top w:w="0" w:type="dxa"/>
            <w:left w:w="0" w:type="dxa"/>
            <w:bottom w:w="0" w:type="dxa"/>
            <w:right w:w="0" w:type="dxa"/>
          </w:tblCellMar>
        </w:tblPrEx>
        <w:trPr>
          <w:trHeight w:val="175"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机构运行信息表</w:t>
            </w:r>
          </w:p>
        </w:tc>
      </w:tr>
      <w:tr>
        <w:tblPrEx>
          <w:tblCellMar>
            <w:top w:w="0" w:type="dxa"/>
            <w:left w:w="0" w:type="dxa"/>
            <w:bottom w:w="0" w:type="dxa"/>
            <w:right w:w="0" w:type="dxa"/>
          </w:tblCellMar>
        </w:tblPrEx>
        <w:trPr>
          <w:trHeight w:val="175" w:hRule="atLeast"/>
        </w:trPr>
        <w:tc>
          <w:tcPr>
            <w:tcW w:w="1355" w:type="pct"/>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p>
        </w:tc>
        <w:tc>
          <w:tcPr>
            <w:tcW w:w="72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center"/>
              <w:rPr>
                <w:rFonts w:hint="default" w:cs="宋体"/>
                <w:color w:val="000000"/>
                <w:sz w:val="20"/>
                <w:szCs w:val="20"/>
              </w:rPr>
            </w:pPr>
          </w:p>
        </w:tc>
        <w:tc>
          <w:tcPr>
            <w:tcW w:w="710"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sz w:val="20"/>
                <w:szCs w:val="20"/>
              </w:rPr>
            </w:pPr>
          </w:p>
        </w:tc>
        <w:tc>
          <w:tcPr>
            <w:tcW w:w="1515" w:type="pct"/>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p>
        </w:tc>
        <w:tc>
          <w:tcPr>
            <w:tcW w:w="69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公开09表</w:t>
            </w:r>
          </w:p>
        </w:tc>
      </w:tr>
      <w:tr>
        <w:tblPrEx>
          <w:tblCellMar>
            <w:top w:w="0" w:type="dxa"/>
            <w:left w:w="0" w:type="dxa"/>
            <w:bottom w:w="0" w:type="dxa"/>
            <w:right w:w="0" w:type="dxa"/>
          </w:tblCellMar>
        </w:tblPrEx>
        <w:trPr>
          <w:trHeight w:val="175" w:hRule="atLeast"/>
        </w:trPr>
        <w:tc>
          <w:tcPr>
            <w:tcW w:w="1355"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textAlignment w:val="bottom"/>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rPr>
              <w:t>重庆市涪陵区林业局</w:t>
            </w:r>
          </w:p>
        </w:tc>
        <w:tc>
          <w:tcPr>
            <w:tcW w:w="727"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center"/>
              <w:rPr>
                <w:rFonts w:hint="default" w:cs="宋体"/>
                <w:color w:val="000000"/>
                <w:sz w:val="20"/>
                <w:szCs w:val="20"/>
              </w:rPr>
            </w:pPr>
          </w:p>
        </w:tc>
        <w:tc>
          <w:tcPr>
            <w:tcW w:w="71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sz w:val="20"/>
                <w:szCs w:val="20"/>
              </w:rPr>
            </w:pPr>
          </w:p>
        </w:tc>
        <w:tc>
          <w:tcPr>
            <w:tcW w:w="1515"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p>
        </w:tc>
        <w:tc>
          <w:tcPr>
            <w:tcW w:w="693"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184"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  目</w:t>
            </w:r>
          </w:p>
        </w:tc>
        <w:tc>
          <w:tcPr>
            <w:tcW w:w="72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预算数</w:t>
            </w:r>
          </w:p>
        </w:tc>
        <w:tc>
          <w:tcPr>
            <w:tcW w:w="710"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  目</w:t>
            </w:r>
          </w:p>
        </w:tc>
        <w:tc>
          <w:tcPr>
            <w:tcW w:w="693"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184"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一、“三公”经费支出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四、机关运行经费</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176.11</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（一）支出合计</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66.57</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66.57</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（一）行政单位</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74.98</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1．因公出国（境）费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（二）参照公务员法管理事业单位</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101.12</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2．公务用车购置及运行维护费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62.13</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62.13</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五、资产信息</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（1）公务用车购置费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29.16</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29.16</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（一）车辆数合计（辆）</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13</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（2）公务用车运行维护费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32.97</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32.97</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1．副部（省）级及以上领导用车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3．公务接待费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4.45</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4.45</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2．主要领导干部用车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（1）国内接待费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4.45</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3．机要通信用车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1</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其中：外事接待费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4．应急保障用车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9</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（2）国（境）外接待费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5．执法执勤用车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2</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（二）相关统计数</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6．特种专业技术用车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1</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1．因公出国（境）团组数（个）</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7．离退休干部用车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2．因公出国（境）人次数（人）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8．其他用车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3．公务用车购置数（辆）</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2</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（二）单价100万元（含）以上设备（不含车辆）</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4．公务用车保有量（辆）</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11</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六、政府采购支出信息</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5．国内公务接待批次（个）</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48</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（一）政府采购支出合计</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9,083.45</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其中：外事接待批次（个）</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1．政府采购货物支出</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6．国内公务接待人次（人）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451</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2．政府采购工程支出</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5,379.25</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其中：外事接待人次（人）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3．政府采购服务支出</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3,704.20</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7．国（境）外公务接待批次（个）</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（二）政府采购授予中小企业合同金额</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5,697.25</w:t>
            </w:r>
          </w:p>
        </w:tc>
      </w:tr>
      <w:tr>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8．国（境）外公务接待人次（人）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pPr>
              <w:spacing w:line="240" w:lineRule="exact"/>
              <w:jc w:val="right"/>
              <w:textAlignment w:val="bottom"/>
              <w:rPr>
                <w:rFonts w:hint="default" w:cs="宋体"/>
                <w:color w:val="000000"/>
                <w:sz w:val="20"/>
                <w:szCs w:val="20"/>
              </w:rPr>
            </w:pP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 xml:space="preserve">        其中：授予小微企业合同金额</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724.28</w:t>
            </w:r>
          </w:p>
        </w:tc>
      </w:tr>
      <w:tr>
        <w:tblPrEx>
          <w:tblCellMar>
            <w:top w:w="0" w:type="dxa"/>
            <w:left w:w="0" w:type="dxa"/>
            <w:bottom w:w="0" w:type="dxa"/>
            <w:right w:w="0" w:type="dxa"/>
          </w:tblCellMar>
        </w:tblPrEx>
        <w:trPr>
          <w:trHeight w:val="269"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二、会议费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3.80</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rPr>
                <w:rFonts w:hint="default" w:cs="宋体"/>
                <w:color w:val="000000"/>
                <w:sz w:val="20"/>
                <w:szCs w:val="20"/>
              </w:rPr>
            </w:pPr>
          </w:p>
        </w:tc>
      </w:tr>
      <w:tr>
        <w:tblPrEx>
          <w:tblCellMar>
            <w:top w:w="0" w:type="dxa"/>
            <w:left w:w="0" w:type="dxa"/>
            <w:bottom w:w="0" w:type="dxa"/>
            <w:right w:w="0" w:type="dxa"/>
          </w:tblCellMar>
        </w:tblPrEx>
        <w:trPr>
          <w:trHeight w:val="244"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textAlignment w:val="center"/>
              <w:rPr>
                <w:rFonts w:hint="default" w:cs="宋体"/>
                <w:color w:val="000000"/>
                <w:sz w:val="20"/>
                <w:szCs w:val="20"/>
              </w:rPr>
            </w:pPr>
            <w:r>
              <w:rPr>
                <w:rFonts w:cs="宋体"/>
                <w:color w:val="000000"/>
                <w:sz w:val="20"/>
                <w:szCs w:val="20"/>
              </w:rPr>
              <w:t>三、培训费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color w:val="000000"/>
                <w:sz w:val="20"/>
                <w:szCs w:val="20"/>
              </w:rPr>
            </w:pPr>
            <w:r>
              <w:rPr>
                <w:rFonts w:cs="宋体"/>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8.71</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pPr>
              <w:spacing w:line="240" w:lineRule="exact"/>
              <w:rPr>
                <w:rFonts w:hint="default" w:cs="宋体"/>
                <w:color w:val="000000"/>
                <w:sz w:val="20"/>
                <w:szCs w:val="20"/>
              </w:rPr>
            </w:pP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40" w:lineRule="exact"/>
              <w:jc w:val="right"/>
              <w:rPr>
                <w:rFonts w:hint="default" w:cs="宋体"/>
                <w:color w:val="000000"/>
                <w:sz w:val="20"/>
                <w:szCs w:val="20"/>
              </w:rPr>
            </w:pPr>
          </w:p>
        </w:tc>
      </w:tr>
    </w:tbl>
    <w:p>
      <w:pPr>
        <w:spacing w:line="240" w:lineRule="exact"/>
        <w:rPr>
          <w:rFonts w:hint="default" w:cs="宋体"/>
          <w:sz w:val="20"/>
          <w:szCs w:val="20"/>
        </w:rPr>
      </w:pPr>
      <w:r>
        <w:rPr>
          <w:rFonts w:cs="宋体"/>
          <w:sz w:val="20"/>
          <w:szCs w:val="20"/>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Helvetica">
    <w:altName w:val="汉仪君黑-35简"/>
    <w:panose1 w:val="020B0504020202030204"/>
    <w:charset w:val="00"/>
    <w:family w:val="swiss"/>
    <w:pitch w:val="default"/>
    <w:sig w:usb0="00000000" w:usb1="00000000" w:usb2="00000000" w:usb3="00000000" w:csb0="00000093"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- 16 -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PAGE   \* MERGEFORMAT</w:instrText>
                </w:r>
                <w:r>
                  <w:fldChar w:fldCharType="separate"/>
                </w:r>
                <w:r>
                  <w:rPr>
                    <w:rFonts w:hint="default"/>
                    <w:lang w:val="zh-CN"/>
                  </w:rPr>
                  <w:t>-</w:t>
                </w:r>
                <w:r>
                  <w:rPr>
                    <w:rFonts w:hint="default"/>
                  </w:rPr>
                  <w:t xml:space="preserve"> 29 -</w:t>
                </w:r>
                <w:r>
                  <w:rPr>
                    <w:rFonts w:hint="default"/>
                  </w:rPr>
                  <w:fldChar w:fldCharType="end"/>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HorizontalSpacing w:val="120"/>
  <w:drawingGridVerticalSpacing w:val="163"/>
  <w:displayHorizontalDrawingGridEvery w:val="2"/>
  <w:displayVerticalDrawingGridEvery w:val="2"/>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DAxZmMyYzkxZGM0MTljMWUyZjRmZmNjMTY1MDZkZjIifQ=="/>
  </w:docVars>
  <w:rsids>
    <w:rsidRoot w:val="00B03CCD"/>
    <w:rsid w:val="000524F8"/>
    <w:rsid w:val="00075AAA"/>
    <w:rsid w:val="000A59F1"/>
    <w:rsid w:val="000A748D"/>
    <w:rsid w:val="000C7E94"/>
    <w:rsid w:val="000D2C8F"/>
    <w:rsid w:val="000D7702"/>
    <w:rsid w:val="00100B3B"/>
    <w:rsid w:val="00115EF3"/>
    <w:rsid w:val="0013686F"/>
    <w:rsid w:val="0018364E"/>
    <w:rsid w:val="001C7026"/>
    <w:rsid w:val="001E2E34"/>
    <w:rsid w:val="00245002"/>
    <w:rsid w:val="002532CA"/>
    <w:rsid w:val="00262647"/>
    <w:rsid w:val="00283873"/>
    <w:rsid w:val="002925C9"/>
    <w:rsid w:val="002A478E"/>
    <w:rsid w:val="002A5CEA"/>
    <w:rsid w:val="002B43D6"/>
    <w:rsid w:val="002D3157"/>
    <w:rsid w:val="002D6DE6"/>
    <w:rsid w:val="002E5443"/>
    <w:rsid w:val="003334B7"/>
    <w:rsid w:val="0034243F"/>
    <w:rsid w:val="003620D3"/>
    <w:rsid w:val="003908BB"/>
    <w:rsid w:val="003A1156"/>
    <w:rsid w:val="003C07FC"/>
    <w:rsid w:val="003E762B"/>
    <w:rsid w:val="00410215"/>
    <w:rsid w:val="0045146B"/>
    <w:rsid w:val="004C12FF"/>
    <w:rsid w:val="004E1031"/>
    <w:rsid w:val="004E4C55"/>
    <w:rsid w:val="00502119"/>
    <w:rsid w:val="00550ABE"/>
    <w:rsid w:val="00553426"/>
    <w:rsid w:val="00567A82"/>
    <w:rsid w:val="005722BD"/>
    <w:rsid w:val="00572840"/>
    <w:rsid w:val="00596016"/>
    <w:rsid w:val="005B023C"/>
    <w:rsid w:val="005B7CB2"/>
    <w:rsid w:val="005E40F3"/>
    <w:rsid w:val="006137D7"/>
    <w:rsid w:val="00617F70"/>
    <w:rsid w:val="00634FA8"/>
    <w:rsid w:val="0063613A"/>
    <w:rsid w:val="006646EC"/>
    <w:rsid w:val="00672D6D"/>
    <w:rsid w:val="006778F6"/>
    <w:rsid w:val="00677F86"/>
    <w:rsid w:val="00684244"/>
    <w:rsid w:val="0069147E"/>
    <w:rsid w:val="0069345F"/>
    <w:rsid w:val="006B25F4"/>
    <w:rsid w:val="006D15DB"/>
    <w:rsid w:val="006D5156"/>
    <w:rsid w:val="006E6BAF"/>
    <w:rsid w:val="006F3990"/>
    <w:rsid w:val="00733AB7"/>
    <w:rsid w:val="00741081"/>
    <w:rsid w:val="0076479F"/>
    <w:rsid w:val="00782472"/>
    <w:rsid w:val="007826DA"/>
    <w:rsid w:val="007853DA"/>
    <w:rsid w:val="00792285"/>
    <w:rsid w:val="007A0066"/>
    <w:rsid w:val="007A0D2E"/>
    <w:rsid w:val="007A3314"/>
    <w:rsid w:val="007B419D"/>
    <w:rsid w:val="007B4FC0"/>
    <w:rsid w:val="007D13B8"/>
    <w:rsid w:val="0080556A"/>
    <w:rsid w:val="00810F13"/>
    <w:rsid w:val="00811DEA"/>
    <w:rsid w:val="0082089F"/>
    <w:rsid w:val="00847CFF"/>
    <w:rsid w:val="00864269"/>
    <w:rsid w:val="008667B9"/>
    <w:rsid w:val="00871857"/>
    <w:rsid w:val="00883DD9"/>
    <w:rsid w:val="008B35CC"/>
    <w:rsid w:val="008F1D41"/>
    <w:rsid w:val="009062CB"/>
    <w:rsid w:val="009256C7"/>
    <w:rsid w:val="009276DB"/>
    <w:rsid w:val="0093156F"/>
    <w:rsid w:val="00944711"/>
    <w:rsid w:val="00973039"/>
    <w:rsid w:val="00973C64"/>
    <w:rsid w:val="00984852"/>
    <w:rsid w:val="009A6701"/>
    <w:rsid w:val="009B67B8"/>
    <w:rsid w:val="009C0F35"/>
    <w:rsid w:val="009C220E"/>
    <w:rsid w:val="00A015CD"/>
    <w:rsid w:val="00A03B1E"/>
    <w:rsid w:val="00A11F85"/>
    <w:rsid w:val="00A15592"/>
    <w:rsid w:val="00A652C8"/>
    <w:rsid w:val="00A67739"/>
    <w:rsid w:val="00A700C9"/>
    <w:rsid w:val="00A726A7"/>
    <w:rsid w:val="00A820B7"/>
    <w:rsid w:val="00AA1A45"/>
    <w:rsid w:val="00AA273E"/>
    <w:rsid w:val="00AA5185"/>
    <w:rsid w:val="00AA5525"/>
    <w:rsid w:val="00AC5566"/>
    <w:rsid w:val="00AD4012"/>
    <w:rsid w:val="00AD6A75"/>
    <w:rsid w:val="00AF289C"/>
    <w:rsid w:val="00AF5B1E"/>
    <w:rsid w:val="00B03CCD"/>
    <w:rsid w:val="00B24AD5"/>
    <w:rsid w:val="00B5183C"/>
    <w:rsid w:val="00B567C6"/>
    <w:rsid w:val="00B612DB"/>
    <w:rsid w:val="00B85274"/>
    <w:rsid w:val="00B86570"/>
    <w:rsid w:val="00B944CD"/>
    <w:rsid w:val="00BA07F2"/>
    <w:rsid w:val="00BC29F2"/>
    <w:rsid w:val="00BF5A85"/>
    <w:rsid w:val="00C451E2"/>
    <w:rsid w:val="00C642BB"/>
    <w:rsid w:val="00C6526A"/>
    <w:rsid w:val="00C73632"/>
    <w:rsid w:val="00C904BF"/>
    <w:rsid w:val="00C91055"/>
    <w:rsid w:val="00C96B11"/>
    <w:rsid w:val="00CB2D52"/>
    <w:rsid w:val="00CB601B"/>
    <w:rsid w:val="00CB6CC7"/>
    <w:rsid w:val="00CC6B99"/>
    <w:rsid w:val="00D1142C"/>
    <w:rsid w:val="00D1158F"/>
    <w:rsid w:val="00DE6218"/>
    <w:rsid w:val="00DF7706"/>
    <w:rsid w:val="00E00F15"/>
    <w:rsid w:val="00E17ACC"/>
    <w:rsid w:val="00E31748"/>
    <w:rsid w:val="00E654E2"/>
    <w:rsid w:val="00E76362"/>
    <w:rsid w:val="00E82750"/>
    <w:rsid w:val="00EA7D9C"/>
    <w:rsid w:val="00EC74A6"/>
    <w:rsid w:val="00F1267D"/>
    <w:rsid w:val="00F137D3"/>
    <w:rsid w:val="00F13C36"/>
    <w:rsid w:val="00F17912"/>
    <w:rsid w:val="00F25D4B"/>
    <w:rsid w:val="00F279DB"/>
    <w:rsid w:val="00F32C53"/>
    <w:rsid w:val="00F34A6E"/>
    <w:rsid w:val="00F5287B"/>
    <w:rsid w:val="00F556C1"/>
    <w:rsid w:val="00F6477D"/>
    <w:rsid w:val="00F73F90"/>
    <w:rsid w:val="00F7623D"/>
    <w:rsid w:val="00F84C0C"/>
    <w:rsid w:val="00F92F55"/>
    <w:rsid w:val="00F95093"/>
    <w:rsid w:val="00FE71AA"/>
    <w:rsid w:val="00FF44F9"/>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45975"/>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135857"/>
    <w:rsid w:val="4B7951CB"/>
    <w:rsid w:val="4B7C315C"/>
    <w:rsid w:val="4DAC4ACA"/>
    <w:rsid w:val="4DBE01D2"/>
    <w:rsid w:val="4EFC6D10"/>
    <w:rsid w:val="4F0C6BA3"/>
    <w:rsid w:val="4F10477D"/>
    <w:rsid w:val="4F186D58"/>
    <w:rsid w:val="4FEA65B7"/>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C25DC5"/>
    <w:rsid w:val="63C62057"/>
    <w:rsid w:val="64571EF5"/>
    <w:rsid w:val="64FB113D"/>
    <w:rsid w:val="656152C6"/>
    <w:rsid w:val="6587477F"/>
    <w:rsid w:val="658C3A08"/>
    <w:rsid w:val="65C031CA"/>
    <w:rsid w:val="65CE6852"/>
    <w:rsid w:val="66267C04"/>
    <w:rsid w:val="663F505A"/>
    <w:rsid w:val="66967186"/>
    <w:rsid w:val="66EE5541"/>
    <w:rsid w:val="67177862"/>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22"/>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styleId="16">
    <w:name w:val="List Paragraph"/>
    <w:basedOn w:val="1"/>
    <w:qFormat/>
    <w:uiPriority w:val="34"/>
    <w:pPr>
      <w:widowControl w:val="0"/>
      <w:ind w:firstLine="420" w:firstLineChars="200"/>
      <w:jc w:val="both"/>
    </w:pPr>
    <w:rPr>
      <w:rFonts w:hint="default" w:ascii="Times New Roman" w:hAnsi="Times New Roman"/>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5127</Words>
  <Characters>5981</Characters>
  <Lines>142</Lines>
  <Paragraphs>40</Paragraphs>
  <TotalTime>5</TotalTime>
  <ScaleCrop>false</ScaleCrop>
  <LinksUpToDate>false</LinksUpToDate>
  <CharactersWithSpaces>5992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2024-10-23T09:53:00Z</dcterms:created>
  <dc:creator>Administrator</dc:creator>
  <cp:lastModifiedBy>user</cp:lastModifiedBy>
  <dcterms:modified xsi:type="dcterms:W3CDTF">2024-10-25T11:51:51Z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BB46EABDBB2749749395447164B066B3_12</vt:lpwstr>
  </property>
</Properties>
</file>