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方正仿宋_GBK" w:eastAsia="方正仿宋_GBK"/>
          <w:sz w:val="33"/>
          <w:szCs w:val="33"/>
        </w:rPr>
      </w:pPr>
    </w:p>
    <w:p>
      <w:pPr>
        <w:adjustRightInd/>
        <w:spacing w:line="1500" w:lineRule="exact"/>
        <w:ind w:left="0" w:leftChars="0" w:right="0" w:rightChars="0" w:firstLine="0" w:firstLineChars="0"/>
        <w:jc w:val="center"/>
        <w:rPr>
          <w:rFonts w:ascii="方正小标宋_GBK" w:eastAsia="方正小标宋_GBK"/>
          <w:b/>
          <w:bCs/>
          <w:color w:val="FF0000"/>
          <w:w w:val="58"/>
          <w:sz w:val="114"/>
          <w:szCs w:val="114"/>
        </w:rPr>
      </w:pPr>
      <w:r>
        <w:rPr>
          <w:rFonts w:hint="eastAsia" w:ascii="方正小标宋_GBK" w:eastAsia="方正小标宋_GBK"/>
          <w:b/>
          <w:bCs/>
          <w:color w:val="FF0000"/>
          <w:w w:val="58"/>
          <w:sz w:val="114"/>
          <w:szCs w:val="114"/>
        </w:rPr>
        <w:t>重庆市涪陵区农业农村委员会</w:t>
      </w:r>
    </w:p>
    <w:p>
      <w:pPr>
        <w:spacing w:line="560" w:lineRule="exact"/>
        <w:ind w:right="-237" w:rightChars="-74"/>
        <w:jc w:val="center"/>
        <w:rPr>
          <w:rFonts w:ascii="方正楷体_GBK" w:eastAsia="方正楷体_GBK"/>
          <w:b/>
          <w:bCs/>
          <w:sz w:val="32"/>
          <w:szCs w:val="32"/>
        </w:rPr>
      </w:pPr>
    </w:p>
    <w:p>
      <w:pPr>
        <w:adjustRightInd/>
        <w:spacing w:line="560" w:lineRule="exact"/>
        <w:ind w:left="0" w:leftChars="0" w:right="0" w:rightChars="0" w:firstLine="0" w:firstLineChars="0"/>
        <w:jc w:val="center"/>
        <w:rPr>
          <w:rFonts w:ascii="方正仿宋_GBK" w:eastAsia="方正仿宋_GBK"/>
          <w:color w:val="000000"/>
          <w:sz w:val="33"/>
          <w:szCs w:val="33"/>
        </w:rPr>
      </w:pPr>
      <w:r>
        <w:rPr>
          <w:rFonts w:hint="eastAsia" w:ascii="方正仿宋_GBK" w:eastAsia="方正仿宋_GBK"/>
          <w:bCs/>
          <w:sz w:val="32"/>
          <w:szCs w:val="32"/>
        </w:rPr>
        <w:t>涪农委发〔2022〕69号</w:t>
      </w:r>
    </w:p>
    <w:p>
      <w:pPr>
        <w:spacing w:line="600" w:lineRule="exact"/>
        <w:jc w:val="center"/>
        <w:rPr>
          <w:rFonts w:ascii="方正小标宋_GBK" w:hAnsi="方正小标宋_GBK" w:eastAsia="方正小标宋_GBK"/>
          <w:sz w:val="44"/>
          <w:szCs w:val="33"/>
        </w:rPr>
      </w:pPr>
      <w:r>
        <w:rPr>
          <w:rFonts w:eastAsia="方正仿宋_GBK"/>
          <w:sz w:val="33"/>
          <w:szCs w:val="33"/>
        </w:rPr>
        <w:pict>
          <v:line id="_x0000_s2050" o:spid="_x0000_s2050" o:spt="20" style="position:absolute;left:0pt;margin-left:1.5pt;margin-top:3.55pt;height:0pt;width:446.7pt;z-index:251660288;mso-width-relative:page;mso-height-relative:page;" stroked="t" coordsize="21600,21600" o:gfxdata="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n&#10;g3KS2AAAAAUBAAAPAAAAAAAAAAEAIAAAACIAAABkcnMvZG93bnJldi54bWxQSwECFAAUAAAACACH&#10;TuJAxFGDQesBAADdAwAADgAAAAAAAAABACAAAAAnAQAAZHJzL2Uyb0RvYy54bWxQSwUGAAAAAAYA&#10;BgBZAQAAhAUAAAAA&#10;">
            <v:path arrowok="t"/>
            <v:fill focussize="0,0"/>
            <v:stroke weight="3pt" color="#FF0000"/>
            <v:imagedata o:title=""/>
            <o:lock v:ext="edit"/>
          </v:line>
        </w:pict>
      </w:r>
    </w:p>
    <w:p>
      <w:pPr>
        <w:snapToGrid w:val="0"/>
        <w:jc w:val="center"/>
        <w:rPr>
          <w:rFonts w:eastAsia="方正小标宋_GBK"/>
          <w:sz w:val="44"/>
          <w:szCs w:val="44"/>
        </w:rPr>
      </w:pPr>
    </w:p>
    <w:p>
      <w:pPr>
        <w:adjustRightInd/>
        <w:spacing w:line="600" w:lineRule="exact"/>
        <w:ind w:left="0" w:leftChars="0" w:right="0" w:rightChars="0" w:firstLine="0" w:firstLineChars="0"/>
        <w:jc w:val="center"/>
        <w:rPr>
          <w:rFonts w:ascii="方正小标宋_GBK" w:hAnsi="宋体" w:eastAsia="方正小标宋_GBK"/>
          <w:sz w:val="44"/>
          <w:szCs w:val="44"/>
        </w:rPr>
      </w:pPr>
      <w:r>
        <w:rPr>
          <w:rFonts w:hint="eastAsia" w:ascii="方正小标宋_GBK" w:hAnsi="宋体" w:eastAsia="方正小标宋_GBK"/>
          <w:sz w:val="44"/>
          <w:szCs w:val="44"/>
        </w:rPr>
        <w:t>重庆市涪陵区农业农村委员会</w:t>
      </w:r>
    </w:p>
    <w:p>
      <w:pPr>
        <w:adjustRightInd/>
        <w:spacing w:line="600" w:lineRule="exact"/>
        <w:ind w:left="0" w:leftChars="0" w:right="0" w:rightChars="0" w:firstLine="0" w:firstLineChars="0"/>
        <w:jc w:val="center"/>
        <w:rPr>
          <w:rFonts w:hint="eastAsia" w:ascii="方正小标宋_GBK" w:hAnsi="宋体" w:eastAsia="方正小标宋_GBK"/>
          <w:spacing w:val="-20"/>
          <w:kern w:val="0"/>
          <w:sz w:val="44"/>
          <w:szCs w:val="44"/>
        </w:rPr>
      </w:pPr>
      <w:r>
        <w:rPr>
          <w:rFonts w:hint="eastAsia" w:ascii="方正小标宋_GBK" w:hAnsi="宋体" w:eastAsia="方正小标宋_GBK"/>
          <w:spacing w:val="-20"/>
          <w:kern w:val="0"/>
          <w:sz w:val="44"/>
          <w:szCs w:val="44"/>
        </w:rPr>
        <w:t>关于印发《2022年高素质农民培育工作方案》的</w:t>
      </w:r>
    </w:p>
    <w:p>
      <w:pPr>
        <w:adjustRightInd/>
        <w:spacing w:line="600" w:lineRule="exact"/>
        <w:ind w:left="0" w:leftChars="0" w:right="0" w:rightChars="0" w:firstLine="0" w:firstLineChars="0"/>
        <w:jc w:val="center"/>
        <w:rPr>
          <w:rFonts w:ascii="方正小标宋_GBK" w:hAnsi="宋体" w:eastAsia="方正小标宋_GBK"/>
          <w:spacing w:val="-20"/>
          <w:kern w:val="0"/>
          <w:sz w:val="44"/>
          <w:szCs w:val="44"/>
        </w:rPr>
      </w:pPr>
      <w:r>
        <w:rPr>
          <w:rFonts w:hint="eastAsia" w:ascii="方正小标宋_GBK" w:hAnsi="宋体" w:eastAsia="方正小标宋_GBK"/>
          <w:spacing w:val="-20"/>
          <w:kern w:val="0"/>
          <w:sz w:val="44"/>
          <w:szCs w:val="44"/>
        </w:rPr>
        <w:t>通    知</w:t>
      </w:r>
    </w:p>
    <w:p>
      <w:pPr>
        <w:spacing w:line="600" w:lineRule="exact"/>
        <w:rPr>
          <w:rFonts w:ascii="方正仿宋_GBK" w:hAnsi="方正仿宋_GBK" w:eastAsia="方正仿宋_GBK" w:cs="方正仿宋_GBK"/>
          <w:sz w:val="32"/>
          <w:szCs w:val="32"/>
        </w:rPr>
      </w:pPr>
    </w:p>
    <w:p>
      <w:pPr>
        <w:adjustRightInd/>
        <w:spacing w:line="600" w:lineRule="exact"/>
        <w:ind w:left="0" w:leftChars="0" w:right="0" w:rightChars="0" w:firstLine="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各乡镇街道、培训机构：</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根据《重庆市农业农村委员会办公室关于做好2022年高素质农民培育工作的通知》（〔2022〕44号）和《重庆市涪陵区农业农村重庆市涪陵区财政局关于下达2022年第二批农业项目资金计划及建设任务的通知》（</w:t>
      </w:r>
      <w:r>
        <w:rPr>
          <w:rFonts w:ascii="Times New Roman" w:hAnsi="Times New Roman" w:eastAsia="方正仿宋_GBK"/>
          <w:color w:val="000000" w:themeColor="text1"/>
          <w:sz w:val="32"/>
          <w:szCs w:val="32"/>
        </w:rPr>
        <w:t>涪农委发</w:t>
      </w:r>
      <w:r>
        <w:rPr>
          <w:rFonts w:hint="eastAsia" w:ascii="方正仿宋_GBK" w:hAnsi="Times New Roman" w:eastAsia="方正仿宋_GBK"/>
          <w:color w:val="000000" w:themeColor="text1"/>
          <w:sz w:val="32"/>
          <w:szCs w:val="32"/>
        </w:rPr>
        <w:t>〔2022〕71</w:t>
      </w:r>
      <w:r>
        <w:rPr>
          <w:rFonts w:ascii="Times New Roman" w:hAnsi="Times New Roman" w:eastAsia="方正仿宋_GBK"/>
          <w:color w:val="000000" w:themeColor="text1"/>
          <w:sz w:val="32"/>
          <w:szCs w:val="32"/>
        </w:rPr>
        <w:t>号</w:t>
      </w:r>
      <w:r>
        <w:rPr>
          <w:rFonts w:hint="eastAsia" w:ascii="Times New Roman" w:hAnsi="Times New Roman" w:eastAsia="方正仿宋_GBK"/>
          <w:color w:val="000000" w:themeColor="text1"/>
          <w:sz w:val="32"/>
          <w:szCs w:val="32"/>
        </w:rPr>
        <w:t>）</w:t>
      </w:r>
      <w:r>
        <w:rPr>
          <w:rFonts w:hint="eastAsia" w:ascii="方正仿宋_GBK" w:hAnsi="方正仿宋_GBK" w:eastAsia="方正仿宋_GBK" w:cs="方正仿宋_GBK"/>
          <w:sz w:val="32"/>
          <w:szCs w:val="32"/>
        </w:rPr>
        <w:t>要求，按照全市农业科技教育工作视频会议部署，经区农工委会议通过，现印发《涪陵区2022年高素质农民培育工作方案》，请各乡镇街道与培训机构紧密配合，全面完成目标任务。</w:t>
      </w:r>
    </w:p>
    <w:p>
      <w:pPr>
        <w:pStyle w:val="12"/>
      </w:pPr>
    </w:p>
    <w:p>
      <w:pPr>
        <w:adjustRightInd/>
        <w:spacing w:line="600" w:lineRule="exact"/>
        <w:ind w:left="0" w:leftChars="0" w:right="0" w:rightChars="0" w:firstLine="640" w:firstLineChars="0"/>
        <w:jc w:val="both"/>
        <w:rPr>
          <w:rFonts w:hint="eastAsia" w:ascii="方正仿宋_GBK" w:hAnsi="方正仿宋_GBK" w:eastAsia="方正仿宋_GBK" w:cs="方正仿宋_GBK"/>
          <w:sz w:val="32"/>
          <w:szCs w:val="32"/>
          <w:lang w:eastAsia="zh-CN"/>
        </w:rPr>
      </w:pPr>
      <w:r>
        <w:rPr>
          <w:rFonts w:hint="eastAsia" w:ascii="方正仿宋_GBK" w:hAnsi="方正仿宋_GBK" w:cs="方正仿宋_GBK"/>
          <w:sz w:val="32"/>
          <w:szCs w:val="32"/>
          <w:lang w:eastAsia="zh-CN"/>
        </w:rPr>
        <w:t>（</w:t>
      </w:r>
      <w:r>
        <w:rPr>
          <w:rFonts w:hint="eastAsia" w:ascii="方正仿宋_GBK" w:hAnsi="方正仿宋_GBK" w:cs="方正仿宋_GBK"/>
          <w:sz w:val="32"/>
          <w:szCs w:val="32"/>
          <w:lang w:val="en-US" w:eastAsia="zh-CN"/>
        </w:rPr>
        <w:t>此页无正文</w:t>
      </w:r>
      <w:r>
        <w:rPr>
          <w:rFonts w:hint="eastAsia" w:ascii="方正仿宋_GBK" w:hAnsi="方正仿宋_GBK" w:cs="方正仿宋_GBK"/>
          <w:sz w:val="32"/>
          <w:szCs w:val="32"/>
          <w:lang w:eastAsia="zh-CN"/>
        </w:rPr>
        <w:t>）</w:t>
      </w:r>
    </w:p>
    <w:p>
      <w:pPr>
        <w:spacing w:line="600" w:lineRule="exact"/>
        <w:ind w:firstLine="640" w:firstLineChars="200"/>
        <w:jc w:val="center"/>
        <w:rPr>
          <w:rFonts w:hint="eastAsia" w:ascii="方正仿宋_GBK" w:hAnsi="方正仿宋_GBK" w:eastAsia="方正仿宋_GBK" w:cs="方正仿宋_GBK"/>
          <w:sz w:val="32"/>
          <w:szCs w:val="32"/>
        </w:rPr>
      </w:pPr>
    </w:p>
    <w:p>
      <w:pPr>
        <w:spacing w:line="600" w:lineRule="exact"/>
        <w:ind w:firstLine="640" w:firstLineChars="200"/>
        <w:jc w:val="center"/>
        <w:rPr>
          <w:rFonts w:hint="eastAsia" w:ascii="方正仿宋_GBK" w:hAnsi="方正仿宋_GBK" w:eastAsia="方正仿宋_GBK" w:cs="方正仿宋_GBK"/>
          <w:sz w:val="32"/>
          <w:szCs w:val="32"/>
        </w:rPr>
      </w:pPr>
    </w:p>
    <w:p>
      <w:pPr>
        <w:spacing w:line="600" w:lineRule="exact"/>
        <w:ind w:firstLine="640" w:firstLineChars="200"/>
        <w:jc w:val="center"/>
        <w:rPr>
          <w:rFonts w:hint="eastAsia" w:ascii="方正仿宋_GBK" w:hAnsi="方正仿宋_GBK" w:eastAsia="方正仿宋_GBK" w:cs="方正仿宋_GBK"/>
          <w:sz w:val="32"/>
          <w:szCs w:val="32"/>
        </w:rPr>
      </w:pPr>
    </w:p>
    <w:p>
      <w:pPr>
        <w:adjustRightInd/>
        <w:spacing w:line="600" w:lineRule="exact"/>
        <w:ind w:left="3520" w:leftChars="0" w:right="0" w:rightChars="0" w:firstLine="0" w:firstLineChars="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重庆市涪陵区农业农村委员会</w:t>
      </w:r>
    </w:p>
    <w:p>
      <w:pPr>
        <w:adjustRightInd/>
        <w:spacing w:line="600" w:lineRule="exact"/>
        <w:ind w:left="3520" w:leftChars="0" w:right="0" w:rightChars="0" w:firstLine="0" w:firstLineChars="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2022年9月21日</w:t>
      </w:r>
    </w:p>
    <w:p>
      <w:pPr>
        <w:adjustRightInd/>
        <w:spacing w:line="600" w:lineRule="exact"/>
        <w:ind w:left="0" w:leftChars="0" w:right="0" w:rightChars="0" w:firstLine="640" w:firstLineChars="0"/>
        <w:jc w:val="both"/>
        <w:rPr>
          <w:rFonts w:hint="eastAsia" w:ascii="方正仿宋_GBK" w:hAnsi="方正仿宋_GBK" w:eastAsia="方正仿宋_GBK" w:cs="方正仿宋_GBK"/>
          <w:sz w:val="32"/>
          <w:szCs w:val="32"/>
          <w:lang w:eastAsia="zh-CN"/>
        </w:rPr>
      </w:pPr>
      <w:r>
        <w:rPr>
          <w:rFonts w:hint="eastAsia" w:ascii="方正仿宋_GBK" w:hAnsi="方正仿宋_GBK" w:cs="方正仿宋_GBK"/>
          <w:sz w:val="32"/>
          <w:szCs w:val="32"/>
          <w:lang w:eastAsia="zh-CN"/>
        </w:rPr>
        <w:t>（</w:t>
      </w:r>
      <w:r>
        <w:rPr>
          <w:rFonts w:hint="eastAsia" w:ascii="方正仿宋_GBK" w:hAnsi="方正仿宋_GBK" w:cs="方正仿宋_GBK"/>
          <w:sz w:val="32"/>
          <w:szCs w:val="32"/>
          <w:lang w:val="en-US" w:eastAsia="zh-CN"/>
        </w:rPr>
        <w:t>此件公开发布</w:t>
      </w:r>
      <w:r>
        <w:rPr>
          <w:rFonts w:hint="eastAsia" w:ascii="方正仿宋_GBK" w:hAnsi="方正仿宋_GBK" w:cs="方正仿宋_GBK"/>
          <w:sz w:val="32"/>
          <w:szCs w:val="32"/>
          <w:lang w:eastAsia="zh-CN"/>
        </w:rPr>
        <w:t>）</w:t>
      </w:r>
    </w:p>
    <w:p>
      <w:pPr>
        <w:spacing w:line="600" w:lineRule="exact"/>
        <w:ind w:firstLine="880" w:firstLineChars="200"/>
        <w:jc w:val="center"/>
        <w:rPr>
          <w:rFonts w:ascii="方正小标宋_GBK" w:hAnsi="方正小标宋_GBK" w:eastAsia="方正小标宋_GBK" w:cs="方正小标宋_GBK"/>
          <w:sz w:val="44"/>
          <w:szCs w:val="44"/>
        </w:rPr>
        <w:sectPr>
          <w:footerReference r:id="rId5" w:type="default"/>
          <w:pgSz w:w="11906" w:h="16838"/>
          <w:pgMar w:top="1984" w:right="1446" w:bottom="1644" w:left="1446" w:header="851" w:footer="1106" w:gutter="0"/>
          <w:cols w:space="425" w:num="1"/>
          <w:docGrid w:linePitch="600" w:charSpace="0"/>
        </w:sectPr>
      </w:pPr>
    </w:p>
    <w:p>
      <w:pPr>
        <w:spacing w:line="600" w:lineRule="exact"/>
        <w:ind w:firstLine="880" w:firstLineChars="200"/>
        <w:jc w:val="center"/>
        <w:rPr>
          <w:rFonts w:ascii="方正小标宋_GBK" w:hAnsi="方正小标宋_GBK" w:eastAsia="方正小标宋_GBK" w:cs="方正小标宋_GBK"/>
          <w:sz w:val="44"/>
          <w:szCs w:val="44"/>
        </w:rPr>
      </w:pPr>
    </w:p>
    <w:p>
      <w:pPr>
        <w:adjustRightInd/>
        <w:spacing w:line="600" w:lineRule="exact"/>
        <w:ind w:left="0" w:leftChars="0" w:right="0" w:rightChars="0"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涪陵区2022年高素质农民培育工作方案</w:t>
      </w:r>
    </w:p>
    <w:p>
      <w:pPr>
        <w:spacing w:line="600" w:lineRule="exact"/>
        <w:ind w:firstLine="640" w:firstLineChars="200"/>
        <w:rPr>
          <w:rFonts w:ascii="方正黑体_GBK" w:hAnsi="方正黑体_GBK" w:eastAsia="方正黑体_GBK" w:cs="方正黑体_GBK"/>
          <w:sz w:val="32"/>
          <w:szCs w:val="32"/>
        </w:rPr>
      </w:pP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立足新发展阶段，完整、准确、全面贯彻新发展理念，积极融入和服务新发展格局，推动高质量发展，按照“保供固安全、振兴畅循环”的工作定位，紧密围绕农业稳产增产、农民稳步增收、农村稳定安宁，持续抓好保供、衔接、禁渔、建设、要害、改革重点任务，坚持“需求导向、产业主线、分层实施、全程培育”，聚焦全产业链技能水平提高，以培育质量效果提升为关键，以选育用一体化培育为路径，培训与教育并举，引进培育与就地培养并重，加快培养农业农村现代化亟需的高素质农民，为全面推进乡村振兴、加快农业农村现代化提供坚实人才保障。</w:t>
      </w:r>
    </w:p>
    <w:p>
      <w:pPr>
        <w:numPr>
          <w:ilvl w:val="0"/>
          <w:numId w:val="2"/>
        </w:numPr>
        <w:tabs>
          <w:tab w:val="left" w:pos="583"/>
        </w:tabs>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目标任务</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紧密围绕稳粮保供、巩固拓展脱贫攻坚成果同乡村振兴有效衔接，扎实推进乡村产业发展、乡村建设和乡村治理，重点培育家庭农场主、农民合作社带头人和种养大户，统筹推进新型农业经营和服务主体能力提升、种养加能手技能培训、农村创新创业者培养。</w:t>
      </w:r>
    </w:p>
    <w:p>
      <w:pPr>
        <w:bidi w:val="0"/>
      </w:pPr>
      <w:r>
        <w:rPr>
          <w:rFonts w:hint="eastAsia"/>
        </w:rPr>
        <w:t>2022年项目资金共224万元，开展高素质农民教育培训共820人。其中，培育农村致富带头人和经营管理型人才410人、培育专业生产型人才200人、技能服务型人才200人、选送高职扩招学历提升10人。经农工委会议通过，培训机构及任务分配见附表1。</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（一）全面保障稳粮扩油和“菜篮子”产品稳定供给。</w:t>
      </w:r>
      <w:r>
        <w:rPr>
          <w:rFonts w:hint="eastAsia" w:ascii="方正仿宋_GBK" w:hAnsi="方正仿宋_GBK" w:eastAsia="方正仿宋_GBK" w:cs="方正仿宋_GBK"/>
          <w:sz w:val="32"/>
          <w:szCs w:val="32"/>
        </w:rPr>
        <w:t>围绕水稻、玉米等主要粮食作物和大豆油料生产，开展增产提质、防灾减损和重大病虫害防治等全生产周期技术技能培训，因地制宜开展蔬菜、水果等经济作物生产管理培训，提升种植水平和产业发展能力。开展动物防疫员培训，提高全区动物疫病防控能力。</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（二）聚焦关键环节推进高质量发展。</w:t>
      </w:r>
      <w:r>
        <w:rPr>
          <w:rFonts w:hint="eastAsia" w:ascii="方正仿宋_GBK" w:hAnsi="方正仿宋_GBK" w:eastAsia="方正仿宋_GBK" w:cs="方正仿宋_GBK"/>
          <w:sz w:val="32"/>
          <w:szCs w:val="32"/>
        </w:rPr>
        <w:t>加强良种识别、选购和消费者权益保护等方面的培训，指导农民科学用种。加大农民耕地保护知识培训，提升高标准农田建设管护能力。加大农机驾驶、装备使用维修和机收减损技能培训，提升农机专业服务能力。大力开展金融担保、农业保险知识培训，提高高素质农民的农业金融意识。普及绿色种养、科学施肥用药、农产品质量安全、农业减排固碳、生物育种与生物安全等专业知识，加强农业绿色发展和两个“三品一标”知识技能培训，提升农业全产业链质量效益。开展电商、直播等技能培训，培育农村电商带头人、农民主播。在蔬菜、水果培训班开设农产品产地仓储保鲜实用技术和冷链物流运营管理等相关课程。加快培养农村二三产业发展人才，为农业科技现代化先行区、国家现代农业产业园培养产业发展带头人。</w:t>
      </w:r>
    </w:p>
    <w:p>
      <w:pPr>
        <w:numPr>
          <w:ilvl w:val="0"/>
          <w:numId w:val="3"/>
        </w:numP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服务乡村建设和乡村治理。</w:t>
      </w:r>
      <w:r>
        <w:rPr>
          <w:rFonts w:hint="eastAsia" w:ascii="方正仿宋_GBK" w:hAnsi="方正楷体_GBK" w:eastAsia="方正仿宋_GBK" w:cs="方正楷体_GBK"/>
          <w:sz w:val="32"/>
          <w:szCs w:val="32"/>
        </w:rPr>
        <w:t>培训班</w:t>
      </w:r>
      <w:r>
        <w:rPr>
          <w:rFonts w:hint="eastAsia" w:ascii="方正仿宋_GBK" w:hAnsi="方正仿宋_GBK" w:eastAsia="方正仿宋_GBK" w:cs="方正仿宋_GBK"/>
          <w:sz w:val="32"/>
          <w:szCs w:val="32"/>
        </w:rPr>
        <w:t>大力普及三农政策，推动乡村振兴进课堂，开展思想政治、法律法规、村庄建设管理、农业文化遗产保护与发展等培训，培养一批乡村建设、乡村规划和乡村治理人才。开展信息电商、环境卫生、文旅体育、农村改厕等培训，培养一批农村社会事业发展人才。倡导学法用法，培养一批乡村法律明白人。</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（四）支持农民提升受教育水平。</w:t>
      </w:r>
      <w:r>
        <w:rPr>
          <w:rFonts w:hint="eastAsia" w:ascii="方正仿宋_GBK" w:hAnsi="方正仿宋_GBK" w:eastAsia="方正仿宋_GBK" w:cs="方正仿宋_GBK"/>
          <w:sz w:val="32"/>
          <w:szCs w:val="32"/>
        </w:rPr>
        <w:t>遴选10名优秀学员参加乡村振兴带头人学历提升行动计划，支持更多高素质农民用好高职扩招、“一村一名大学生”等政策，不断提升学历层次。积极争取学费减免等补助政策，支持涉农院校探索订单定向人才培养模式。引进科技特派团、科技小院参与高素质农民培育。</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（五）提升农民科学文化素质。</w:t>
      </w:r>
      <w:r>
        <w:rPr>
          <w:rFonts w:hint="eastAsia" w:ascii="方正仿宋_GBK" w:hAnsi="方正仿宋_GBK" w:eastAsia="方正仿宋_GBK" w:cs="方正仿宋_GBK"/>
          <w:sz w:val="32"/>
          <w:szCs w:val="32"/>
        </w:rPr>
        <w:t>传承优秀传统乡土文化，引导农民移风易俗、抵制陈规陋习和封建迷信，提升农民精神面貌，弘扬勤劳节俭、孝老爱亲等中华传统美德，培育文明乡风、良好家风、淳朴民风。大力推广普通话，推进农民科学素质提升行动，鼓励高素质农民参与科普活动。引导和鼓励在乡、返乡青年参加高素质农民培育，成为新农人。</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三、项目资金及主要用途</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按照《财政部关于下达2022年农业生产发展资金预算的通知》（财农〔2022〕38号）有关规定执行。高素质农民培育资金，主要用于为提高农民技能水平和综合素质所开展的课堂教学、实习实训、线上学习、现场观摩、交流实践、技能比赛、先进评选、绩效评价、信息宣传、统计监测、学历提升、后续扶持等。</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仿宋_GBK" w:eastAsia="方正楷体_GBK" w:cs="方正仿宋_GBK"/>
          <w:b/>
          <w:sz w:val="32"/>
          <w:szCs w:val="32"/>
        </w:rPr>
        <w:t>（一）</w:t>
      </w:r>
      <w:r>
        <w:rPr>
          <w:rFonts w:hint="eastAsia" w:ascii="方正仿宋_GBK" w:hAnsi="方正仿宋_GBK" w:eastAsia="方正仿宋_GBK" w:cs="方正仿宋_GBK"/>
          <w:sz w:val="32"/>
          <w:szCs w:val="32"/>
        </w:rPr>
        <w:t>农村致富带头人和经营管理型培训，累计培训时间不少于120学时，人均3000元标准执行。</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仿宋_GBK" w:eastAsia="方正楷体_GBK" w:cs="方正仿宋_GBK"/>
          <w:b/>
          <w:sz w:val="32"/>
          <w:szCs w:val="32"/>
        </w:rPr>
        <w:t>（二）</w:t>
      </w:r>
      <w:r>
        <w:rPr>
          <w:rFonts w:hint="eastAsia" w:ascii="方正仿宋_GBK" w:hAnsi="方正仿宋_GBK" w:eastAsia="方正仿宋_GBK" w:cs="方正仿宋_GBK"/>
          <w:sz w:val="32"/>
          <w:szCs w:val="32"/>
        </w:rPr>
        <w:t>专业生产型、技能服务型的培训，累计培训时间不少于56学时，人均1500元标准执行。</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仿宋_GBK" w:eastAsia="方正楷体_GBK" w:cs="方正仿宋_GBK"/>
          <w:b/>
          <w:sz w:val="32"/>
          <w:szCs w:val="32"/>
        </w:rPr>
        <w:t>（三）</w:t>
      </w:r>
      <w:r>
        <w:rPr>
          <w:rFonts w:hint="eastAsia" w:ascii="方正仿宋_GBK" w:hAnsi="方正仿宋_GBK" w:eastAsia="方正仿宋_GBK" w:cs="方正仿宋_GBK"/>
          <w:sz w:val="32"/>
          <w:szCs w:val="32"/>
        </w:rPr>
        <w:t>农村致富带头人和经营管理型的后续扶持资金按人均1000元标准执行。主要用于五个方面：一是举办农民致富带富技能大赛；二是评选最佳高素质农民；三是后续指导培训、管理、服务支出，包括遴选优秀学员提升培训、技术指导和经营管理服务等；四是激励高素质农民参加学历提升行动；五是对本地从事农业生产具有明显示范带动作用的高素质农民给予重点支持。</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四、工作要求</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各乡镇街道要加强组织领导，把高素质农民培育作为乡村人才振兴的重要抓手，配合培训机构选好学员、组织好学员参训。培训机构要按照培训要求，确保培育工作取得实效。</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（一）精心组织安排。</w:t>
      </w:r>
      <w:r>
        <w:rPr>
          <w:rFonts w:hint="eastAsia" w:ascii="方正仿宋_GBK" w:hAnsi="方正楷体_GBK" w:eastAsia="方正仿宋_GBK" w:cs="方正楷体_GBK"/>
          <w:sz w:val="32"/>
          <w:szCs w:val="32"/>
        </w:rPr>
        <w:t>培训机构要</w:t>
      </w:r>
      <w:r>
        <w:rPr>
          <w:rFonts w:hint="eastAsia" w:ascii="方正仿宋_GBK" w:hAnsi="方正仿宋_GBK" w:eastAsia="方正仿宋_GBK" w:cs="方正仿宋_GBK"/>
          <w:sz w:val="32"/>
          <w:szCs w:val="32"/>
        </w:rPr>
        <w:t>深入开展调查研究，认真制定教学方案，注重开展实习实训，严格遵守高素质农民培育规定的学时要求。要用好国家现代农业产业园区、现代农业科技示范展示基地等，强化技术技能实训实践。加强与区县共青团、妇联、科协等组织的工作联动。</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（二）分类分段培育。</w:t>
      </w:r>
      <w:r>
        <w:rPr>
          <w:rFonts w:hint="eastAsia" w:ascii="方正仿宋_GBK" w:hAnsi="方正仿宋_GBK" w:eastAsia="方正仿宋_GBK" w:cs="方正仿宋_GBK"/>
          <w:sz w:val="32"/>
          <w:szCs w:val="32"/>
        </w:rPr>
        <w:t>培训机构要根据农业生产季节合理设置培训时长，按农时分段开展培训。牢固树立“选育用”一体化培育理念，推动高素质农民遴选、培育、使用各环节与三农政策有机衔接。将农民教育培训与基层党建有机结合，广泛宣讲习近平新时代中国特色社会主义思想，了解党章党规和党的基本知识，弘扬社会主义核心价值观，教育引导农民听党话、感党恩、跟党走。</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（三）完善培育体系建设。</w:t>
      </w:r>
      <w:r>
        <w:rPr>
          <w:rFonts w:hint="eastAsia" w:ascii="方正楷体_GBK" w:hAnsi="方正楷体_GBK" w:eastAsia="方正楷体_GBK" w:cs="方正楷体_GBK"/>
          <w:sz w:val="32"/>
          <w:szCs w:val="32"/>
        </w:rPr>
        <w:t>继续</w:t>
      </w:r>
      <w:r>
        <w:rPr>
          <w:rFonts w:hint="eastAsia" w:ascii="方正仿宋_GBK" w:hAnsi="方正仿宋_GBK" w:eastAsia="方正仿宋_GBK" w:cs="方正仿宋_GBK"/>
          <w:sz w:val="32"/>
          <w:szCs w:val="32"/>
        </w:rPr>
        <w:t>以农业广播电视学校作为高素质农民培育主力军作用，统筹用好电大、区内职业院校等优质公益性培育机构长期稳定承担培育任务。引导农业科研单位和农技推广机构为高素质农民提供技术培训和跟踪指导，鼓励农业企业、家庭农场、农民合作社等承担农民实习实训任务。有序引导社会培训机构参与高素质农民培育工作，强化过程监督和质量考核。加强师资队伍建设，选聘兼职讲师，培养农民讲师，建好用好共享师资库。支持科技特派团成员在对口联系县参与高素质农民培育工作。针对农民学习特点加强课程和教材建设，开发本地精品在线课程和多媒体教材。</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（四）强化项目全程监管。</w:t>
      </w:r>
      <w:r>
        <w:rPr>
          <w:rFonts w:hint="eastAsia" w:ascii="方正仿宋_GBK" w:hAnsi="方正仿宋_GBK" w:eastAsia="方正仿宋_GBK" w:cs="方正仿宋_GBK"/>
          <w:sz w:val="32"/>
          <w:szCs w:val="32"/>
        </w:rPr>
        <w:t>依据农业生产发展资金项目管理要求组织实施高素质农民培育计划，认真落实《高素质农民培育规范》，接受市农业农村委对高素质农民培育绩效管理和考核。培训机构要认真填报农民教育培训信息管理系统，实现参训农民基本信息100%入库。通过全国农业科教云平台开展机构、师资和效果等综合管理在线评价，逐步开展高素质农民发展情况监测。强化线上学习过程管理和学习效果考核。加强项目资金监管，加快执行进度，将资金分配和绩效分解等信息及时规范录入农业农村部转移支付管理平台，做好迎接农业农村部农民科技教育培训中心对培育机构质量效果抽查准备工作。</w:t>
      </w:r>
    </w:p>
    <w:p>
      <w:pP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（五）做好典型宣传。</w:t>
      </w:r>
      <w:r>
        <w:rPr>
          <w:rFonts w:hint="eastAsia" w:ascii="方正仿宋_GBK" w:hAnsi="方正仿宋_GBK" w:eastAsia="方正仿宋_GBK" w:cs="方正仿宋_GBK"/>
          <w:sz w:val="32"/>
          <w:szCs w:val="32"/>
        </w:rPr>
        <w:t>各培训机构要选树典型，充分利用广播、电视、报刊等传统媒体以及微信、抖音等新媒体，加大对高素质农民培育先进人物、先进事迹的宣传报道。请各培训机构按任务分配于11月30日前完成。</w:t>
      </w:r>
    </w:p>
    <w:p>
      <w:pPr>
        <w:spacing w:line="600" w:lineRule="exact"/>
        <w:ind w:firstLine="640" w:firstLineChars="200"/>
        <w:rPr>
          <w:rFonts w:ascii="方正仿宋_GBK" w:hAnsi="方正仿宋_GBK" w:eastAsia="方正仿宋_GBK" w:cs="方正仿宋_GBK"/>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附件：2022年高素质农民培育任务和资金分配表</w:t>
      </w:r>
    </w:p>
    <w:p>
      <w:pPr>
        <w:spacing w:line="600" w:lineRule="exact"/>
        <w:ind w:firstLine="640" w:firstLineChars="200"/>
        <w:rPr>
          <w:rFonts w:ascii="方正仿宋_GBK" w:hAnsi="方正仿宋_GBK" w:eastAsia="方正仿宋_GBK" w:cs="方正仿宋_GBK"/>
          <w:sz w:val="32"/>
          <w:szCs w:val="32"/>
        </w:rPr>
      </w:pPr>
    </w:p>
    <w:p>
      <w:pPr>
        <w:spacing w:line="600" w:lineRule="exact"/>
        <w:ind w:firstLine="640" w:firstLineChars="200"/>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ind w:firstLine="640" w:firstLineChars="20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重庆市涪陵区农业农村委员会</w:t>
      </w:r>
    </w:p>
    <w:p>
      <w:pPr>
        <w:spacing w:line="600" w:lineRule="exact"/>
        <w:ind w:firstLine="640" w:firstLineChars="20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2022年9月21日</w:t>
      </w:r>
    </w:p>
    <w:p>
      <w:pPr>
        <w:spacing w:line="600" w:lineRule="exact"/>
        <w:rPr>
          <w:rFonts w:ascii="方正仿宋_GBK" w:hAnsi="方正仿宋_GBK" w:eastAsia="方正仿宋_GBK" w:cs="方正仿宋_GBK"/>
          <w:sz w:val="32"/>
          <w:szCs w:val="32"/>
        </w:rPr>
      </w:pPr>
    </w:p>
    <w:p>
      <w:pPr>
        <w:pStyle w:val="11"/>
        <w:ind w:firstLine="420"/>
      </w:pPr>
    </w:p>
    <w:p/>
    <w:tbl>
      <w:tblPr>
        <w:tblStyle w:val="17"/>
        <w:tblpPr w:leftFromText="180" w:rightFromText="180" w:vertAnchor="text" w:horzAnchor="page" w:tblpX="1458" w:tblpY="145"/>
        <w:tblOverlap w:val="never"/>
        <w:tblW w:w="9467" w:type="dxa"/>
        <w:tblInd w:w="0" w:type="dxa"/>
        <w:tblLayout w:type="autofit"/>
        <w:tblCellMar>
          <w:top w:w="0" w:type="dxa"/>
          <w:left w:w="108" w:type="dxa"/>
          <w:bottom w:w="0" w:type="dxa"/>
          <w:right w:w="108" w:type="dxa"/>
        </w:tblCellMar>
      </w:tblPr>
      <w:tblGrid>
        <w:gridCol w:w="724"/>
        <w:gridCol w:w="2719"/>
        <w:gridCol w:w="1633"/>
        <w:gridCol w:w="724"/>
        <w:gridCol w:w="724"/>
        <w:gridCol w:w="1722"/>
        <w:gridCol w:w="1221"/>
      </w:tblGrid>
      <w:tr>
        <w:trPr>
          <w:trHeight w:val="372" w:hRule="atLeast"/>
        </w:trPr>
        <w:tc>
          <w:tcPr>
            <w:tcW w:w="9467" w:type="dxa"/>
            <w:gridSpan w:val="7"/>
            <w:tcBorders>
              <w:top w:val="nil"/>
              <w:left w:val="nil"/>
              <w:bottom w:val="nil"/>
              <w:right w:val="nil"/>
            </w:tcBorders>
            <w:shd w:val="clear" w:color="auto" w:fill="auto"/>
            <w:noWrap/>
            <w:vAlign w:val="center"/>
          </w:tcPr>
          <w:p>
            <w:pPr>
              <w:widowControl/>
              <w:adjustRightInd/>
              <w:ind w:left="0" w:leftChars="0" w:right="0" w:rightChars="0" w:firstLine="0" w:firstLineChars="0"/>
              <w:jc w:val="center"/>
              <w:textAlignment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kern w:val="0"/>
                <w:sz w:val="36"/>
                <w:szCs w:val="36"/>
              </w:rPr>
              <w:t>涪陵区2022年高素质农民培训任务和资金分配表</w:t>
            </w:r>
          </w:p>
        </w:tc>
      </w:tr>
      <w:tr>
        <w:tblPrEx>
          <w:tblCellMar>
            <w:top w:w="0" w:type="dxa"/>
            <w:left w:w="108" w:type="dxa"/>
            <w:bottom w:w="0" w:type="dxa"/>
            <w:right w:w="108" w:type="dxa"/>
          </w:tblCellMar>
        </w:tblPrEx>
        <w:trPr>
          <w:trHeight w:val="6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序号</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 xml:space="preserve">培训机构 </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类型</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人数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班级</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资金（万元）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备注</w:t>
            </w:r>
          </w:p>
        </w:tc>
      </w:tr>
      <w:tr>
        <w:tblPrEx>
          <w:tblCellMar>
            <w:top w:w="0" w:type="dxa"/>
            <w:left w:w="108" w:type="dxa"/>
            <w:bottom w:w="0" w:type="dxa"/>
            <w:right w:w="108" w:type="dxa"/>
          </w:tblCellMar>
        </w:tblPrEx>
        <w:trPr>
          <w:trHeight w:val="600"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2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区农广校</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500" w:lineRule="exact"/>
              <w:ind w:left="0" w:leftChars="0" w:right="0" w:rightChars="0" w:firstLine="0" w:firstLineChars="0"/>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农村致富带头人和经营管理型</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289</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86.7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500" w:lineRule="exact"/>
              <w:ind w:left="0" w:leftChars="0" w:right="0" w:rightChars="0" w:firstLine="0" w:firstLineChars="0"/>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专业生产型</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22.5</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500" w:lineRule="exact"/>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小计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439</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109.2</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w:t>
            </w:r>
          </w:p>
        </w:tc>
        <w:tc>
          <w:tcPr>
            <w:tcW w:w="2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涪陵电大</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500" w:lineRule="exact"/>
              <w:ind w:left="0" w:leftChars="0" w:right="0" w:rightChars="0" w:firstLine="0" w:firstLineChars="0"/>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农村致富带头人和经营管理型</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121</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36.3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专业生产型</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7.5</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技能服务型</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7.5</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trHeight w:val="6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小计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221</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51.3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r>
      <w:tr>
        <w:trPr>
          <w:trHeight w:val="6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区农安中心</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技能服务型</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73</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10.95</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质检员</w:t>
            </w:r>
          </w:p>
        </w:tc>
      </w:tr>
      <w:tr>
        <w:tblPrEx>
          <w:tblCellMar>
            <w:top w:w="0" w:type="dxa"/>
            <w:left w:w="108" w:type="dxa"/>
            <w:bottom w:w="0" w:type="dxa"/>
            <w:right w:w="108" w:type="dxa"/>
          </w:tblCellMar>
        </w:tblPrEx>
        <w:trPr>
          <w:trHeight w:val="6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重庆第二交通技工学校</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技能服务型</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77</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11.55</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农机手</w:t>
            </w:r>
          </w:p>
        </w:tc>
      </w:tr>
      <w:tr>
        <w:tblPrEx>
          <w:tblCellMar>
            <w:top w:w="0" w:type="dxa"/>
            <w:left w:w="108" w:type="dxa"/>
            <w:bottom w:w="0" w:type="dxa"/>
            <w:right w:w="108" w:type="dxa"/>
          </w:tblCellMar>
        </w:tblPrEx>
        <w:trPr>
          <w:trHeight w:val="600" w:hRule="atLeast"/>
        </w:trPr>
        <w:tc>
          <w:tcPr>
            <w:tcW w:w="724" w:type="dxa"/>
            <w:tcBorders>
              <w:top w:val="single" w:color="000000" w:sz="4" w:space="0"/>
              <w:left w:val="single" w:color="000000" w:sz="4" w:space="0"/>
              <w:bottom w:val="single" w:color="000000" w:sz="4" w:space="0"/>
              <w:right w:val="nil"/>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c>
          <w:tcPr>
            <w:tcW w:w="4352"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学历提升</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rPr>
                <w:rFonts w:ascii="方正仿宋_GBK" w:hAnsi="方正仿宋_GBK" w:eastAsia="方正仿宋_GBK" w:cs="方正仿宋_GBK"/>
                <w:color w:val="000000"/>
                <w:sz w:val="24"/>
                <w:szCs w:val="24"/>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rPr>
                <w:rFonts w:ascii="方正仿宋_GBK" w:hAnsi="方正仿宋_GBK" w:eastAsia="方正仿宋_GBK" w:cs="方正仿宋_GBK"/>
                <w:color w:val="000000"/>
                <w:sz w:val="24"/>
                <w:szCs w:val="24"/>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后扶资金</w:t>
            </w:r>
          </w:p>
        </w:tc>
      </w:tr>
      <w:tr>
        <w:tblPrEx>
          <w:tblCellMar>
            <w:top w:w="0" w:type="dxa"/>
            <w:left w:w="108" w:type="dxa"/>
            <w:bottom w:w="0" w:type="dxa"/>
            <w:right w:w="108" w:type="dxa"/>
          </w:tblCellMar>
        </w:tblPrEx>
        <w:trPr>
          <w:trHeight w:val="600" w:hRule="atLeast"/>
        </w:trPr>
        <w:tc>
          <w:tcPr>
            <w:tcW w:w="50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农村致富带头人和经营管理型后扶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left"/>
              <w:textAlignment w:val="center"/>
              <w:rPr>
                <w:rFonts w:ascii="方正仿宋_GBK" w:hAnsi="方正仿宋_GBK" w:eastAsia="方正仿宋_GBK" w:cs="方正仿宋_GBK"/>
                <w:color w:val="000000"/>
                <w:sz w:val="24"/>
                <w:szCs w:val="24"/>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rPr>
                <w:rFonts w:ascii="方正仿宋_GBK" w:hAnsi="方正仿宋_GBK" w:eastAsia="方正仿宋_GBK" w:cs="方正仿宋_GBK"/>
                <w:color w:val="000000"/>
                <w:sz w:val="24"/>
                <w:szCs w:val="24"/>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jc w:val="center"/>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trHeight w:val="600" w:hRule="atLeast"/>
        </w:trPr>
        <w:tc>
          <w:tcPr>
            <w:tcW w:w="50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合计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820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ind w:left="0" w:leftChars="0" w:right="0" w:rightChars="0" w:firstLine="0" w:firstLineChars="0"/>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224</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ind w:left="0" w:leftChars="0" w:right="0" w:rightChars="0" w:firstLine="0" w:firstLineChars="0"/>
              <w:rPr>
                <w:rFonts w:ascii="宋体" w:hAnsi="宋体" w:cs="宋体"/>
                <w:color w:val="000000"/>
                <w:sz w:val="24"/>
                <w:szCs w:val="24"/>
              </w:rPr>
            </w:pPr>
          </w:p>
        </w:tc>
      </w:tr>
    </w:tbl>
    <w:p>
      <w:pPr>
        <w:bidi w:val="0"/>
      </w:pPr>
    </w:p>
    <w:p>
      <w:pPr>
        <w:sectPr>
          <w:pgSz w:w="11906" w:h="16838"/>
          <w:pgMar w:top="1984" w:right="1446" w:bottom="1644" w:left="1446" w:header="851" w:footer="1106" w:gutter="0"/>
          <w:cols w:space="425" w:num="1"/>
          <w:docGrid w:linePitch="600" w:charSpace="0"/>
        </w:sectPr>
      </w:pPr>
    </w:p>
    <w:p/>
    <w:p/>
    <w:p/>
    <w:p/>
    <w:p/>
    <w:p/>
    <w:p/>
    <w:p/>
    <w:p/>
    <w:p/>
    <w:p/>
    <w:p/>
    <w:p/>
    <w:p/>
    <w:p/>
    <w:p/>
    <w:p/>
    <w:p/>
    <w:p/>
    <w:p/>
    <w:p>
      <w:pPr>
        <w:pBdr>
          <w:top w:val="single" w:color="auto" w:sz="8" w:space="1"/>
          <w:bottom w:val="single" w:color="auto" w:sz="8" w:space="1"/>
        </w:pBdr>
        <w:ind w:firstLine="140" w:firstLineChars="50"/>
        <w:rPr>
          <w:rFonts w:ascii="方正仿宋_GBK" w:eastAsia="方正仿宋_GBK"/>
          <w:sz w:val="28"/>
          <w:szCs w:val="28"/>
        </w:rPr>
      </w:pPr>
      <w:bookmarkStart w:id="0" w:name="_GoBack"/>
      <w:bookmarkEnd w:id="0"/>
      <w:r>
        <w:rPr>
          <w:rFonts w:hint="eastAsia" w:ascii="方正仿宋_GBK" w:eastAsia="方正仿宋_GBK"/>
          <w:sz w:val="28"/>
          <w:szCs w:val="28"/>
        </w:rPr>
        <w:t>重庆市涪陵区农业农村委员会办公室         2022年9月21日印发</w:t>
      </w:r>
    </w:p>
    <w:sectPr>
      <w:pgSz w:w="11906" w:h="16838"/>
      <w:pgMar w:top="1984" w:right="1446" w:bottom="1644" w:left="1446" w:header="851" w:footer="1106" w:gutter="0"/>
      <w:cols w:space="425" w:num="1"/>
      <w:docGrid w:linePitch="6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1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639E9"/>
    <w:multiLevelType w:val="singleLevel"/>
    <w:tmpl w:val="910639E9"/>
    <w:lvl w:ilvl="0" w:tentative="0">
      <w:start w:val="2"/>
      <w:numFmt w:val="chineseCounting"/>
      <w:suff w:val="nothing"/>
      <w:lvlText w:val="%1、"/>
      <w:lvlJc w:val="left"/>
      <w:rPr>
        <w:rFonts w:hint="eastAsia"/>
      </w:rPr>
    </w:lvl>
  </w:abstractNum>
  <w:abstractNum w:abstractNumId="1">
    <w:nsid w:val="DEF3BF38"/>
    <w:multiLevelType w:val="singleLevel"/>
    <w:tmpl w:val="DEF3BF38"/>
    <w:lvl w:ilvl="0" w:tentative="0">
      <w:start w:val="3"/>
      <w:numFmt w:val="chineseCounting"/>
      <w:suff w:val="nothing"/>
      <w:lvlText w:val="（%1）"/>
      <w:lvlJc w:val="left"/>
      <w:rPr>
        <w:rFonts w:hint="eastAsia" w:ascii="方正楷体_GBK" w:eastAsia="方正楷体_GBK"/>
        <w:b/>
      </w:rPr>
    </w:lvl>
  </w:abstractNum>
  <w:abstractNum w:abstractNumId="2">
    <w:nsid w:val="217D37AA"/>
    <w:multiLevelType w:val="multilevel"/>
    <w:tmpl w:val="217D37AA"/>
    <w:lvl w:ilvl="0" w:tentative="0">
      <w:start w:val="1"/>
      <w:numFmt w:val="chineseCountingThousand"/>
      <w:pStyle w:val="2"/>
      <w:suff w:val="nothing"/>
      <w:lvlText w:val="%1、"/>
      <w:lvlJc w:val="left"/>
      <w:pPr>
        <w:ind w:left="0" w:leftChars="0" w:firstLine="640" w:firstLineChars="0"/>
      </w:pPr>
      <w:rPr>
        <w:rFonts w:hint="eastAsia" w:ascii="Times New Roman" w:hAnsi="Times New Roman" w:eastAsia="方正黑体_GBK" w:cs="Times New Roman"/>
        <w:b w:val="0"/>
        <w:i w:val="0"/>
        <w:color w:val="000000"/>
        <w:sz w:val="32"/>
      </w:rPr>
    </w:lvl>
    <w:lvl w:ilvl="1" w:tentative="0">
      <w:start w:val="1"/>
      <w:numFmt w:val="chineseCountingThousand"/>
      <w:lvlRestart w:val="0"/>
      <w:pStyle w:val="3"/>
      <w:suff w:val="nothing"/>
      <w:lvlText w:val="（%2）"/>
      <w:lvlJc w:val="left"/>
      <w:pPr>
        <w:ind w:left="0" w:leftChars="0" w:firstLine="640" w:firstLineChars="0"/>
      </w:pPr>
      <w:rPr>
        <w:rFonts w:hint="eastAsia" w:ascii="Times New Roman" w:hAnsi="Times New Roman" w:eastAsia="方正楷体_GBK" w:cs="Times New Roman"/>
        <w:b/>
        <w:i w:val="0"/>
        <w:color w:val="000000"/>
        <w:sz w:val="32"/>
      </w:rPr>
    </w:lvl>
    <w:lvl w:ilvl="2" w:tentative="0">
      <w:start w:val="1"/>
      <w:numFmt w:val="decimal"/>
      <w:lvlRestart w:val="0"/>
      <w:pStyle w:val="4"/>
      <w:suff w:val="nothing"/>
      <w:lvlText w:val="%3."/>
      <w:lvlJc w:val="left"/>
      <w:pPr>
        <w:ind w:left="0" w:leftChars="0" w:firstLine="640" w:firstLineChars="0"/>
      </w:pPr>
      <w:rPr>
        <w:rFonts w:hint="eastAsia" w:ascii="Times New Roman" w:hAnsi="Times New Roman" w:eastAsia="方正仿宋_GBK" w:cs="Times New Roman"/>
        <w:b/>
        <w:i w:val="0"/>
        <w:color w:val="000000"/>
        <w:sz w:val="32"/>
      </w:rPr>
    </w:lvl>
    <w:lvl w:ilvl="3" w:tentative="0">
      <w:start w:val="1"/>
      <w:numFmt w:val="decimal"/>
      <w:lvlRestart w:val="0"/>
      <w:pStyle w:val="5"/>
      <w:suff w:val="nothing"/>
      <w:lvlText w:val="（%4）"/>
      <w:lvlJc w:val="left"/>
      <w:pPr>
        <w:ind w:left="0" w:leftChars="0" w:firstLine="640" w:firstLineChars="0"/>
      </w:pPr>
      <w:rPr>
        <w:rFonts w:hint="eastAsia" w:ascii="Times New Roman" w:hAnsi="Times New Roman" w:eastAsia="方正仿宋_GBK" w:cs="Times New Roman"/>
        <w:b w:val="0"/>
        <w:i w:val="0"/>
        <w:color w:val="000000"/>
        <w:sz w:val="32"/>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HorizontalSpacing w:val="320"/>
  <w:drawingGridVerticalSpacing w:val="300"/>
  <w:displayHorizontalDrawingGridEvery w:val="1"/>
  <w:displayVerticalDrawingGridEvery w:val="2"/>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JjYjQ2YTYxZGJjZTZhZTg1Yzk0NjNjNjliOTA5NWMifQ=="/>
  </w:docVars>
  <w:rsids>
    <w:rsidRoot w:val="00E93DC0"/>
    <w:rsid w:val="000B7CD4"/>
    <w:rsid w:val="000C7E53"/>
    <w:rsid w:val="003970F8"/>
    <w:rsid w:val="00492AA6"/>
    <w:rsid w:val="008A04B8"/>
    <w:rsid w:val="00BC77D1"/>
    <w:rsid w:val="00E93DC0"/>
    <w:rsid w:val="119A36BA"/>
    <w:rsid w:val="22EA1F96"/>
    <w:rsid w:val="25DB5A71"/>
    <w:rsid w:val="495012B2"/>
    <w:rsid w:val="4A1762C1"/>
    <w:rsid w:val="4BD336F6"/>
    <w:rsid w:val="53C3761B"/>
    <w:rsid w:val="614F7FDF"/>
    <w:rsid w:val="71CD5F18"/>
    <w:rsid w:val="76FA4BBC"/>
    <w:rsid w:val="7A2C3A98"/>
    <w:rsid w:val="7FCE5B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1"/>
        <w:left w:val="none" w:color="auto" w:sz="0" w:space="4"/>
        <w:bottom w:val="none" w:color="auto" w:sz="0" w:space="1"/>
        <w:right w:val="none" w:color="auto" w:sz="0" w:space="4"/>
      </w:pBdr>
      <w:suppressAutoHyphens w:val="0"/>
      <w:spacing w:line="600" w:lineRule="exact"/>
      <w:ind w:firstLine="640"/>
      <w:jc w:val="both"/>
    </w:pPr>
    <w:rPr>
      <w:rFonts w:ascii="Times New Roman" w:hAnsi="Times New Roman" w:eastAsia="方正仿宋_GBK" w:cs="Times New Roman"/>
      <w:snapToGrid w:val="0"/>
      <w:color w:val="000000"/>
      <w:kern w:val="2"/>
      <w:sz w:val="32"/>
      <w:szCs w:val="22"/>
      <w:lang w:val="en-US" w:eastAsia="zh-CN" w:bidi="ar-SA"/>
    </w:rPr>
  </w:style>
  <w:style w:type="paragraph" w:styleId="2">
    <w:name w:val="heading 1"/>
    <w:next w:val="1"/>
    <w:qFormat/>
    <w:uiPriority w:val="0"/>
    <w:pPr>
      <w:keepNext w:val="0"/>
      <w:keepLines w:val="0"/>
      <w:widowControl w:val="0"/>
      <w:numPr>
        <w:ilvl w:val="0"/>
        <w:numId w:val="1"/>
      </w:numPr>
      <w:pBdr>
        <w:top w:val="none" w:color="auto" w:sz="0" w:space="1"/>
        <w:left w:val="none" w:color="auto" w:sz="0" w:space="4"/>
        <w:bottom w:val="none" w:color="auto" w:sz="0" w:space="1"/>
        <w:right w:val="none" w:color="auto" w:sz="0" w:space="4"/>
      </w:pBdr>
      <w:suppressAutoHyphens w:val="0"/>
      <w:spacing w:beforeLines="0" w:beforeAutospacing="0" w:afterLines="0" w:afterAutospacing="0" w:line="600" w:lineRule="exact"/>
      <w:ind w:firstLine="640" w:firstLineChars="0"/>
      <w:jc w:val="both"/>
      <w:outlineLvl w:val="0"/>
    </w:pPr>
    <w:rPr>
      <w:rFonts w:ascii="Times New Roman" w:hAnsi="Times New Roman" w:eastAsia="方正黑体_GBK" w:cs="Times New Roman"/>
      <w:bCs/>
      <w:snapToGrid w:val="0"/>
      <w:color w:val="000000"/>
      <w:kern w:val="44"/>
      <w:sz w:val="32"/>
      <w:lang w:eastAsia="zh-CN"/>
    </w:rPr>
  </w:style>
  <w:style w:type="paragraph" w:styleId="3">
    <w:name w:val="heading 2"/>
    <w:next w:val="1"/>
    <w:semiHidden/>
    <w:unhideWhenUsed/>
    <w:qFormat/>
    <w:uiPriority w:val="0"/>
    <w:pPr>
      <w:keepNext w:val="0"/>
      <w:keepLines w:val="0"/>
      <w:widowControl w:val="0"/>
      <w:numPr>
        <w:ilvl w:val="1"/>
        <w:numId w:val="1"/>
      </w:numPr>
      <w:pBdr>
        <w:top w:val="none" w:color="auto" w:sz="0" w:space="1"/>
        <w:left w:val="none" w:color="auto" w:sz="0" w:space="4"/>
        <w:bottom w:val="none" w:color="auto" w:sz="0" w:space="1"/>
        <w:right w:val="none" w:color="auto" w:sz="0" w:space="4"/>
      </w:pBdr>
      <w:suppressAutoHyphens w:val="0"/>
      <w:spacing w:beforeLines="0" w:beforeAutospacing="0" w:afterLines="0" w:afterAutospacing="0" w:line="600" w:lineRule="exact"/>
      <w:ind w:firstLine="640" w:firstLineChars="0"/>
      <w:jc w:val="both"/>
      <w:outlineLvl w:val="1"/>
    </w:pPr>
    <w:rPr>
      <w:rFonts w:ascii="Times New Roman" w:hAnsi="Times New Roman" w:eastAsia="方正楷体_GBK" w:cs="Times New Roman"/>
      <w:b/>
      <w:bCs/>
      <w:snapToGrid w:val="0"/>
      <w:color w:val="000000"/>
      <w:sz w:val="32"/>
      <w:lang w:eastAsia="zh-CN"/>
    </w:rPr>
  </w:style>
  <w:style w:type="paragraph" w:styleId="4">
    <w:name w:val="heading 3"/>
    <w:next w:val="1"/>
    <w:semiHidden/>
    <w:unhideWhenUsed/>
    <w:qFormat/>
    <w:uiPriority w:val="0"/>
    <w:pPr>
      <w:keepNext w:val="0"/>
      <w:keepLines w:val="0"/>
      <w:widowControl w:val="0"/>
      <w:numPr>
        <w:ilvl w:val="2"/>
        <w:numId w:val="1"/>
      </w:numPr>
      <w:pBdr>
        <w:top w:val="none" w:color="auto" w:sz="0" w:space="1"/>
        <w:left w:val="none" w:color="auto" w:sz="0" w:space="4"/>
        <w:bottom w:val="none" w:color="auto" w:sz="0" w:space="1"/>
        <w:right w:val="none" w:color="auto" w:sz="0" w:space="4"/>
      </w:pBdr>
      <w:suppressAutoHyphens w:val="0"/>
      <w:spacing w:beforeLines="0" w:beforeAutospacing="0" w:afterLines="0" w:afterAutospacing="0" w:line="600" w:lineRule="exact"/>
      <w:ind w:firstLine="640" w:firstLineChars="0"/>
      <w:jc w:val="both"/>
      <w:outlineLvl w:val="2"/>
    </w:pPr>
    <w:rPr>
      <w:rFonts w:ascii="Times New Roman" w:hAnsi="Times New Roman" w:eastAsia="方正仿宋_GBK" w:cs="Times New Roman"/>
      <w:b/>
      <w:bCs/>
      <w:snapToGrid w:val="0"/>
      <w:color w:val="000000"/>
      <w:sz w:val="32"/>
      <w:lang w:eastAsia="zh-CN"/>
    </w:rPr>
  </w:style>
  <w:style w:type="paragraph" w:styleId="5">
    <w:name w:val="heading 4"/>
    <w:next w:val="1"/>
    <w:qFormat/>
    <w:uiPriority w:val="0"/>
    <w:pPr>
      <w:keepNext w:val="0"/>
      <w:keepLines w:val="0"/>
      <w:widowControl w:val="0"/>
      <w:numPr>
        <w:ilvl w:val="3"/>
        <w:numId w:val="1"/>
      </w:numPr>
      <w:pBdr>
        <w:top w:val="none" w:color="auto" w:sz="0" w:space="1"/>
        <w:left w:val="none" w:color="auto" w:sz="0" w:space="4"/>
        <w:bottom w:val="none" w:color="auto" w:sz="0" w:space="1"/>
        <w:right w:val="none" w:color="auto" w:sz="0" w:space="4"/>
      </w:pBdr>
      <w:suppressAutoHyphens w:val="0"/>
      <w:spacing w:line="600" w:lineRule="exact"/>
      <w:jc w:val="both"/>
      <w:outlineLvl w:val="3"/>
    </w:pPr>
    <w:rPr>
      <w:rFonts w:ascii="Times New Roman" w:hAnsi="Times New Roman" w:eastAsia="方正仿宋_GBK" w:cs="Times New Roman"/>
      <w:snapToGrid w:val="0"/>
      <w:color w:val="000000"/>
      <w:sz w:val="32"/>
      <w:szCs w:val="24"/>
      <w:lang w:eastAsia="zh-CN"/>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spacing w:line="540" w:lineRule="exact"/>
      <w:ind w:firstLine="200" w:firstLineChars="200"/>
    </w:pPr>
    <w:rPr>
      <w:rFonts w:eastAsia="仿宋_GB2312"/>
    </w:rPr>
  </w:style>
  <w:style w:type="paragraph" w:styleId="12">
    <w:name w:val="Body Text"/>
    <w:basedOn w:val="1"/>
    <w:qFormat/>
    <w:uiPriority w:val="0"/>
    <w:rPr>
      <w:szCs w:val="3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Title"/>
    <w:next w:val="1"/>
    <w:qFormat/>
    <w:uiPriority w:val="0"/>
    <w:pPr>
      <w:widowControl w:val="0"/>
      <w:pBdr>
        <w:top w:val="none" w:color="auto" w:sz="0" w:space="1"/>
        <w:left w:val="none" w:color="auto" w:sz="0" w:space="4"/>
        <w:bottom w:val="none" w:color="auto" w:sz="0" w:space="1"/>
        <w:right w:val="none" w:color="auto" w:sz="0" w:space="4"/>
      </w:pBdr>
      <w:suppressAutoHyphens w:val="0"/>
      <w:spacing w:beforeLines="0" w:beforeAutospacing="0" w:afterLines="0" w:afterAutospacing="0" w:line="600" w:lineRule="exact"/>
      <w:ind w:firstLine="0" w:firstLineChars="0"/>
      <w:jc w:val="center"/>
      <w:outlineLvl w:val="0"/>
    </w:pPr>
    <w:rPr>
      <w:rFonts w:hint="default" w:ascii="Times New Roman" w:hAnsi="Times New Roman" w:eastAsia="方正小标宋_GBK" w:cs="Times New Roman"/>
      <w:b/>
      <w:bCs/>
      <w:snapToGrid w:val="0"/>
      <w:color w:val="000000"/>
      <w:sz w:val="44"/>
      <w:szCs w:val="44"/>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543</Words>
  <Characters>3098</Characters>
  <Lines>25</Lines>
  <Paragraphs>7</Paragraphs>
  <TotalTime>9</TotalTime>
  <ScaleCrop>false</ScaleCrop>
  <LinksUpToDate>false</LinksUpToDate>
  <CharactersWithSpaces>3634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2022-06-15T08:20:00Z</dcterms:created>
  <dc:creator>Administrator</dc:creator>
  <cp:lastModifiedBy>万传银</cp:lastModifiedBy>
  <cp:lastPrinted>2022-09-20T04:39:00Z</cp:lastPrinted>
  <dcterms:modified xsi:type="dcterms:W3CDTF">2022-12-01T07:43:27Z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320A2DD7E5D74C2CA68B78E810711F60</vt:lpwstr>
  </property>
</Properties>
</file>