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spacing w:line="1100" w:lineRule="exact"/>
        <w:jc w:val="center"/>
        <w:rPr>
          <w:rFonts w:eastAsia="方正小标宋_GBK"/>
          <w:b/>
          <w:color w:val="FF0000"/>
          <w:w w:val="80"/>
          <w:sz w:val="80"/>
          <w:szCs w:val="80"/>
        </w:rPr>
      </w:pPr>
      <w:r>
        <w:rPr>
          <w:rFonts w:eastAsia="方正小标宋_GBK"/>
          <w:w w:val="80"/>
        </w:rPr>
        <w:pict>
          <v:line id="直接连接符 1" o:spid="_x0000_s2050" o:spt="20" style="position:absolute;left:0pt;margin-left:3.6pt;margin-top:53.2pt;height:0.05pt;width:441pt;z-index:25165824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">
            <v:path arrowok="t"/>
            <v:fill focussize="0,0"/>
            <v:stroke weight="2.25pt" color="#FF0000"/>
            <v:imagedata o:title=""/>
            <o:lock v:ext="edit"/>
          </v:line>
        </w:pict>
      </w:r>
      <w:r>
        <w:rPr>
          <w:rFonts w:eastAsia="方正小标宋_GBK"/>
          <w:b/>
          <w:color w:val="FF0000"/>
          <w:w w:val="80"/>
          <w:sz w:val="80"/>
          <w:szCs w:val="80"/>
        </w:rPr>
        <w:t>重庆市涪陵区农业农村委员会</w:t>
      </w:r>
    </w:p>
    <w:p>
      <w:pPr>
        <w:spacing w:line="400" w:lineRule="exact"/>
        <w:jc w:val="center"/>
        <w:rPr>
          <w:rFonts w:eastAsia="方正仿宋_GBK"/>
          <w:bCs/>
          <w:sz w:val="32"/>
          <w:szCs w:val="32"/>
        </w:rPr>
      </w:pPr>
    </w:p>
    <w:p>
      <w:pPr>
        <w:tabs>
          <w:tab w:val="left" w:pos="7560"/>
        </w:tabs>
        <w:spacing w:line="600" w:lineRule="exact"/>
        <w:rPr>
          <w:rFonts w:eastAsia="方正小标宋_GBK"/>
          <w:color w:val="000000"/>
          <w:sz w:val="44"/>
          <w:szCs w:val="44"/>
        </w:rPr>
      </w:pPr>
    </w:p>
    <w:p>
      <w:pPr>
        <w:pStyle w:val="4"/>
        <w:shd w:val="clear" w:color="auto" w:fill="FFFFFF"/>
        <w:spacing w:before="0" w:beforeAutospacing="0" w:after="0" w:afterAutospacing="0" w:line="600" w:lineRule="exact"/>
        <w:jc w:val="center"/>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重庆市涪陵区农业农村委员会</w:t>
      </w:r>
    </w:p>
    <w:p>
      <w:pPr>
        <w:pStyle w:val="4"/>
        <w:shd w:val="clear" w:color="auto" w:fill="FFFFFF"/>
        <w:spacing w:before="0" w:beforeAutospacing="0" w:after="0" w:afterAutospacing="0" w:line="600" w:lineRule="exact"/>
        <w:jc w:val="center"/>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关于印发《重庆市涪陵区农业农村委员会</w:t>
      </w:r>
    </w:p>
    <w:p>
      <w:pPr>
        <w:pStyle w:val="4"/>
        <w:shd w:val="clear" w:color="auto" w:fill="FFFFFF"/>
        <w:spacing w:before="0" w:beforeAutospacing="0" w:after="0" w:afterAutospacing="0" w:line="600" w:lineRule="exact"/>
        <w:jc w:val="center"/>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重大行政执法决定法制审核目录清单》的</w:t>
      </w:r>
    </w:p>
    <w:p>
      <w:pPr>
        <w:pStyle w:val="4"/>
        <w:shd w:val="clear" w:color="auto" w:fill="FFFFFF"/>
        <w:spacing w:before="0" w:beforeAutospacing="0" w:after="0" w:afterAutospacing="0" w:line="600" w:lineRule="exact"/>
        <w:jc w:val="center"/>
        <w:rPr>
          <w:rFonts w:ascii="仿宋_GB2312" w:eastAsia="仿宋_GB2312"/>
          <w:b/>
          <w:color w:val="000000" w:themeColor="text1"/>
          <w:sz w:val="36"/>
          <w:szCs w:val="36"/>
        </w:rPr>
      </w:pPr>
      <w:r>
        <w:rPr>
          <w:rFonts w:hint="eastAsia" w:ascii="方正小标宋_GBK" w:eastAsia="方正小标宋_GBK"/>
          <w:color w:val="000000" w:themeColor="text1"/>
          <w:sz w:val="44"/>
          <w:szCs w:val="44"/>
        </w:rPr>
        <w:t>通   知</w:t>
      </w:r>
    </w:p>
    <w:p>
      <w:pPr>
        <w:pStyle w:val="4"/>
        <w:shd w:val="clear" w:color="auto" w:fill="FFFFFF"/>
        <w:spacing w:before="0" w:beforeAutospacing="0" w:after="0" w:afterAutospacing="0" w:line="600" w:lineRule="exact"/>
        <w:rPr>
          <w:rFonts w:ascii="仿宋_GB2312" w:eastAsia="仿宋_GB2312"/>
          <w:color w:val="333333"/>
        </w:rPr>
      </w:pPr>
    </w:p>
    <w:p>
      <w:pPr>
        <w:pStyle w:val="4"/>
        <w:shd w:val="clear" w:color="auto" w:fill="FFFFFF"/>
        <w:spacing w:before="0" w:beforeAutospacing="0" w:after="0" w:afterAutospacing="0" w:line="600" w:lineRule="exact"/>
        <w:rPr>
          <w:rFonts w:ascii="方正仿宋_GBK" w:eastAsia="方正仿宋_GBK"/>
          <w:color w:val="333333"/>
          <w:sz w:val="32"/>
          <w:szCs w:val="32"/>
        </w:rPr>
      </w:pPr>
      <w:r>
        <w:rPr>
          <w:rFonts w:hint="eastAsia" w:ascii="方正仿宋_GBK" w:eastAsia="方正仿宋_GBK"/>
          <w:color w:val="333333"/>
          <w:sz w:val="32"/>
          <w:szCs w:val="32"/>
        </w:rPr>
        <w:t>机关各科室、委属有关单位：</w:t>
      </w:r>
    </w:p>
    <w:p>
      <w:pPr>
        <w:pStyle w:val="4"/>
        <w:shd w:val="clear" w:color="auto" w:fill="FFFFFF"/>
        <w:spacing w:before="0" w:beforeAutospacing="0" w:after="0" w:afterAutospacing="0" w:line="600" w:lineRule="exact"/>
        <w:rPr>
          <w:rFonts w:ascii="方正仿宋_GBK" w:eastAsia="方正仿宋_GBK"/>
          <w:color w:val="333333"/>
          <w:sz w:val="32"/>
          <w:szCs w:val="32"/>
        </w:rPr>
      </w:pPr>
      <w:r>
        <w:rPr>
          <w:rFonts w:hint="eastAsia" w:ascii="方正仿宋_GBK" w:eastAsia="方正仿宋_GBK"/>
          <w:color w:val="333333"/>
          <w:sz w:val="32"/>
          <w:szCs w:val="32"/>
        </w:rPr>
        <w:t>　　为贯彻落实《重庆市涪陵区重大行政执法决定法制审核办法》，我委制定并向社会公布了《重庆市涪陵区农业农村委重大行政执法决定法制审核目录清单》，现印发给你们，请遵照执行。</w:t>
      </w:r>
    </w:p>
    <w:p>
      <w:pPr>
        <w:spacing w:line="600" w:lineRule="exact"/>
        <w:ind w:firstLine="640" w:firstLineChars="200"/>
        <w:rPr>
          <w:rFonts w:ascii="方正仿宋_GBK" w:eastAsia="方正仿宋_GBK"/>
          <w:sz w:val="32"/>
          <w:szCs w:val="32"/>
        </w:rPr>
      </w:pPr>
      <w:bookmarkStart w:id="0" w:name="_GoBack"/>
      <w:bookmarkEnd w:id="0"/>
      <w:r>
        <w:rPr>
          <w:rFonts w:hint="eastAsia" w:ascii="方正仿宋_GBK" w:eastAsia="方正仿宋_GBK"/>
          <w:color w:val="333333"/>
          <w:sz w:val="32"/>
          <w:szCs w:val="32"/>
        </w:rPr>
        <w:t>涉及目录清单事项内容的，请承办科室和委属单位在报请委领导审批前或者提请集体讨论作出重大行政执法决定前，应当将拟作出的行政执法决定、承办部门处理意见及其理由和依据等相关材料报送法制工作机构审查。</w:t>
      </w:r>
    </w:p>
    <w:p>
      <w:pPr>
        <w:spacing w:line="600" w:lineRule="exact"/>
        <w:jc w:val="right"/>
        <w:rPr>
          <w:rFonts w:hint="eastAsia" w:ascii="方正仿宋_GBK" w:eastAsia="方正仿宋_GBK"/>
          <w:sz w:val="32"/>
          <w:szCs w:val="32"/>
        </w:rPr>
      </w:pPr>
    </w:p>
    <w:p>
      <w:pPr>
        <w:spacing w:line="600" w:lineRule="exact"/>
        <w:jc w:val="center"/>
        <w:rPr>
          <w:rFonts w:ascii="方正仿宋_GBK" w:eastAsia="方正仿宋_GBK"/>
          <w:sz w:val="32"/>
          <w:szCs w:val="32"/>
        </w:rPr>
      </w:pPr>
      <w:r>
        <w:rPr>
          <w:rFonts w:hint="eastAsia" w:ascii="方正仿宋_GBK" w:eastAsia="方正仿宋_GBK"/>
          <w:sz w:val="32"/>
          <w:szCs w:val="32"/>
        </w:rPr>
        <w:t xml:space="preserve">                        重庆市涪陵区农业农村委员会</w:t>
      </w:r>
    </w:p>
    <w:p>
      <w:pPr>
        <w:spacing w:line="600" w:lineRule="exact"/>
        <w:jc w:val="center"/>
        <w:rPr>
          <w:rFonts w:hint="eastAsia" w:ascii="方正仿宋_GBK" w:eastAsia="方正仿宋_GBK"/>
          <w:sz w:val="32"/>
          <w:szCs w:val="32"/>
        </w:rPr>
      </w:pPr>
      <w:r>
        <w:rPr>
          <w:rFonts w:hint="eastAsia" w:ascii="方正仿宋_GBK" w:eastAsia="方正仿宋_GBK"/>
          <w:sz w:val="32"/>
          <w:szCs w:val="32"/>
        </w:rPr>
        <w:t xml:space="preserve">                        </w:t>
      </w:r>
      <w:r>
        <w:rPr>
          <w:rFonts w:hint="eastAsia" w:ascii="Times New Roman" w:hAnsi="Times New Roman" w:eastAsia="方正仿宋_GBK"/>
          <w:sz w:val="32"/>
          <w:szCs w:val="32"/>
        </w:rPr>
        <w:t>2024</w:t>
      </w:r>
      <w:r>
        <w:rPr>
          <w:rFonts w:hint="eastAsia" w:ascii="方正仿宋_GBK" w:eastAsia="方正仿宋_GBK"/>
          <w:sz w:val="32"/>
          <w:szCs w:val="32"/>
        </w:rPr>
        <w:t>年</w:t>
      </w:r>
      <w:r>
        <w:rPr>
          <w:rFonts w:hint="eastAsia" w:ascii="Times New Roman" w:hAnsi="Times New Roman" w:eastAsia="方正仿宋_GBK"/>
          <w:sz w:val="32"/>
          <w:szCs w:val="32"/>
        </w:rPr>
        <w:t>1</w:t>
      </w:r>
      <w:r>
        <w:rPr>
          <w:rFonts w:hint="eastAsia" w:ascii="方正仿宋_GBK" w:eastAsia="方正仿宋_GBK"/>
          <w:sz w:val="32"/>
          <w:szCs w:val="32"/>
        </w:rPr>
        <w:t>月</w:t>
      </w:r>
      <w:r>
        <w:rPr>
          <w:rFonts w:hint="eastAsia" w:ascii="Times New Roman" w:hAnsi="Times New Roman" w:eastAsia="方正仿宋_GBK"/>
          <w:sz w:val="32"/>
          <w:szCs w:val="32"/>
        </w:rPr>
        <w:t>24</w:t>
      </w:r>
      <w:r>
        <w:rPr>
          <w:rFonts w:hint="eastAsia" w:ascii="方正仿宋_GBK" w:eastAsia="方正仿宋_GBK"/>
          <w:sz w:val="32"/>
          <w:szCs w:val="32"/>
        </w:rPr>
        <w:t>日</w:t>
      </w:r>
    </w:p>
    <w:p>
      <w:pPr>
        <w:adjustRightInd/>
        <w:spacing w:line="600" w:lineRule="exact"/>
        <w:ind w:left="0" w:leftChars="0" w:right="0" w:rightChars="0" w:firstLine="640" w:firstLineChars="0"/>
        <w:jc w:val="both"/>
        <w:rPr>
          <w:rFonts w:hint="eastAsia" w:ascii="方正仿宋_GBK" w:eastAsia="方正仿宋_GBK"/>
          <w:sz w:val="32"/>
          <w:szCs w:val="32"/>
          <w:lang w:eastAsia="zh-CN"/>
        </w:rPr>
      </w:pPr>
      <w:r>
        <w:rPr>
          <w:rFonts w:hint="eastAsia" w:ascii="方正仿宋_GBK" w:eastAsia="方正仿宋_GBK"/>
          <w:sz w:val="32"/>
          <w:szCs w:val="32"/>
          <w:lang w:eastAsia="zh-CN"/>
        </w:rPr>
        <w:t>（此件公开发布）</w:t>
      </w:r>
    </w:p>
    <w:p>
      <w:pPr>
        <w:spacing w:line="500" w:lineRule="exact"/>
        <w:rPr>
          <w:rFonts w:hint="eastAsia" w:ascii="方正小标宋_GBK" w:hAnsi="Microsoft YaHei" w:eastAsia="方正小标宋_GBK" w:cs="宋体"/>
          <w:bCs/>
          <w:color w:val="000000"/>
          <w:kern w:val="0"/>
          <w:sz w:val="44"/>
          <w:szCs w:val="44"/>
        </w:rPr>
        <w:sectPr>
          <w:footerReference r:id="rId3" w:type="default"/>
          <w:footerReference r:id="rId4" w:type="even"/>
          <w:pgSz w:w="11906" w:h="16838"/>
          <w:pgMar w:top="2098" w:right="1474" w:bottom="1985" w:left="1588" w:header="851" w:footer="1474" w:gutter="0"/>
          <w:cols w:space="425" w:num="1"/>
          <w:docGrid w:type="linesAndChars" w:linePitch="600" w:charSpace="0"/>
        </w:sectPr>
      </w:pPr>
    </w:p>
    <w:p>
      <w:pPr>
        <w:spacing w:line="500" w:lineRule="exact"/>
        <w:jc w:val="center"/>
        <w:rPr>
          <w:rFonts w:hint="eastAsia" w:ascii="方正小标宋_GBK" w:hAnsi="Microsoft YaHei" w:eastAsia="方正小标宋_GBK" w:cs="宋体"/>
          <w:bCs/>
          <w:color w:val="000000"/>
          <w:kern w:val="0"/>
          <w:sz w:val="44"/>
          <w:szCs w:val="44"/>
        </w:rPr>
      </w:pPr>
      <w:r>
        <w:rPr>
          <w:rFonts w:hint="eastAsia" w:ascii="方正小标宋_GBK" w:hAnsi="Microsoft YaHei" w:eastAsia="方正小标宋_GBK" w:cs="宋体"/>
          <w:bCs/>
          <w:color w:val="000000"/>
          <w:kern w:val="0"/>
          <w:sz w:val="44"/>
          <w:szCs w:val="44"/>
        </w:rPr>
        <w:t>重庆市涪陵区农业农村委员会重大行政执法决定法制审核目录清单</w:t>
      </w:r>
    </w:p>
    <w:p>
      <w:pPr>
        <w:spacing w:line="400" w:lineRule="exact"/>
        <w:jc w:val="center"/>
        <w:rPr>
          <w:rFonts w:hint="eastAsia" w:ascii="方正小标宋_GBK" w:hAnsi="Microsoft YaHei" w:eastAsia="方正小标宋_GBK" w:cs="宋体"/>
          <w:bCs/>
          <w:color w:val="000000"/>
          <w:kern w:val="0"/>
          <w:sz w:val="44"/>
          <w:szCs w:val="44"/>
        </w:rPr>
      </w:pPr>
    </w:p>
    <w:tbl>
      <w:tblPr>
        <w:tblStyle w:val="5"/>
        <w:tblW w:w="14640" w:type="dxa"/>
        <w:jc w:val="center"/>
        <w:shd w:val="clear" w:color="auto" w:fill="FFFFFF"/>
        <w:tblLayout w:type="autofit"/>
        <w:tblCellMar>
          <w:top w:w="0" w:type="dxa"/>
          <w:left w:w="0" w:type="dxa"/>
          <w:bottom w:w="0" w:type="dxa"/>
          <w:right w:w="0" w:type="dxa"/>
        </w:tblCellMar>
      </w:tblPr>
      <w:tblGrid>
        <w:gridCol w:w="1050"/>
        <w:gridCol w:w="1020"/>
        <w:gridCol w:w="3795"/>
        <w:gridCol w:w="3498"/>
        <w:gridCol w:w="5277"/>
      </w:tblGrid>
      <w:tr>
        <w:tblPrEx>
          <w:tblCellMar>
            <w:top w:w="0" w:type="dxa"/>
            <w:left w:w="0" w:type="dxa"/>
            <w:bottom w:w="0" w:type="dxa"/>
            <w:right w:w="0" w:type="dxa"/>
          </w:tblCellMar>
        </w:tblPrEx>
        <w:trPr>
          <w:trHeight w:val="508"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hint="eastAsia" w:ascii="方正黑体_GBK" w:hAnsi="Microsoft YaHei" w:eastAsia="方正黑体_GBK" w:cs="宋体"/>
                <w:bCs/>
                <w:color w:val="000000"/>
                <w:kern w:val="0"/>
                <w:szCs w:val="21"/>
              </w:rPr>
            </w:pPr>
            <w:r>
              <w:rPr>
                <w:rFonts w:hint="eastAsia" w:ascii="方正黑体_GBK" w:hAnsi="Microsoft YaHei" w:eastAsia="方正黑体_GBK" w:cs="宋体"/>
                <w:bCs/>
                <w:color w:val="000000"/>
                <w:kern w:val="0"/>
                <w:szCs w:val="21"/>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hint="eastAsia" w:ascii="方正黑体_GBK" w:hAnsi="Microsoft YaHei" w:eastAsia="方正黑体_GBK" w:cs="宋体"/>
                <w:bCs/>
                <w:color w:val="000000"/>
                <w:kern w:val="0"/>
                <w:szCs w:val="21"/>
              </w:rPr>
            </w:pPr>
            <w:r>
              <w:rPr>
                <w:rFonts w:hint="eastAsia" w:ascii="方正黑体_GBK" w:hAnsi="Microsoft YaHei" w:eastAsia="方正黑体_GBK" w:cs="宋体"/>
                <w:bCs/>
                <w:color w:val="000000"/>
                <w:kern w:val="0"/>
                <w:szCs w:val="21"/>
              </w:rPr>
              <w:t>执法项目大类</w:t>
            </w: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hint="eastAsia" w:ascii="方正黑体_GBK" w:hAnsi="Microsoft YaHei" w:eastAsia="方正黑体_GBK" w:cs="宋体"/>
                <w:bCs/>
                <w:color w:val="000000"/>
                <w:kern w:val="0"/>
                <w:szCs w:val="21"/>
              </w:rPr>
            </w:pPr>
            <w:r>
              <w:rPr>
                <w:rFonts w:hint="eastAsia" w:ascii="方正黑体_GBK" w:hAnsi="Microsoft YaHei" w:eastAsia="方正黑体_GBK" w:cs="宋体"/>
                <w:bCs/>
                <w:color w:val="000000"/>
                <w:kern w:val="0"/>
                <w:szCs w:val="21"/>
              </w:rPr>
              <w:t>审核的具体执法决定项目</w:t>
            </w:r>
          </w:p>
        </w:tc>
        <w:tc>
          <w:tcPr>
            <w:tcW w:w="3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hint="eastAsia" w:ascii="方正黑体_GBK" w:hAnsi="Microsoft YaHei" w:eastAsia="方正黑体_GBK" w:cs="宋体"/>
                <w:bCs/>
                <w:color w:val="000000"/>
                <w:kern w:val="0"/>
                <w:szCs w:val="21"/>
              </w:rPr>
            </w:pPr>
            <w:r>
              <w:rPr>
                <w:rFonts w:hint="eastAsia" w:ascii="方正黑体_GBK" w:hAnsi="Microsoft YaHei" w:eastAsia="方正黑体_GBK" w:cs="宋体"/>
                <w:bCs/>
                <w:color w:val="000000"/>
                <w:kern w:val="0"/>
                <w:szCs w:val="21"/>
              </w:rPr>
              <w:t>应提交的审核资料</w:t>
            </w:r>
          </w:p>
        </w:tc>
        <w:tc>
          <w:tcPr>
            <w:tcW w:w="5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hint="eastAsia" w:ascii="方正黑体_GBK" w:hAnsi="Microsoft YaHei" w:eastAsia="方正黑体_GBK" w:cs="宋体"/>
                <w:bCs/>
                <w:color w:val="000000"/>
                <w:kern w:val="0"/>
                <w:szCs w:val="21"/>
              </w:rPr>
            </w:pPr>
            <w:r>
              <w:rPr>
                <w:rFonts w:hint="eastAsia" w:ascii="方正黑体_GBK" w:hAnsi="Microsoft YaHei" w:eastAsia="方正黑体_GBK" w:cs="宋体"/>
                <w:bCs/>
                <w:color w:val="000000"/>
                <w:kern w:val="0"/>
                <w:szCs w:val="21"/>
              </w:rPr>
              <w:t>审核重点</w:t>
            </w:r>
          </w:p>
        </w:tc>
      </w:tr>
      <w:tr>
        <w:tblPrEx>
          <w:shd w:val="clear" w:color="auto" w:fill="FFFFFF"/>
          <w:tblCellMar>
            <w:top w:w="0" w:type="dxa"/>
            <w:left w:w="0" w:type="dxa"/>
            <w:bottom w:w="0" w:type="dxa"/>
            <w:right w:w="0" w:type="dxa"/>
          </w:tblCellMar>
        </w:tblPrEx>
        <w:trPr>
          <w:trHeight w:val="1408"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hint="eastAsia" w:ascii="方正仿宋_GBK" w:hAnsi="Microsoft YaHei" w:eastAsia="方正仿宋_GBK" w:cs="宋体"/>
                <w:color w:val="000000"/>
                <w:spacing w:val="-14"/>
                <w:kern w:val="0"/>
                <w:sz w:val="18"/>
                <w:szCs w:val="18"/>
              </w:rPr>
            </w:pPr>
            <w:r>
              <w:rPr>
                <w:rFonts w:hint="eastAsia" w:ascii="Times New Roman" w:hAnsi="Times New Roman" w:eastAsia="方正仿宋_GBK" w:cs="宋体"/>
                <w:color w:val="000000"/>
                <w:spacing w:val="-14"/>
                <w:kern w:val="0"/>
                <w:sz w:val="18"/>
                <w:szCs w:val="18"/>
              </w:rPr>
              <w:t>1</w:t>
            </w:r>
          </w:p>
        </w:tc>
        <w:tc>
          <w:tcPr>
            <w:tcW w:w="1020" w:type="dxa"/>
            <w:vMerge w:val="restart"/>
            <w:tcBorders>
              <w:left w:val="single" w:color="000000" w:sz="4" w:space="0"/>
              <w:right w:val="single" w:color="000000" w:sz="4" w:space="0"/>
            </w:tcBorders>
            <w:shd w:val="clear" w:color="auto" w:fill="FFFFFF"/>
            <w:vAlign w:val="center"/>
          </w:tcPr>
          <w:p>
            <w:pPr>
              <w:widowControl/>
              <w:spacing w:line="240" w:lineRule="exact"/>
              <w:jc w:val="center"/>
              <w:rPr>
                <w:rFonts w:hint="eastAsia" w:ascii="方正仿宋_GBK" w:hAnsi="Microsoft YaHei" w:eastAsia="方正仿宋_GBK" w:cs="宋体"/>
                <w:color w:val="000000"/>
                <w:spacing w:val="-14"/>
                <w:kern w:val="0"/>
                <w:sz w:val="18"/>
                <w:szCs w:val="18"/>
              </w:rPr>
            </w:pPr>
            <w:r>
              <w:rPr>
                <w:rFonts w:hint="eastAsia" w:ascii="方正仿宋_GBK" w:hAnsi="Microsoft YaHei" w:eastAsia="方正仿宋_GBK" w:cs="宋体"/>
                <w:color w:val="000000"/>
                <w:spacing w:val="-14"/>
                <w:kern w:val="0"/>
                <w:sz w:val="18"/>
                <w:szCs w:val="18"/>
              </w:rPr>
              <w:t>行政处罚</w:t>
            </w: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color w:val="000000"/>
                <w:spacing w:val="-14"/>
                <w:kern w:val="0"/>
                <w:sz w:val="18"/>
                <w:szCs w:val="18"/>
              </w:rPr>
            </w:pPr>
            <w:r>
              <w:rPr>
                <w:rFonts w:hint="eastAsia" w:ascii="方正仿宋_GBK" w:hAnsi="Microsoft YaHei" w:eastAsia="方正仿宋_GBK" w:cs="宋体"/>
                <w:color w:val="000000"/>
                <w:spacing w:val="-14"/>
                <w:kern w:val="0"/>
                <w:sz w:val="18"/>
                <w:szCs w:val="18"/>
              </w:rPr>
              <w:t>较大数额罚款，是指对公民的违法行为处以</w:t>
            </w:r>
            <w:r>
              <w:rPr>
                <w:rFonts w:hint="eastAsia" w:ascii="Times New Roman" w:hAnsi="Times New Roman" w:eastAsia="方正仿宋_GBK" w:cs="宋体"/>
                <w:color w:val="000000"/>
                <w:spacing w:val="-14"/>
                <w:kern w:val="0"/>
                <w:sz w:val="18"/>
                <w:szCs w:val="18"/>
              </w:rPr>
              <w:t>5000</w:t>
            </w:r>
            <w:r>
              <w:rPr>
                <w:rFonts w:hint="eastAsia" w:ascii="方正仿宋_GBK" w:hAnsi="Microsoft YaHei" w:eastAsia="方正仿宋_GBK" w:cs="宋体"/>
                <w:color w:val="000000"/>
                <w:spacing w:val="-14"/>
                <w:kern w:val="0"/>
                <w:sz w:val="18"/>
                <w:szCs w:val="18"/>
              </w:rPr>
              <w:t>元以上罚款，对法人或者其他组织的违法行为处以</w:t>
            </w:r>
            <w:r>
              <w:rPr>
                <w:rFonts w:hint="eastAsia" w:ascii="Times New Roman" w:hAnsi="Times New Roman" w:eastAsia="方正仿宋_GBK" w:cs="宋体"/>
                <w:color w:val="000000"/>
                <w:spacing w:val="-14"/>
                <w:kern w:val="0"/>
                <w:sz w:val="18"/>
                <w:szCs w:val="18"/>
              </w:rPr>
              <w:t>50000</w:t>
            </w:r>
            <w:r>
              <w:rPr>
                <w:rFonts w:hint="eastAsia" w:ascii="方正仿宋_GBK" w:hAnsi="Microsoft YaHei" w:eastAsia="方正仿宋_GBK" w:cs="宋体"/>
                <w:color w:val="000000"/>
                <w:spacing w:val="-14"/>
                <w:kern w:val="0"/>
                <w:sz w:val="18"/>
                <w:szCs w:val="18"/>
              </w:rPr>
              <w:t>元以上</w:t>
            </w:r>
          </w:p>
          <w:p>
            <w:pPr>
              <w:widowControl/>
              <w:spacing w:line="240" w:lineRule="exact"/>
              <w:jc w:val="left"/>
              <w:rPr>
                <w:rFonts w:hint="eastAsia" w:ascii="方正仿宋_GBK" w:hAnsi="Microsoft YaHei" w:eastAsia="方正仿宋_GBK" w:cs="宋体"/>
                <w:color w:val="000000"/>
                <w:spacing w:val="-14"/>
                <w:kern w:val="0"/>
                <w:sz w:val="18"/>
                <w:szCs w:val="18"/>
              </w:rPr>
            </w:pPr>
            <w:r>
              <w:rPr>
                <w:rFonts w:hint="eastAsia" w:ascii="方正仿宋_GBK" w:hAnsi="Microsoft YaHei" w:eastAsia="方正仿宋_GBK" w:cs="宋体"/>
                <w:color w:val="000000"/>
                <w:spacing w:val="-14"/>
                <w:kern w:val="0"/>
                <w:sz w:val="18"/>
                <w:szCs w:val="18"/>
              </w:rPr>
              <w:t>罚款.</w:t>
            </w:r>
            <w:r>
              <w:rPr>
                <w:rFonts w:hint="eastAsia"/>
              </w:rPr>
              <w:t xml:space="preserve"> </w:t>
            </w:r>
            <w:r>
              <w:rPr>
                <w:rFonts w:hint="eastAsia" w:ascii="方正仿宋_GBK" w:hAnsi="Microsoft YaHei" w:eastAsia="方正仿宋_GBK" w:cs="宋体"/>
                <w:color w:val="000000"/>
                <w:spacing w:val="-14"/>
                <w:kern w:val="0"/>
                <w:sz w:val="18"/>
                <w:szCs w:val="18"/>
              </w:rPr>
              <w:t>没收较大数额违法所得、没收较大价值非法财物，是指对公民没收违法所得数额、没收非法财物价值达</w:t>
            </w:r>
            <w:r>
              <w:rPr>
                <w:rFonts w:hint="eastAsia" w:ascii="Times New Roman" w:hAnsi="Times New Roman" w:eastAsia="方正仿宋_GBK" w:cs="宋体"/>
                <w:color w:val="000000"/>
                <w:spacing w:val="-14"/>
                <w:kern w:val="0"/>
                <w:sz w:val="18"/>
                <w:szCs w:val="18"/>
              </w:rPr>
              <w:t>5000</w:t>
            </w:r>
            <w:r>
              <w:rPr>
                <w:rFonts w:hint="eastAsia" w:ascii="方正仿宋_GBK" w:hAnsi="Microsoft YaHei" w:eastAsia="方正仿宋_GBK" w:cs="宋体"/>
                <w:color w:val="000000"/>
                <w:spacing w:val="-14"/>
                <w:kern w:val="0"/>
                <w:sz w:val="18"/>
                <w:szCs w:val="18"/>
              </w:rPr>
              <w:t>元以上，对法人或者其他组织没收违法所得数额、没收非法财物价值达</w:t>
            </w:r>
            <w:r>
              <w:rPr>
                <w:rFonts w:hint="eastAsia" w:ascii="Times New Roman" w:hAnsi="Times New Roman" w:eastAsia="方正仿宋_GBK" w:cs="宋体"/>
                <w:color w:val="000000"/>
                <w:spacing w:val="-14"/>
                <w:kern w:val="0"/>
                <w:sz w:val="18"/>
                <w:szCs w:val="18"/>
              </w:rPr>
              <w:t>50000</w:t>
            </w:r>
            <w:r>
              <w:rPr>
                <w:rFonts w:hint="eastAsia" w:ascii="方正仿宋_GBK" w:hAnsi="Microsoft YaHei" w:eastAsia="方正仿宋_GBK" w:cs="宋体"/>
                <w:color w:val="000000"/>
                <w:spacing w:val="-14"/>
                <w:kern w:val="0"/>
                <w:sz w:val="18"/>
                <w:szCs w:val="18"/>
              </w:rPr>
              <w:t>元以上。</w:t>
            </w:r>
          </w:p>
        </w:tc>
        <w:tc>
          <w:tcPr>
            <w:tcW w:w="3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color w:val="000000"/>
                <w:spacing w:val="-14"/>
                <w:kern w:val="0"/>
                <w:sz w:val="18"/>
                <w:szCs w:val="18"/>
              </w:rPr>
            </w:pPr>
            <w:r>
              <w:rPr>
                <w:rFonts w:hint="eastAsia" w:ascii="方正仿宋_GBK" w:hAnsi="Microsoft YaHei" w:eastAsia="方正仿宋_GBK" w:cs="宋体"/>
                <w:color w:val="000000"/>
                <w:spacing w:val="-14"/>
                <w:kern w:val="0"/>
                <w:sz w:val="18"/>
                <w:szCs w:val="18"/>
              </w:rPr>
              <w:t>《调查终结报告》《陈述申辩笔录》《行政处罚决定书（代拟稿）》和相关证据资料</w:t>
            </w:r>
          </w:p>
        </w:tc>
        <w:tc>
          <w:tcPr>
            <w:tcW w:w="5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color w:val="000000"/>
                <w:spacing w:val="-14"/>
                <w:kern w:val="0"/>
                <w:sz w:val="18"/>
                <w:szCs w:val="18"/>
              </w:rPr>
            </w:pPr>
            <w:r>
              <w:rPr>
                <w:rFonts w:hint="eastAsia" w:ascii="方正仿宋_GBK" w:hAnsi="Microsoft YaHei" w:eastAsia="方正仿宋_GBK" w:cs="宋体"/>
                <w:color w:val="000000"/>
                <w:spacing w:val="-14"/>
                <w:kern w:val="0"/>
                <w:sz w:val="18"/>
                <w:szCs w:val="18"/>
              </w:rPr>
              <w:t>执法主体是否合法，执法人员是否具备执法资格；主要事实是否清楚，证据是否确凿、充分；适用依据是否准确；处罚裁量是否适当；程序是否合法，是否充分保障行政相对人权利。</w:t>
            </w:r>
          </w:p>
        </w:tc>
      </w:tr>
      <w:tr>
        <w:tblPrEx>
          <w:shd w:val="clear" w:color="auto" w:fill="FFFFFF"/>
          <w:tblCellMar>
            <w:top w:w="0" w:type="dxa"/>
            <w:left w:w="0" w:type="dxa"/>
            <w:bottom w:w="0" w:type="dxa"/>
            <w:right w:w="0" w:type="dxa"/>
          </w:tblCellMar>
        </w:tblPrEx>
        <w:trPr>
          <w:trHeight w:val="662"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hint="eastAsia" w:ascii="方正仿宋_GBK" w:hAnsi="Microsoft YaHei" w:eastAsia="方正仿宋_GBK" w:cs="宋体"/>
                <w:color w:val="000000"/>
                <w:spacing w:val="-14"/>
                <w:kern w:val="0"/>
                <w:sz w:val="18"/>
                <w:szCs w:val="18"/>
              </w:rPr>
            </w:pPr>
            <w:r>
              <w:rPr>
                <w:rFonts w:hint="eastAsia" w:ascii="Times New Roman" w:hAnsi="Times New Roman" w:eastAsia="方正仿宋_GBK" w:cs="宋体"/>
                <w:color w:val="000000"/>
                <w:spacing w:val="-14"/>
                <w:kern w:val="0"/>
                <w:sz w:val="18"/>
                <w:szCs w:val="18"/>
              </w:rPr>
              <w:t>2</w:t>
            </w:r>
          </w:p>
        </w:tc>
        <w:tc>
          <w:tcPr>
            <w:tcW w:w="0" w:type="auto"/>
            <w:vMerge w:val="continue"/>
            <w:tcBorders>
              <w:left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color w:val="000000"/>
                <w:spacing w:val="-14"/>
                <w:kern w:val="0"/>
                <w:sz w:val="18"/>
                <w:szCs w:val="18"/>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color w:val="000000"/>
                <w:spacing w:val="-14"/>
                <w:kern w:val="0"/>
                <w:sz w:val="18"/>
                <w:szCs w:val="18"/>
              </w:rPr>
            </w:pPr>
            <w:r>
              <w:rPr>
                <w:rFonts w:hint="eastAsia" w:ascii="方正仿宋_GBK" w:hAnsi="Microsoft YaHei" w:eastAsia="方正仿宋_GBK" w:cs="宋体"/>
                <w:color w:val="000000"/>
                <w:spacing w:val="-14"/>
                <w:kern w:val="0"/>
                <w:sz w:val="18"/>
                <w:szCs w:val="18"/>
              </w:rPr>
              <w:t>拟做出责令停产、停业决定的；</w:t>
            </w:r>
          </w:p>
        </w:tc>
        <w:tc>
          <w:tcPr>
            <w:tcW w:w="3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color w:val="000000"/>
                <w:spacing w:val="-14"/>
                <w:kern w:val="0"/>
                <w:sz w:val="18"/>
                <w:szCs w:val="18"/>
              </w:rPr>
            </w:pPr>
            <w:r>
              <w:rPr>
                <w:rFonts w:hint="eastAsia" w:ascii="方正仿宋_GBK" w:hAnsi="Microsoft YaHei" w:eastAsia="方正仿宋_GBK" w:cs="宋体"/>
                <w:color w:val="000000"/>
                <w:spacing w:val="-14"/>
                <w:kern w:val="0"/>
                <w:sz w:val="18"/>
                <w:szCs w:val="18"/>
              </w:rPr>
              <w:t>《调查终结报告》《陈述申辩笔录》《听证笔录》《行政处罚决定书（代拟稿）》和相关证据资料</w:t>
            </w:r>
          </w:p>
        </w:tc>
        <w:tc>
          <w:tcPr>
            <w:tcW w:w="5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color w:val="000000"/>
                <w:spacing w:val="-14"/>
                <w:kern w:val="0"/>
                <w:sz w:val="18"/>
                <w:szCs w:val="18"/>
              </w:rPr>
            </w:pPr>
            <w:r>
              <w:rPr>
                <w:rFonts w:hint="eastAsia" w:ascii="方正仿宋_GBK" w:hAnsi="Microsoft YaHei" w:eastAsia="方正仿宋_GBK" w:cs="宋体"/>
                <w:color w:val="000000"/>
                <w:spacing w:val="-14"/>
                <w:kern w:val="0"/>
                <w:sz w:val="18"/>
                <w:szCs w:val="18"/>
              </w:rPr>
              <w:t>执法主体是否合法，执法人员是否具备执法资格；主要事实是否清楚，证据是否确凿、充分；适用依据是否准确；裁量是否适当；程序是否合法，是否充分保障行政相对人权利。</w:t>
            </w:r>
          </w:p>
        </w:tc>
      </w:tr>
      <w:tr>
        <w:tblPrEx>
          <w:shd w:val="clear" w:color="auto" w:fill="FFFFFF"/>
          <w:tblCellMar>
            <w:top w:w="0" w:type="dxa"/>
            <w:left w:w="0" w:type="dxa"/>
            <w:bottom w:w="0" w:type="dxa"/>
            <w:right w:w="0" w:type="dxa"/>
          </w:tblCellMar>
        </w:tblPrEx>
        <w:trPr>
          <w:trHeight w:val="644"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hint="eastAsia" w:ascii="方正仿宋_GBK" w:hAnsi="Microsoft YaHei" w:eastAsia="方正仿宋_GBK" w:cs="宋体"/>
                <w:color w:val="000000"/>
                <w:spacing w:val="-14"/>
                <w:kern w:val="0"/>
                <w:sz w:val="18"/>
                <w:szCs w:val="18"/>
              </w:rPr>
            </w:pPr>
            <w:r>
              <w:rPr>
                <w:rFonts w:hint="eastAsia" w:ascii="Times New Roman" w:hAnsi="Times New Roman" w:eastAsia="方正仿宋_GBK" w:cs="宋体"/>
                <w:color w:val="000000"/>
                <w:spacing w:val="-14"/>
                <w:kern w:val="0"/>
                <w:sz w:val="18"/>
                <w:szCs w:val="18"/>
              </w:rPr>
              <w:t>3</w:t>
            </w:r>
          </w:p>
        </w:tc>
        <w:tc>
          <w:tcPr>
            <w:tcW w:w="0" w:type="auto"/>
            <w:vMerge w:val="continue"/>
            <w:tcBorders>
              <w:left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color w:val="000000"/>
                <w:spacing w:val="-14"/>
                <w:kern w:val="0"/>
                <w:sz w:val="18"/>
                <w:szCs w:val="18"/>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color w:val="000000"/>
                <w:spacing w:val="-14"/>
                <w:kern w:val="0"/>
                <w:sz w:val="18"/>
                <w:szCs w:val="18"/>
              </w:rPr>
            </w:pPr>
            <w:r>
              <w:rPr>
                <w:rFonts w:hint="eastAsia" w:ascii="方正仿宋_GBK" w:hAnsi="Microsoft YaHei" w:eastAsia="方正仿宋_GBK" w:cs="宋体"/>
                <w:color w:val="000000"/>
                <w:spacing w:val="-14"/>
                <w:kern w:val="0"/>
                <w:sz w:val="18"/>
                <w:szCs w:val="18"/>
              </w:rPr>
              <w:t>拟做出给予暂扣或者吊销许可证决定的</w:t>
            </w:r>
          </w:p>
        </w:tc>
        <w:tc>
          <w:tcPr>
            <w:tcW w:w="3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color w:val="000000"/>
                <w:spacing w:val="-14"/>
                <w:kern w:val="0"/>
                <w:sz w:val="18"/>
                <w:szCs w:val="18"/>
              </w:rPr>
            </w:pPr>
            <w:r>
              <w:rPr>
                <w:rFonts w:hint="eastAsia" w:ascii="方正仿宋_GBK" w:hAnsi="Microsoft YaHei" w:eastAsia="方正仿宋_GBK" w:cs="宋体"/>
                <w:color w:val="000000"/>
                <w:spacing w:val="-14"/>
                <w:kern w:val="0"/>
                <w:sz w:val="18"/>
                <w:szCs w:val="18"/>
              </w:rPr>
              <w:t>《调查终结报告》《陈述申辩笔录》《听证笔录》《行政处罚决定书（代拟稿）》和相关证据资料</w:t>
            </w:r>
          </w:p>
        </w:tc>
        <w:tc>
          <w:tcPr>
            <w:tcW w:w="5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color w:val="000000"/>
                <w:spacing w:val="-14"/>
                <w:kern w:val="0"/>
                <w:sz w:val="18"/>
                <w:szCs w:val="18"/>
              </w:rPr>
            </w:pPr>
            <w:r>
              <w:rPr>
                <w:rFonts w:hint="eastAsia" w:ascii="方正仿宋_GBK" w:hAnsi="Microsoft YaHei" w:eastAsia="方正仿宋_GBK" w:cs="宋体"/>
                <w:color w:val="000000"/>
                <w:spacing w:val="-14"/>
                <w:kern w:val="0"/>
                <w:sz w:val="18"/>
                <w:szCs w:val="18"/>
              </w:rPr>
              <w:t>执法主体是否合法，执法人员是否具备执法资格；主要事实是否清楚，证据是否确凿、充分；适用依据是否准确；裁量是否适当；程序是否合法，是否充分保障行政相对人权利。</w:t>
            </w:r>
          </w:p>
        </w:tc>
      </w:tr>
      <w:tr>
        <w:tblPrEx>
          <w:shd w:val="clear" w:color="auto" w:fill="FFFFFF"/>
          <w:tblCellMar>
            <w:top w:w="0" w:type="dxa"/>
            <w:left w:w="0" w:type="dxa"/>
            <w:bottom w:w="0" w:type="dxa"/>
            <w:right w:w="0" w:type="dxa"/>
          </w:tblCellMar>
        </w:tblPrEx>
        <w:trPr>
          <w:trHeight w:val="824"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hint="eastAsia" w:ascii="方正仿宋_GBK" w:hAnsi="Microsoft YaHei" w:eastAsia="方正仿宋_GBK" w:cs="宋体"/>
                <w:color w:val="000000"/>
                <w:spacing w:val="-14"/>
                <w:kern w:val="0"/>
                <w:sz w:val="18"/>
                <w:szCs w:val="18"/>
              </w:rPr>
            </w:pPr>
            <w:r>
              <w:rPr>
                <w:rFonts w:hint="eastAsia" w:ascii="Times New Roman" w:hAnsi="Times New Roman" w:eastAsia="方正仿宋_GBK" w:cs="宋体"/>
                <w:color w:val="000000"/>
                <w:spacing w:val="-14"/>
                <w:kern w:val="0"/>
                <w:sz w:val="18"/>
                <w:szCs w:val="18"/>
              </w:rPr>
              <w:t>4</w:t>
            </w:r>
          </w:p>
        </w:tc>
        <w:tc>
          <w:tcPr>
            <w:tcW w:w="0" w:type="auto"/>
            <w:vMerge w:val="continue"/>
            <w:tcBorders>
              <w:left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color w:val="000000"/>
                <w:spacing w:val="-14"/>
                <w:kern w:val="0"/>
                <w:sz w:val="18"/>
                <w:szCs w:val="18"/>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color w:val="000000"/>
                <w:spacing w:val="-14"/>
                <w:kern w:val="0"/>
                <w:sz w:val="18"/>
                <w:szCs w:val="18"/>
              </w:rPr>
            </w:pPr>
            <w:r>
              <w:rPr>
                <w:rFonts w:hint="eastAsia" w:ascii="方正仿宋_GBK" w:hAnsi="Microsoft YaHei" w:eastAsia="方正仿宋_GBK" w:cs="宋体"/>
                <w:color w:val="000000"/>
                <w:spacing w:val="-14"/>
                <w:kern w:val="0"/>
                <w:sz w:val="18"/>
                <w:szCs w:val="18"/>
              </w:rPr>
              <w:t>超出自由裁量权标准，拟作出减轻或加重处罚的；</w:t>
            </w:r>
          </w:p>
        </w:tc>
        <w:tc>
          <w:tcPr>
            <w:tcW w:w="3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color w:val="000000"/>
                <w:spacing w:val="-14"/>
                <w:kern w:val="0"/>
                <w:sz w:val="18"/>
                <w:szCs w:val="18"/>
              </w:rPr>
            </w:pPr>
            <w:r>
              <w:rPr>
                <w:rFonts w:hint="eastAsia" w:ascii="方正仿宋_GBK" w:hAnsi="Microsoft YaHei" w:eastAsia="方正仿宋_GBK" w:cs="宋体"/>
                <w:color w:val="000000"/>
                <w:spacing w:val="-14"/>
                <w:kern w:val="0"/>
                <w:sz w:val="18"/>
                <w:szCs w:val="18"/>
              </w:rPr>
              <w:t>《调查终结报告》《陈述申辩笔录》《行政处罚决定书（代拟稿）》、作出减轻或加重处罚的说明；和相关证据资料</w:t>
            </w:r>
          </w:p>
        </w:tc>
        <w:tc>
          <w:tcPr>
            <w:tcW w:w="5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color w:val="000000"/>
                <w:spacing w:val="-14"/>
                <w:kern w:val="0"/>
                <w:sz w:val="18"/>
                <w:szCs w:val="18"/>
              </w:rPr>
            </w:pPr>
            <w:r>
              <w:rPr>
                <w:rFonts w:hint="eastAsia" w:ascii="方正仿宋_GBK" w:hAnsi="Microsoft YaHei" w:eastAsia="方正仿宋_GBK" w:cs="宋体"/>
                <w:color w:val="000000"/>
                <w:spacing w:val="-14"/>
                <w:kern w:val="0"/>
                <w:sz w:val="18"/>
                <w:szCs w:val="18"/>
              </w:rPr>
              <w:t>执法主体是否合法，执法人员是否具备执法资格；主要事实是否清楚，证据是否确凿、充分；适用依据是否准确；作出减轻或加重处罚的事实、证据、依据是否清楚、确凿、适当；程序是否合法，是否充分保障行政相对人权利。</w:t>
            </w:r>
          </w:p>
        </w:tc>
      </w:tr>
      <w:tr>
        <w:tblPrEx>
          <w:shd w:val="clear" w:color="auto" w:fill="FFFFFF"/>
          <w:tblCellMar>
            <w:top w:w="0" w:type="dxa"/>
            <w:left w:w="0" w:type="dxa"/>
            <w:bottom w:w="0" w:type="dxa"/>
            <w:right w:w="0" w:type="dxa"/>
          </w:tblCellMar>
        </w:tblPrEx>
        <w:trPr>
          <w:trHeight w:val="836"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hint="eastAsia" w:ascii="方正仿宋_GBK" w:hAnsi="Microsoft YaHei" w:eastAsia="方正仿宋_GBK" w:cs="宋体"/>
                <w:color w:val="000000"/>
                <w:spacing w:val="-14"/>
                <w:kern w:val="0"/>
                <w:sz w:val="18"/>
                <w:szCs w:val="18"/>
              </w:rPr>
            </w:pPr>
            <w:r>
              <w:rPr>
                <w:rFonts w:hint="eastAsia" w:ascii="Times New Roman" w:hAnsi="Times New Roman" w:eastAsia="方正仿宋_GBK" w:cs="宋体"/>
                <w:color w:val="000000"/>
                <w:spacing w:val="-14"/>
                <w:kern w:val="0"/>
                <w:sz w:val="18"/>
                <w:szCs w:val="18"/>
              </w:rPr>
              <w:t>5</w:t>
            </w:r>
          </w:p>
        </w:tc>
        <w:tc>
          <w:tcPr>
            <w:tcW w:w="0" w:type="auto"/>
            <w:vMerge w:val="continue"/>
            <w:tcBorders>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color w:val="000000"/>
                <w:spacing w:val="-14"/>
                <w:kern w:val="0"/>
                <w:sz w:val="18"/>
                <w:szCs w:val="18"/>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color w:val="000000"/>
                <w:spacing w:val="-14"/>
                <w:kern w:val="0"/>
                <w:sz w:val="18"/>
                <w:szCs w:val="18"/>
              </w:rPr>
            </w:pPr>
            <w:r>
              <w:rPr>
                <w:rFonts w:hint="eastAsia" w:ascii="方正仿宋_GBK" w:hAnsi="Microsoft YaHei" w:eastAsia="方正仿宋_GBK" w:cs="宋体"/>
                <w:spacing w:val="-14"/>
                <w:kern w:val="0"/>
                <w:sz w:val="18"/>
                <w:szCs w:val="18"/>
              </w:rPr>
              <w:t>案件承办机构负责人认为应当提请法制审核的其他重大、复杂、疑难的行政处罚决定</w:t>
            </w:r>
            <w:r>
              <w:rPr>
                <w:rFonts w:hint="eastAsia" w:ascii="方正仿宋_GBK" w:hAnsi="Microsoft YaHei" w:eastAsia="方正仿宋_GBK" w:cs="宋体"/>
                <w:color w:val="000000"/>
                <w:spacing w:val="-14"/>
                <w:kern w:val="0"/>
                <w:sz w:val="18"/>
                <w:szCs w:val="18"/>
              </w:rPr>
              <w:t>。</w:t>
            </w:r>
          </w:p>
        </w:tc>
        <w:tc>
          <w:tcPr>
            <w:tcW w:w="3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color w:val="000000"/>
                <w:spacing w:val="-14"/>
                <w:kern w:val="0"/>
                <w:sz w:val="18"/>
                <w:szCs w:val="18"/>
              </w:rPr>
            </w:pPr>
            <w:r>
              <w:rPr>
                <w:rFonts w:hint="eastAsia" w:ascii="方正仿宋_GBK" w:hAnsi="Microsoft YaHei" w:eastAsia="方正仿宋_GBK" w:cs="宋体"/>
                <w:color w:val="000000"/>
                <w:spacing w:val="-14"/>
                <w:kern w:val="0"/>
                <w:sz w:val="18"/>
                <w:szCs w:val="18"/>
              </w:rPr>
              <w:t>《调查终结报告》《陈述申辩笔录》《行政处罚决定书（代拟稿）》情况说明和相关证据资料</w:t>
            </w:r>
          </w:p>
        </w:tc>
        <w:tc>
          <w:tcPr>
            <w:tcW w:w="5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color w:val="000000"/>
                <w:spacing w:val="-14"/>
                <w:kern w:val="0"/>
                <w:sz w:val="18"/>
                <w:szCs w:val="18"/>
              </w:rPr>
            </w:pPr>
            <w:r>
              <w:rPr>
                <w:rFonts w:hint="eastAsia" w:ascii="方正仿宋_GBK" w:hAnsi="Microsoft YaHei" w:eastAsia="方正仿宋_GBK" w:cs="宋体"/>
                <w:color w:val="000000"/>
                <w:spacing w:val="-14"/>
                <w:kern w:val="0"/>
                <w:sz w:val="18"/>
                <w:szCs w:val="18"/>
              </w:rPr>
              <w:t>执法主体是否合法，执法人员是否具备执法资格；主要事实是否清楚，证据是否确凿、充分；适用依据是否准确；处罚裁量是否适当；程序是否合法，是否充分保障行政相对人权利。</w:t>
            </w:r>
          </w:p>
        </w:tc>
      </w:tr>
      <w:tr>
        <w:tblPrEx>
          <w:shd w:val="clear" w:color="auto" w:fill="FFFFFF"/>
          <w:tblCellMar>
            <w:top w:w="0" w:type="dxa"/>
            <w:left w:w="0" w:type="dxa"/>
            <w:bottom w:w="0" w:type="dxa"/>
            <w:right w:w="0" w:type="dxa"/>
          </w:tblCellMar>
        </w:tblPrEx>
        <w:trPr>
          <w:trHeight w:val="348"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hint="eastAsia" w:ascii="方正仿宋_GBK" w:hAnsi="Microsoft YaHei" w:eastAsia="方正仿宋_GBK" w:cs="宋体"/>
                <w:spacing w:val="-14"/>
                <w:kern w:val="0"/>
                <w:sz w:val="18"/>
                <w:szCs w:val="18"/>
              </w:rPr>
            </w:pPr>
            <w:r>
              <w:rPr>
                <w:rFonts w:hint="eastAsia" w:ascii="Times New Roman" w:hAnsi="Times New Roman" w:eastAsia="方正仿宋_GBK" w:cs="宋体"/>
                <w:spacing w:val="-14"/>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spacing w:val="-14"/>
                <w:kern w:val="0"/>
                <w:sz w:val="18"/>
                <w:szCs w:val="18"/>
              </w:rPr>
            </w:pPr>
            <w:r>
              <w:rPr>
                <w:rFonts w:hint="eastAsia" w:ascii="方正仿宋_GBK" w:hAnsi="Microsoft YaHei" w:eastAsia="方正仿宋_GBK" w:cs="宋体"/>
                <w:spacing w:val="-14"/>
                <w:kern w:val="0"/>
                <w:sz w:val="18"/>
                <w:szCs w:val="18"/>
              </w:rPr>
              <w:t>行政许可</w:t>
            </w: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spacing w:val="-14"/>
                <w:kern w:val="0"/>
                <w:sz w:val="18"/>
                <w:szCs w:val="18"/>
              </w:rPr>
            </w:pPr>
            <w:r>
              <w:rPr>
                <w:rFonts w:hint="eastAsia" w:ascii="方正仿宋_GBK" w:hAnsi="Microsoft YaHei" w:eastAsia="方正仿宋_GBK" w:cs="宋体"/>
                <w:spacing w:val="-14"/>
                <w:kern w:val="0"/>
                <w:sz w:val="18"/>
                <w:szCs w:val="18"/>
              </w:rPr>
              <w:t>拟作出撤回或者撤销许可决定的</w:t>
            </w:r>
          </w:p>
        </w:tc>
        <w:tc>
          <w:tcPr>
            <w:tcW w:w="3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spacing w:val="-14"/>
                <w:kern w:val="0"/>
                <w:sz w:val="18"/>
                <w:szCs w:val="18"/>
              </w:rPr>
            </w:pPr>
            <w:r>
              <w:rPr>
                <w:rFonts w:hint="eastAsia" w:ascii="方正仿宋_GBK" w:hAnsi="Microsoft YaHei" w:eastAsia="方正仿宋_GBK" w:cs="宋体"/>
                <w:spacing w:val="-14"/>
                <w:kern w:val="0"/>
                <w:sz w:val="18"/>
                <w:szCs w:val="18"/>
              </w:rPr>
              <w:t>拟作出的撤回或者撤销行政许可决定书草案</w:t>
            </w:r>
          </w:p>
        </w:tc>
        <w:tc>
          <w:tcPr>
            <w:tcW w:w="5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spacing w:val="-14"/>
                <w:kern w:val="0"/>
                <w:sz w:val="18"/>
                <w:szCs w:val="18"/>
              </w:rPr>
            </w:pPr>
            <w:r>
              <w:rPr>
                <w:rFonts w:hint="eastAsia" w:ascii="方正仿宋_GBK" w:hAnsi="Microsoft YaHei" w:eastAsia="方正仿宋_GBK" w:cs="宋体"/>
                <w:spacing w:val="-14"/>
                <w:kern w:val="0"/>
                <w:sz w:val="18"/>
                <w:szCs w:val="18"/>
              </w:rPr>
              <w:t>审核撤回或者撤销行政许可决定的依据是否准确，程序是否合法</w:t>
            </w:r>
          </w:p>
        </w:tc>
      </w:tr>
      <w:tr>
        <w:tblPrEx>
          <w:shd w:val="clear" w:color="auto" w:fill="FFFFFF"/>
          <w:tblCellMar>
            <w:top w:w="0" w:type="dxa"/>
            <w:left w:w="0" w:type="dxa"/>
            <w:bottom w:w="0" w:type="dxa"/>
            <w:right w:w="0" w:type="dxa"/>
          </w:tblCellMar>
        </w:tblPrEx>
        <w:trPr>
          <w:trHeight w:val="227"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hint="eastAsia" w:ascii="方正仿宋_GBK" w:hAnsi="Microsoft YaHei" w:eastAsia="方正仿宋_GBK" w:cs="宋体"/>
                <w:spacing w:val="-14"/>
                <w:kern w:val="0"/>
                <w:sz w:val="18"/>
                <w:szCs w:val="18"/>
              </w:rPr>
            </w:pPr>
            <w:r>
              <w:rPr>
                <w:rFonts w:hint="eastAsia" w:ascii="Times New Roman" w:hAnsi="Times New Roman" w:eastAsia="方正仿宋_GBK" w:cs="宋体"/>
                <w:spacing w:val="-14"/>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spacing w:val="-14"/>
                <w:kern w:val="0"/>
                <w:sz w:val="18"/>
                <w:szCs w:val="18"/>
              </w:rPr>
            </w:pPr>
            <w:r>
              <w:rPr>
                <w:rFonts w:hint="eastAsia" w:ascii="方正仿宋_GBK" w:hAnsi="Microsoft YaHei" w:eastAsia="方正仿宋_GBK" w:cs="宋体"/>
                <w:spacing w:val="-14"/>
                <w:kern w:val="0"/>
                <w:sz w:val="18"/>
                <w:szCs w:val="18"/>
              </w:rPr>
              <w:t>行政许可</w:t>
            </w: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spacing w:val="-14"/>
                <w:kern w:val="0"/>
                <w:sz w:val="18"/>
                <w:szCs w:val="18"/>
              </w:rPr>
            </w:pPr>
            <w:r>
              <w:rPr>
                <w:rFonts w:hint="eastAsia" w:ascii="方正仿宋_GBK" w:hAnsi="Microsoft YaHei" w:eastAsia="方正仿宋_GBK" w:cs="宋体"/>
                <w:spacing w:val="-14"/>
                <w:kern w:val="0"/>
                <w:sz w:val="18"/>
                <w:szCs w:val="18"/>
              </w:rPr>
              <w:t>拟实施听证的行政许可决定的</w:t>
            </w:r>
          </w:p>
        </w:tc>
        <w:tc>
          <w:tcPr>
            <w:tcW w:w="3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spacing w:val="-14"/>
                <w:kern w:val="0"/>
                <w:sz w:val="18"/>
                <w:szCs w:val="18"/>
              </w:rPr>
            </w:pPr>
            <w:r>
              <w:rPr>
                <w:rFonts w:hint="eastAsia" w:ascii="方正仿宋_GBK" w:hAnsi="Microsoft YaHei" w:eastAsia="方正仿宋_GBK" w:cs="宋体"/>
                <w:spacing w:val="-14"/>
                <w:kern w:val="0"/>
                <w:sz w:val="18"/>
                <w:szCs w:val="18"/>
              </w:rPr>
              <w:t>组织听证的申请材料</w:t>
            </w:r>
          </w:p>
        </w:tc>
        <w:tc>
          <w:tcPr>
            <w:tcW w:w="5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spacing w:val="-14"/>
                <w:kern w:val="0"/>
                <w:sz w:val="18"/>
                <w:szCs w:val="18"/>
              </w:rPr>
            </w:pPr>
            <w:r>
              <w:rPr>
                <w:rFonts w:hint="eastAsia" w:ascii="方正仿宋_GBK" w:hAnsi="Microsoft YaHei" w:eastAsia="方正仿宋_GBK" w:cs="宋体"/>
                <w:spacing w:val="-14"/>
                <w:kern w:val="0"/>
                <w:sz w:val="18"/>
                <w:szCs w:val="18"/>
              </w:rPr>
              <w:t>听证申请材料的合法性</w:t>
            </w:r>
          </w:p>
        </w:tc>
      </w:tr>
      <w:tr>
        <w:tblPrEx>
          <w:shd w:val="clear" w:color="auto" w:fill="FFFFFF"/>
          <w:tblCellMar>
            <w:top w:w="0" w:type="dxa"/>
            <w:left w:w="0" w:type="dxa"/>
            <w:bottom w:w="0" w:type="dxa"/>
            <w:right w:w="0" w:type="dxa"/>
          </w:tblCellMar>
        </w:tblPrEx>
        <w:trPr>
          <w:trHeight w:val="564"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hint="eastAsia" w:ascii="方正仿宋_GBK" w:hAnsi="Microsoft YaHei" w:eastAsia="方正仿宋_GBK" w:cs="宋体"/>
                <w:spacing w:val="-14"/>
                <w:kern w:val="0"/>
                <w:sz w:val="18"/>
                <w:szCs w:val="18"/>
              </w:rPr>
            </w:pPr>
            <w:r>
              <w:rPr>
                <w:rFonts w:hint="eastAsia" w:ascii="Times New Roman" w:hAnsi="Times New Roman" w:eastAsia="方正仿宋_GBK" w:cs="宋体"/>
                <w:spacing w:val="-14"/>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spacing w:val="-14"/>
                <w:kern w:val="0"/>
                <w:sz w:val="18"/>
                <w:szCs w:val="18"/>
              </w:rPr>
            </w:pPr>
            <w:r>
              <w:rPr>
                <w:rFonts w:hint="eastAsia" w:ascii="方正仿宋_GBK" w:hAnsi="Microsoft YaHei" w:eastAsia="方正仿宋_GBK" w:cs="宋体"/>
                <w:spacing w:val="-14"/>
                <w:kern w:val="0"/>
                <w:sz w:val="18"/>
                <w:szCs w:val="18"/>
              </w:rPr>
              <w:t>行政强制</w:t>
            </w: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spacing w:val="-14"/>
                <w:kern w:val="0"/>
                <w:sz w:val="18"/>
                <w:szCs w:val="18"/>
              </w:rPr>
            </w:pPr>
            <w:r>
              <w:rPr>
                <w:rFonts w:hint="eastAsia" w:ascii="方正仿宋_GBK" w:hAnsi="Microsoft YaHei" w:eastAsia="方正仿宋_GBK" w:cs="宋体"/>
                <w:spacing w:val="-14"/>
                <w:kern w:val="0"/>
                <w:sz w:val="18"/>
                <w:szCs w:val="18"/>
              </w:rPr>
              <w:t>拟作出查封经营场所使经营主体的生产经营活动、工作难以正常进行的行政强制决定)</w:t>
            </w:r>
          </w:p>
        </w:tc>
        <w:tc>
          <w:tcPr>
            <w:tcW w:w="3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spacing w:val="-14"/>
                <w:kern w:val="0"/>
                <w:sz w:val="18"/>
                <w:szCs w:val="18"/>
              </w:rPr>
            </w:pPr>
            <w:r>
              <w:rPr>
                <w:rFonts w:hint="eastAsia" w:ascii="方正仿宋_GBK" w:hAnsi="Microsoft YaHei" w:eastAsia="方正仿宋_GBK" w:cs="宋体"/>
                <w:spacing w:val="-14"/>
                <w:kern w:val="0"/>
                <w:sz w:val="18"/>
                <w:szCs w:val="18"/>
              </w:rPr>
              <w:t>拟作出的对当事人财物查封、扣押决定书草案，</w:t>
            </w:r>
          </w:p>
        </w:tc>
        <w:tc>
          <w:tcPr>
            <w:tcW w:w="5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spacing w:val="-14"/>
                <w:kern w:val="0"/>
                <w:sz w:val="18"/>
                <w:szCs w:val="18"/>
              </w:rPr>
            </w:pPr>
            <w:r>
              <w:rPr>
                <w:rFonts w:hint="eastAsia" w:ascii="方正仿宋_GBK" w:hAnsi="Microsoft YaHei" w:eastAsia="方正仿宋_GBK" w:cs="宋体"/>
                <w:spacing w:val="-14"/>
                <w:kern w:val="0"/>
                <w:sz w:val="18"/>
                <w:szCs w:val="18"/>
              </w:rPr>
              <w:t>主要事实是否清楚、证据是否确凿、充分、适用法律法规规章是否准确、程序是否合法</w:t>
            </w:r>
          </w:p>
        </w:tc>
      </w:tr>
      <w:tr>
        <w:tblPrEx>
          <w:shd w:val="clear" w:color="auto" w:fill="FFFFFF"/>
          <w:tblCellMar>
            <w:top w:w="0" w:type="dxa"/>
            <w:left w:w="0" w:type="dxa"/>
            <w:bottom w:w="0" w:type="dxa"/>
            <w:right w:w="0" w:type="dxa"/>
          </w:tblCellMar>
        </w:tblPrEx>
        <w:trPr>
          <w:trHeight w:val="707"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hint="eastAsia" w:ascii="方正仿宋_GBK" w:hAnsi="Microsoft YaHei" w:eastAsia="方正仿宋_GBK" w:cs="宋体"/>
                <w:spacing w:val="-14"/>
                <w:kern w:val="0"/>
                <w:sz w:val="18"/>
                <w:szCs w:val="18"/>
              </w:rPr>
            </w:pPr>
            <w:r>
              <w:rPr>
                <w:rFonts w:hint="eastAsia" w:ascii="Times New Roman" w:hAnsi="Times New Roman" w:eastAsia="方正仿宋_GBK" w:cs="宋体"/>
                <w:spacing w:val="-14"/>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spacing w:val="-14"/>
                <w:kern w:val="0"/>
                <w:sz w:val="18"/>
                <w:szCs w:val="18"/>
              </w:rPr>
            </w:pPr>
            <w:r>
              <w:rPr>
                <w:rFonts w:hint="eastAsia" w:ascii="方正仿宋_GBK" w:hAnsi="Microsoft YaHei" w:eastAsia="方正仿宋_GBK" w:cs="宋体"/>
                <w:spacing w:val="-14"/>
                <w:kern w:val="0"/>
                <w:sz w:val="18"/>
                <w:szCs w:val="18"/>
              </w:rPr>
              <w:t>行政强制</w:t>
            </w: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spacing w:val="-14"/>
                <w:kern w:val="0"/>
                <w:sz w:val="18"/>
                <w:szCs w:val="18"/>
              </w:rPr>
            </w:pPr>
            <w:r>
              <w:rPr>
                <w:rFonts w:hint="eastAsia" w:ascii="方正仿宋_GBK" w:hAnsi="Microsoft YaHei" w:eastAsia="方正仿宋_GBK" w:cs="宋体"/>
                <w:spacing w:val="-14"/>
                <w:kern w:val="0"/>
                <w:sz w:val="18"/>
                <w:szCs w:val="18"/>
              </w:rPr>
              <w:t>拟作出拆除建筑物、构筑物的行政强制执行决定</w:t>
            </w:r>
          </w:p>
        </w:tc>
        <w:tc>
          <w:tcPr>
            <w:tcW w:w="3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spacing w:val="-14"/>
                <w:kern w:val="0"/>
                <w:sz w:val="18"/>
                <w:szCs w:val="18"/>
              </w:rPr>
            </w:pPr>
            <w:r>
              <w:rPr>
                <w:rFonts w:hint="eastAsia" w:ascii="方正仿宋_GBK" w:hAnsi="Microsoft YaHei" w:eastAsia="方正仿宋_GBK" w:cs="宋体"/>
                <w:spacing w:val="-14"/>
                <w:kern w:val="0"/>
                <w:sz w:val="18"/>
                <w:szCs w:val="18"/>
              </w:rPr>
              <w:t>拟作出拆除建筑物、构筑物的行政强制执行决定书草案，</w:t>
            </w:r>
            <w:r>
              <w:rPr>
                <w:rFonts w:hint="eastAsia" w:ascii="方正仿宋_GBK" w:hAnsi="Microsoft YaHei" w:eastAsia="方正仿宋_GBK" w:cs="宋体"/>
                <w:color w:val="000000"/>
                <w:spacing w:val="-14"/>
                <w:kern w:val="0"/>
                <w:sz w:val="18"/>
                <w:szCs w:val="18"/>
              </w:rPr>
              <w:t>和相关证据资料</w:t>
            </w:r>
          </w:p>
        </w:tc>
        <w:tc>
          <w:tcPr>
            <w:tcW w:w="5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方正仿宋_GBK" w:hAnsi="Microsoft YaHei" w:eastAsia="方正仿宋_GBK" w:cs="宋体"/>
                <w:spacing w:val="-14"/>
                <w:kern w:val="0"/>
                <w:sz w:val="18"/>
                <w:szCs w:val="18"/>
              </w:rPr>
            </w:pPr>
            <w:r>
              <w:rPr>
                <w:rFonts w:hint="eastAsia" w:ascii="方正仿宋_GBK" w:hAnsi="Microsoft YaHei" w:eastAsia="方正仿宋_GBK" w:cs="宋体"/>
                <w:color w:val="000000"/>
                <w:spacing w:val="-14"/>
                <w:kern w:val="0"/>
                <w:sz w:val="18"/>
                <w:szCs w:val="18"/>
              </w:rPr>
              <w:t>执法主体是否合法，执法人员是否具备执法资格；主要事实是否清楚，证据是否确凿、充分；适用依据是否准确；裁量是否适当；程序是否合法，是否充分保障行政相对人权利。</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宋体S-超大字符集"/>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Arial Unicode MS">
    <w:altName w:val="Times New Roman"/>
    <w:panose1 w:val="020B0604020202020204"/>
    <w:charset w:val="86"/>
    <w:family w:val="swiss"/>
    <w:pitch w:val="default"/>
    <w:sig w:usb0="00000000" w:usb1="00000000" w:usb2="0000003F" w:usb3="00000000" w:csb0="003F01FF" w:csb1="00000000"/>
  </w:font>
  <w:font w:name="仿宋_GB2312">
    <w:altName w:val="微软雅黑"/>
    <w:panose1 w:val="00000000000000000000"/>
    <w:charset w:val="86"/>
    <w:family w:val="modern"/>
    <w:pitch w:val="default"/>
    <w:sig w:usb0="00000000" w:usb1="00000000" w:usb2="00000010" w:usb3="00000000" w:csb0="00040000" w:csb1="00000000"/>
  </w:font>
  <w:font w:name="Microsoft YaHei">
    <w:panose1 w:val="020B0503020204020204"/>
    <w:charset w:val="86"/>
    <w:family w:val="roman"/>
    <w:pitch w:val="default"/>
    <w:sig w:usb0="80000287" w:usb1="2ACF3C50" w:usb2="00000016" w:usb3="00000000" w:csb0="0004001F" w:csb1="00000000"/>
  </w:font>
  <w:font w:name="方正书宋_GBK">
    <w:altName w:val="微软雅黑"/>
    <w:panose1 w:val="03000509000000000000"/>
    <w:charset w:val="86"/>
    <w:family w:val="script"/>
    <w:pitch w:val="default"/>
    <w:sig w:usb0="00000000" w:usb1="00000000" w:usb2="0000001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方正书宋_GBK" w:eastAsia="方正书宋_GBK"/>
        <w:sz w:val="28"/>
        <w:szCs w:val="28"/>
      </w:rPr>
    </w:pPr>
    <w:r>
      <w:rPr>
        <w:rFonts w:hint="eastAsia" w:ascii="方正书宋_GBK" w:eastAsia="方正书宋_GBK"/>
        <w:sz w:val="28"/>
        <w:szCs w:val="28"/>
      </w:rPr>
      <w:t>—</w:t>
    </w: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rPr>
        <w:rFonts w:ascii="Times New Roman" w:hAnsi="Times New Roman" w:eastAsia="方正书宋_GBK"/>
        <w:sz w:val="28"/>
        <w:szCs w:val="28"/>
        <w:lang w:val="zh-CN"/>
      </w:rPr>
      <w:t>1</w:t>
    </w:r>
    <w:r>
      <w:rPr>
        <w:rFonts w:hint="eastAsia" w:ascii="方正书宋_GBK" w:eastAsia="方正书宋_GBK"/>
        <w:sz w:val="28"/>
        <w:szCs w:val="28"/>
      </w:rPr>
      <w:fldChar w:fldCharType="end"/>
    </w:r>
    <w:r>
      <w:rPr>
        <w:rFonts w:hint="eastAsia" w:ascii="方正书宋_GBK" w:eastAsia="方正书宋_GBK"/>
        <w:sz w:val="28"/>
        <w:szCs w:val="28"/>
      </w:rPr>
      <w:t>—</w:t>
    </w:r>
  </w:p>
  <w:p>
    <w:pPr>
      <w:pStyle w:val="2"/>
      <w:jc w:val="center"/>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方正书宋_GBK" w:eastAsia="方正书宋_GBK"/>
        <w:sz w:val="28"/>
        <w:szCs w:val="28"/>
      </w:rPr>
    </w:pPr>
    <w:r>
      <w:rPr>
        <w:rFonts w:hint="eastAsia" w:ascii="方正书宋_GBK" w:eastAsia="方正书宋_GBK"/>
        <w:sz w:val="28"/>
        <w:szCs w:val="28"/>
      </w:rPr>
      <w:t>—</w:t>
    </w: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rPr>
        <w:rFonts w:ascii="Times New Roman" w:hAnsi="Times New Roman" w:eastAsia="方正书宋_GBK"/>
        <w:sz w:val="28"/>
        <w:szCs w:val="28"/>
        <w:lang w:val="zh-CN"/>
      </w:rPr>
      <w:t>2</w:t>
    </w:r>
    <w:r>
      <w:rPr>
        <w:rFonts w:hint="eastAsia" w:ascii="方正书宋_GBK" w:eastAsia="方正书宋_GBK"/>
        <w:sz w:val="28"/>
        <w:szCs w:val="28"/>
      </w:rPr>
      <w:fldChar w:fldCharType="end"/>
    </w:r>
    <w:r>
      <w:rPr>
        <w:rFonts w:hint="eastAsia" w:ascii="方正书宋_GBK" w:eastAsia="方正书宋_GBK"/>
        <w:sz w:val="28"/>
        <w:szCs w:val="28"/>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C6352"/>
    <w:rsid w:val="0009207F"/>
    <w:rsid w:val="000E4155"/>
    <w:rsid w:val="00473276"/>
    <w:rsid w:val="0057370E"/>
    <w:rsid w:val="005B739C"/>
    <w:rsid w:val="006441B6"/>
    <w:rsid w:val="006E026F"/>
    <w:rsid w:val="008E3BE2"/>
    <w:rsid w:val="00991F8E"/>
    <w:rsid w:val="00B11504"/>
    <w:rsid w:val="00CD5513"/>
    <w:rsid w:val="00D63866"/>
    <w:rsid w:val="00DC6352"/>
    <w:rsid w:val="00DD503C"/>
    <w:rsid w:val="00E16120"/>
    <w:rsid w:val="00EE2C3C"/>
    <w:rsid w:val="7FD5444C"/>
    <w:rsid w:val="F7B60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252</Words>
  <Characters>1439</Characters>
  <Lines>11</Lines>
  <Paragraphs>3</Paragraphs>
  <TotalTime>14</TotalTime>
  <ScaleCrop>false</ScaleCrop>
  <LinksUpToDate>false</LinksUpToDate>
  <CharactersWithSpaces>1688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2024-01-24T10:05:00Z</dcterms:created>
  <dc:creator>AutoBVT</dc:creator>
  <cp:lastModifiedBy>user</cp:lastModifiedBy>
  <dcterms:modified xsi:type="dcterms:W3CDTF">2024-02-06T17:14:15Z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