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1000" w:lineRule="exact"/>
        <w:ind w:left="0" w:leftChars="0" w:right="0" w:rightChars="0" w:firstLine="0" w:firstLineChars="0"/>
        <w:jc w:val="center"/>
        <w:rPr>
          <w:rFonts w:ascii="Times New Roman" w:hAnsi="Times New Roman" w:eastAsia="宋体" w:cs="Times New Roman"/>
        </w:rPr>
      </w:pPr>
    </w:p>
    <w:p>
      <w:pPr>
        <w:adjustRightInd/>
        <w:spacing w:line="1000" w:lineRule="exact"/>
        <w:ind w:left="0" w:leftChars="0" w:right="0" w:rightChars="0" w:firstLine="0" w:firstLineChars="0"/>
        <w:jc w:val="center"/>
        <w:rPr>
          <w:rFonts w:ascii="Times New Roman" w:hAnsi="Times New Roman" w:eastAsia="方正小标宋_GBK" w:cs="Times New Roman"/>
          <w:bCs/>
          <w:color w:val="FF0000"/>
          <w:w w:val="45"/>
          <w:sz w:val="140"/>
          <w:szCs w:val="140"/>
        </w:rPr>
      </w:pPr>
    </w:p>
    <w:p>
      <w:pPr>
        <w:adjustRightInd/>
        <w:spacing w:line="1600" w:lineRule="exact"/>
        <w:ind w:left="0" w:leftChars="0" w:right="0" w:rightChars="0" w:firstLine="0" w:firstLineChars="0"/>
        <w:jc w:val="center"/>
        <w:rPr>
          <w:rFonts w:ascii="Times New Roman" w:hAnsi="Times New Roman" w:eastAsia="方正小标宋_GBK" w:cs="Times New Roman"/>
          <w:b/>
          <w:bCs/>
          <w:color w:val="FF0000"/>
          <w:w w:val="51"/>
          <w:sz w:val="114"/>
          <w:szCs w:val="114"/>
        </w:rPr>
      </w:pPr>
      <w:r>
        <w:rPr>
          <w:rFonts w:ascii="Times New Roman" w:hAnsi="Times New Roman" w:eastAsia="方正小标宋_GBK" w:cs="Times New Roman"/>
          <w:b/>
          <w:bCs/>
          <w:color w:val="FF0000"/>
          <w:w w:val="51"/>
          <w:sz w:val="114"/>
          <w:szCs w:val="114"/>
        </w:rPr>
        <w:t>重庆市涪陵区农业农村委员会文件</w:t>
      </w:r>
    </w:p>
    <w:p>
      <w:pPr>
        <w:adjustRightInd/>
        <w:spacing w:line="560" w:lineRule="exact"/>
        <w:ind w:left="0" w:leftChars="0" w:right="0" w:rightChars="0" w:firstLine="0" w:firstLineChars="0"/>
        <w:jc w:val="center"/>
        <w:rPr>
          <w:rFonts w:ascii="Times New Roman" w:hAnsi="Times New Roman" w:eastAsia="方正楷体_GBK" w:cs="Times New Roman"/>
          <w:b/>
          <w:bCs/>
          <w:sz w:val="32"/>
          <w:szCs w:val="32"/>
        </w:rPr>
      </w:pPr>
    </w:p>
    <w:p>
      <w:pPr>
        <w:adjustRightInd/>
        <w:spacing w:line="560" w:lineRule="exact"/>
        <w:ind w:left="0" w:leftChars="0" w:right="0" w:rightChars="0" w:firstLine="0" w:firstLineChars="0"/>
        <w:jc w:val="center"/>
        <w:rPr>
          <w:rFonts w:ascii="Times New Roman" w:hAnsi="Times New Roman" w:eastAsia="方正仿宋_GBK" w:cs="Times New Roman"/>
          <w:color w:val="000000"/>
          <w:sz w:val="33"/>
          <w:szCs w:val="33"/>
        </w:rPr>
      </w:pPr>
      <w:r>
        <w:rPr>
          <w:rFonts w:ascii="Times New Roman" w:hAnsi="Times New Roman" w:eastAsia="方正仿宋_GBK" w:cs="Times New Roman"/>
          <w:bCs/>
          <w:sz w:val="32"/>
          <w:szCs w:val="32"/>
        </w:rPr>
        <w:t>涪农委发〔202</w:t>
      </w:r>
      <w:r>
        <w:rPr>
          <w:rFonts w:hint="eastAsia" w:ascii="Times New Roman" w:hAnsi="Times New Roman" w:cs="Times New Roman"/>
          <w:bCs/>
          <w:sz w:val="32"/>
          <w:szCs w:val="32"/>
          <w:lang w:val="en-US" w:eastAsia="zh-CN"/>
        </w:rPr>
        <w:t>4</w:t>
      </w:r>
      <w:r>
        <w:rPr>
          <w:rFonts w:ascii="Times New Roman" w:hAnsi="Times New Roman" w:eastAsia="方正仿宋_GBK" w:cs="Times New Roman"/>
          <w:bCs/>
          <w:sz w:val="32"/>
          <w:szCs w:val="32"/>
        </w:rPr>
        <w:t>〕</w:t>
      </w:r>
      <w:r>
        <w:rPr>
          <w:rFonts w:hint="eastAsia" w:ascii="Times New Roman" w:hAnsi="Times New Roman" w:cs="Times New Roman"/>
          <w:bCs/>
          <w:sz w:val="32"/>
          <w:szCs w:val="32"/>
          <w:lang w:val="en-US" w:eastAsia="zh-CN"/>
        </w:rPr>
        <w:t>2</w:t>
      </w:r>
      <w:r>
        <w:rPr>
          <w:rFonts w:ascii="Times New Roman" w:hAnsi="Times New Roman" w:eastAsia="方正仿宋_GBK" w:cs="Times New Roman"/>
          <w:bCs/>
          <w:sz w:val="32"/>
          <w:szCs w:val="32"/>
        </w:rPr>
        <w:t>号</w:t>
      </w:r>
    </w:p>
    <w:p>
      <w:pPr>
        <w:adjustRightInd/>
        <w:spacing w:line="579" w:lineRule="exact"/>
        <w:ind w:left="0" w:leftChars="0" w:right="0" w:rightChars="0" w:firstLine="0" w:firstLineChars="0"/>
        <w:jc w:val="center"/>
        <w:rPr>
          <w:rFonts w:ascii="Times New Roman" w:hAnsi="Times New Roman" w:eastAsia="方正小标宋_GBK" w:cs="Times New Roman"/>
          <w:sz w:val="44"/>
          <w:szCs w:val="33"/>
        </w:rPr>
      </w:pPr>
      <w:r>
        <w:rPr>
          <w:rFonts w:ascii="Times New Roman" w:hAnsi="Times New Roman" w:eastAsia="方正仿宋_GBK" w:cs="Times New Roman"/>
          <w:sz w:val="33"/>
          <w:szCs w:val="33"/>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45085</wp:posOffset>
                </wp:positionV>
                <wp:extent cx="5673090" cy="0"/>
                <wp:effectExtent l="0" t="19050" r="3810" b="19050"/>
                <wp:wrapNone/>
                <wp:docPr id="1" name="直线 1052"/>
                <wp:cNvGraphicFramePr/>
                <a:graphic xmlns:a="http://schemas.openxmlformats.org/drawingml/2006/main">
                  <a:graphicData uri="http://schemas.microsoft.com/office/word/2010/wordprocessingShape">
                    <wps:wsp>
                      <wps:cNvCnPr/>
                      <wps:spPr>
                        <a:xfrm>
                          <a:off x="0" y="0"/>
                          <a:ext cx="5673090" cy="0"/>
                        </a:xfrm>
                        <a:prstGeom prst="line">
                          <a:avLst/>
                        </a:prstGeom>
                        <a:ln w="38100" cap="flat" cmpd="sng">
                          <a:solidFill>
                            <a:srgbClr val="FF0000"/>
                          </a:solidFill>
                          <a:prstDash val="solid"/>
                          <a:headEnd type="none" w="med" len="med"/>
                          <a:tailEnd type="none" w="med" len="med"/>
                        </a:ln>
                      </wps:spPr>
                      <wps:bodyPr upright="true"/>
                    </wps:wsp>
                  </a:graphicData>
                </a:graphic>
              </wp:anchor>
            </w:drawing>
          </mc:Choice>
          <mc:Fallback>
            <w:pict>
              <v:line id="直线 1052" o:spid="_x0000_s1026" o:spt="20" style="position:absolute;left:0pt;margin-left:1.5pt;margin-top:3.55pt;height:0pt;width:446.7pt;z-index:251660288;mso-width-relative:page;mso-height-relative:page;" filled="f" stroked="t" coordsize="21600,21600" o:gfxdata="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n&#10;g3KS2AAAAAUBAAAPAAAAAAAAAAEAIAAAADgAAABkcnMvZG93bnJldi54bWxQSwECFAAUAAAACACH&#10;TuJATJZy9tUBAACUAwAADgAAAAAAAAABACAAAAA9AQAAZHJzL2Uyb0RvYy54bWxQSwUGAAAAAAYA&#10;BgBZAQAAhAUAAAAA&#10;">
                <v:fill on="f" focussize="0,0"/>
                <v:stroke weight="3pt" color="#FF0000" joinstyle="round"/>
                <v:imagedata o:title=""/>
                <o:lock v:ext="edit" aspectratio="f"/>
              </v:line>
            </w:pict>
          </mc:Fallback>
        </mc:AlternateContent>
      </w:r>
    </w:p>
    <w:p>
      <w:pPr>
        <w:adjustRightInd/>
        <w:snapToGrid w:val="0"/>
        <w:spacing w:line="579" w:lineRule="exact"/>
        <w:ind w:left="0" w:leftChars="0" w:right="0" w:rightChars="0" w:firstLine="0" w:firstLineChars="0"/>
        <w:jc w:val="center"/>
        <w:rPr>
          <w:rFonts w:ascii="Times New Roman" w:hAnsi="Times New Roman" w:eastAsia="方正小标宋_GBK" w:cs="Times New Roman"/>
          <w:sz w:val="44"/>
          <w:szCs w:val="44"/>
        </w:rPr>
      </w:pPr>
    </w:p>
    <w:p>
      <w:pPr>
        <w:pStyle w:val="18"/>
        <w:bidi w:val="0"/>
        <w:rPr>
          <w:rFonts w:hint="eastAsia"/>
        </w:rPr>
      </w:pPr>
      <w:r>
        <w:rPr>
          <w:rFonts w:hint="eastAsia"/>
        </w:rPr>
        <w:t>重庆市涪陵区农业农村委员会</w:t>
      </w:r>
    </w:p>
    <w:p>
      <w:pPr>
        <w:pStyle w:val="18"/>
        <w:bidi w:val="0"/>
        <w:rPr>
          <w:rFonts w:hint="eastAsia"/>
        </w:rPr>
      </w:pPr>
      <w:r>
        <w:rPr>
          <w:rFonts w:hint="eastAsia"/>
        </w:rPr>
        <w:t>关于印发《涪陵区江北街道二渡村农村法治宣传教育基地实施方案》的通知</w:t>
      </w:r>
    </w:p>
    <w:p>
      <w:pPr>
        <w:ind w:left="0" w:right="0" w:firstLine="640"/>
      </w:pPr>
    </w:p>
    <w:p>
      <w:pPr>
        <w:adjustRightInd/>
        <w:ind w:left="0" w:leftChars="0" w:right="0" w:rightChars="0" w:firstLine="0" w:firstLineChars="0"/>
        <w:rPr>
          <w:rFonts w:hint="eastAsia" w:eastAsia="方正仿宋_GBK"/>
          <w:lang w:eastAsia="zh-CN"/>
        </w:rPr>
      </w:pPr>
      <w:r>
        <w:rPr>
          <w:rFonts w:hint="eastAsia"/>
        </w:rPr>
        <w:t>江北街道办事处，各有关单位：</w:t>
      </w:r>
    </w:p>
    <w:p>
      <w:pPr>
        <w:ind w:left="0" w:right="0" w:firstLine="640"/>
        <w:rPr>
          <w:rFonts w:hint="eastAsia"/>
        </w:rPr>
      </w:pPr>
      <w:r>
        <w:rPr>
          <w:rFonts w:hint="eastAsia"/>
        </w:rPr>
        <w:t>根据市农业农村委办公室《关于认定第二批市级农村法治宣传教育基地的通知》（渝农办发〔2023〕152号），江北街道二渡村被认定为第二批市级乡村法治宣传教育基地，结合基地建设实际，特制定了《涪陵区江北街道二渡村农村治宣传教育基地实施方案》，现印发给你们，请按相关要求做好工作。</w:t>
      </w:r>
    </w:p>
    <w:p>
      <w:pPr>
        <w:ind w:left="0" w:right="0" w:firstLine="640"/>
      </w:pPr>
    </w:p>
    <w:p>
      <w:pPr>
        <w:ind w:left="0" w:right="0" w:firstLine="640"/>
        <w:rPr>
          <w:rFonts w:hint="eastAsia"/>
        </w:rPr>
      </w:pPr>
    </w:p>
    <w:p>
      <w:pPr>
        <w:ind w:left="0" w:right="0" w:firstLine="640"/>
        <w:rPr>
          <w:rFonts w:hint="eastAsia"/>
          <w:lang w:eastAsia="zh-CN"/>
        </w:rPr>
      </w:pPr>
      <w:r>
        <w:rPr>
          <w:rFonts w:hint="eastAsia"/>
          <w:lang w:eastAsia="zh-CN"/>
        </w:rPr>
        <w:t>（</w:t>
      </w:r>
      <w:r>
        <w:rPr>
          <w:rFonts w:hint="eastAsia"/>
          <w:lang w:val="en-US" w:eastAsia="zh-CN"/>
        </w:rPr>
        <w:t>此页无正文</w:t>
      </w:r>
      <w:r>
        <w:rPr>
          <w:rFonts w:hint="eastAsia"/>
          <w:lang w:eastAsia="zh-CN"/>
        </w:rPr>
        <w:t>）</w:t>
      </w:r>
    </w:p>
    <w:p>
      <w:pPr>
        <w:ind w:left="0" w:right="0" w:firstLine="640"/>
        <w:rPr>
          <w:rFonts w:hint="eastAsia"/>
          <w:lang w:eastAsia="zh-CN"/>
        </w:rPr>
      </w:pPr>
    </w:p>
    <w:p>
      <w:pPr>
        <w:ind w:left="0" w:right="0" w:firstLine="640"/>
        <w:rPr>
          <w:rFonts w:hint="eastAsia"/>
          <w:lang w:eastAsia="zh-CN"/>
        </w:rPr>
      </w:pPr>
    </w:p>
    <w:p>
      <w:pPr>
        <w:ind w:left="0" w:right="0" w:firstLine="640"/>
        <w:rPr>
          <w:rFonts w:hint="eastAsia"/>
          <w:lang w:eastAsia="zh-CN"/>
        </w:rPr>
      </w:pPr>
    </w:p>
    <w:p>
      <w:pPr>
        <w:adjustRightInd/>
        <w:ind w:left="3520" w:leftChars="0" w:right="0" w:rightChars="0" w:firstLine="0" w:firstLineChars="0"/>
        <w:jc w:val="center"/>
        <w:rPr>
          <w:rFonts w:hint="eastAsia"/>
          <w:lang w:eastAsia="zh-CN"/>
        </w:rPr>
      </w:pPr>
      <w:r>
        <w:rPr>
          <w:rFonts w:hint="eastAsia"/>
          <w:lang w:eastAsia="zh-CN"/>
        </w:rPr>
        <w:t>重庆市涪陵</w:t>
      </w:r>
      <w:r>
        <w:rPr>
          <w:rFonts w:hint="eastAsia"/>
          <w:lang w:val="en-US" w:eastAsia="zh-CN"/>
        </w:rPr>
        <w:t>区农</w:t>
      </w:r>
      <w:r>
        <w:rPr>
          <w:rFonts w:hint="eastAsia"/>
          <w:lang w:eastAsia="zh-CN"/>
        </w:rPr>
        <w:t>业农村委员会</w:t>
      </w:r>
    </w:p>
    <w:p>
      <w:pPr>
        <w:tabs>
          <w:tab w:val="left" w:pos="5650"/>
        </w:tabs>
        <w:bidi w:val="0"/>
        <w:adjustRightInd/>
        <w:ind w:left="3520" w:leftChars="0" w:right="0" w:rightChars="0" w:firstLine="0" w:firstLineChars="0"/>
        <w:jc w:val="center"/>
        <w:rPr>
          <w:rFonts w:hint="eastAsia"/>
          <w:lang w:val="en-US" w:eastAsia="zh-CN"/>
        </w:rPr>
      </w:pPr>
      <w:r>
        <w:rPr>
          <w:rFonts w:hint="eastAsia"/>
        </w:rPr>
        <w:t>2024年2月2日</w:t>
      </w:r>
    </w:p>
    <w:p>
      <w:pPr>
        <w:ind w:left="0" w:right="0" w:firstLine="640"/>
        <w:rPr>
          <w:rFonts w:hint="eastAsia" w:eastAsia="方正仿宋_GBK"/>
          <w:lang w:eastAsia="zh-CN"/>
        </w:rPr>
      </w:pPr>
      <w:r>
        <w:rPr>
          <w:rFonts w:hint="eastAsia"/>
          <w:lang w:eastAsia="zh-CN"/>
        </w:rPr>
        <w:t>（</w:t>
      </w:r>
      <w:r>
        <w:rPr>
          <w:rFonts w:hint="eastAsia"/>
          <w:lang w:val="en-US" w:eastAsia="zh-CN"/>
        </w:rPr>
        <w:t>此件公开发布</w:t>
      </w:r>
      <w:r>
        <w:rPr>
          <w:rFonts w:hint="eastAsia"/>
          <w:lang w:eastAsia="zh-CN"/>
        </w:rPr>
        <w:t>）</w:t>
      </w:r>
    </w:p>
    <w:p>
      <w:pPr>
        <w:pStyle w:val="18"/>
        <w:bidi w:val="0"/>
        <w:rPr>
          <w:rFonts w:hint="eastAsia"/>
        </w:rPr>
      </w:pPr>
      <w:r>
        <w:rPr>
          <w:rFonts w:hint="eastAsia"/>
        </w:rPr>
        <w:br w:type="page"/>
      </w:r>
      <w:r>
        <w:rPr>
          <w:rFonts w:hint="eastAsia"/>
        </w:rPr>
        <w:t>涪陵区江北街道二渡村农村法治宣传教育基地实施方案</w:t>
      </w:r>
    </w:p>
    <w:p>
      <w:pPr>
        <w:ind w:left="0" w:right="0" w:firstLine="640"/>
      </w:pPr>
    </w:p>
    <w:p>
      <w:pPr>
        <w:adjustRightInd/>
        <w:ind w:left="0" w:leftChars="0" w:right="0" w:rightChars="0" w:firstLine="640" w:firstLineChars="0"/>
      </w:pPr>
      <w:r>
        <w:rPr>
          <w:rFonts w:hint="eastAsia"/>
        </w:rPr>
        <w:t>为进一步加强乡村法治宣传教育基地建设，打造农民学法用法平台，发挥农业农村法治宣传教育基地示范引领作用，切实推动“八五”普法贯彻实施。根据农业农村部印发《农村法治宣传教育基地建设指引的通知》精神，特制定涪陵区江北街道二渡村法治宣传教育基地实施方案。</w:t>
      </w:r>
    </w:p>
    <w:p>
      <w:pPr>
        <w:pStyle w:val="2"/>
        <w:numPr>
          <w:ilvl w:val="0"/>
          <w:numId w:val="0"/>
        </w:numPr>
        <w:ind w:left="640" w:leftChars="0" w:right="0" w:rightChars="0"/>
      </w:pPr>
      <w:r>
        <w:rPr>
          <w:rFonts w:hint="eastAsia"/>
        </w:rPr>
        <w:t>一、基本情况</w:t>
      </w:r>
    </w:p>
    <w:p>
      <w:pPr>
        <w:ind w:left="0" w:right="0" w:firstLine="640"/>
        <w:rPr>
          <w:rFonts w:hint="eastAsia" w:eastAsia="方正仿宋_GBK"/>
          <w:lang w:eastAsia="zh-CN"/>
        </w:rPr>
      </w:pPr>
      <w:r>
        <w:rPr>
          <w:rFonts w:hint="eastAsia"/>
        </w:rPr>
        <w:t>二渡村地处涪陵国家现代农业产业园核心区，幅员面积3.76平方公里，辖7个村民小组，1050户、3071人，中共党员77名，村内有全国最优青菜头选育栽培基地、最大酱腌菜行业上市公司涪陵榨菜集团、最强芥菜种质资源库渝东南农科院，被誉为“世界榨菜第一村”。先后荣获“全国乡村治理示范村”“重庆市首批乡村振兴示范村”、“市级农村法治宣传教育基地”等荣誉称号。</w:t>
      </w:r>
    </w:p>
    <w:p>
      <w:pPr>
        <w:pStyle w:val="2"/>
        <w:numPr>
          <w:ilvl w:val="0"/>
          <w:numId w:val="0"/>
        </w:numPr>
        <w:ind w:left="640" w:leftChars="0" w:right="0" w:rightChars="0"/>
      </w:pPr>
      <w:r>
        <w:rPr>
          <w:rFonts w:hint="eastAsia"/>
        </w:rPr>
        <w:t>二、指导思想</w:t>
      </w:r>
    </w:p>
    <w:p>
      <w:pPr>
        <w:ind w:left="0" w:right="0" w:firstLine="640"/>
      </w:pPr>
      <w:r>
        <w:rPr>
          <w:rFonts w:hint="eastAsia"/>
        </w:rPr>
        <w:t>坚持以习近平新时代中国特色社会主义思想为指导，深入学习宣传贯彻习近平法治思想，全面贯彻党的二十大及中央农村工作会议精神，全面实施“八五”普法规划。按照乡村振兴战略部署，结合实际，坚持“示范引领、典型带动、稳步推进、均衡发展”的原则，充分发挥法治宣传教育基地在农业农村法治社会建设中基础性支撑性作用，助力实现精准普法、生动普法、有效普法、高质量普法，增进农民群众的法治获得感、幸福感、安全感，推动乡村形成办事依法、遇事找法、解决问题用法、化解矛盾靠法的社会环境。</w:t>
      </w:r>
    </w:p>
    <w:p>
      <w:pPr>
        <w:pStyle w:val="2"/>
        <w:numPr>
          <w:ilvl w:val="0"/>
          <w:numId w:val="0"/>
        </w:numPr>
        <w:ind w:left="640" w:leftChars="0" w:right="0" w:rightChars="0"/>
      </w:pPr>
      <w:r>
        <w:rPr>
          <w:rFonts w:hint="eastAsia"/>
        </w:rPr>
        <w:t>三、工作目标</w:t>
      </w:r>
    </w:p>
    <w:p>
      <w:pPr>
        <w:ind w:left="0" w:right="0" w:firstLine="640"/>
      </w:pPr>
      <w:r>
        <w:rPr>
          <w:rFonts w:hint="eastAsia"/>
        </w:rPr>
        <w:t>到2025年，乡村普法工作长效机制更加完善，更加健全，乡村干部群众的法治思维、法治能力明显增强，农民群众对法律法规的知晓度、法治精神的认同度、法治实践的参与度显著提高，乡村治理法治化水平不断提升，自觉尊法学法守法用法的乡村法治氛围和法治习惯逐渐形成。实现乡村干部带头依法办事，人人尊法守法。</w:t>
      </w:r>
    </w:p>
    <w:p>
      <w:pPr>
        <w:pStyle w:val="2"/>
        <w:numPr>
          <w:ilvl w:val="0"/>
          <w:numId w:val="0"/>
        </w:numPr>
        <w:ind w:left="640" w:leftChars="0" w:right="0" w:rightChars="0"/>
        <w:rPr>
          <w:rFonts w:hint="eastAsia"/>
        </w:rPr>
      </w:pPr>
      <w:r>
        <w:rPr>
          <w:rFonts w:hint="eastAsia"/>
          <w:lang w:val="en-US" w:eastAsia="zh-CN"/>
        </w:rPr>
        <w:t>四、</w:t>
      </w:r>
      <w:r>
        <w:rPr>
          <w:rFonts w:hint="eastAsia"/>
        </w:rPr>
        <w:t>重点任务</w:t>
      </w:r>
    </w:p>
    <w:p>
      <w:pPr>
        <w:ind w:left="0" w:right="0" w:firstLine="640"/>
      </w:pPr>
      <w:r>
        <w:rPr>
          <w:rFonts w:hint="eastAsia" w:ascii="方正楷体_GBK" w:hAnsi="方正楷体_GBK" w:eastAsia="方正楷体_GBK" w:cs="方正楷体_GBK"/>
          <w:b/>
          <w:i w:val="0"/>
          <w:sz w:val="32"/>
        </w:rPr>
        <w:t>（一）建设一个学法驿站。</w:t>
      </w:r>
      <w:r>
        <w:rPr>
          <w:rFonts w:hint="eastAsia"/>
        </w:rPr>
        <w:t>结合涪陵区国家现代农业产业园中小学劳动教育实践基地，将普法学法用法和中小学生劳动实践与心理辅导相结合，在二渡农场休憩处建设一个学法驿站，配置相关宣教设施、印制普法资料，让学生、游客、群众在劳动实践中“学会生活、学会用法、学会创新”，建好学法“二渡”驿站。</w:t>
      </w:r>
    </w:p>
    <w:p>
      <w:pPr>
        <w:ind w:left="0" w:right="0" w:firstLine="640"/>
      </w:pPr>
      <w:r>
        <w:rPr>
          <w:rFonts w:hint="eastAsia" w:ascii="方正楷体_GBK" w:hAnsi="方正楷体_GBK" w:eastAsia="方正楷体_GBK" w:cs="方正楷体_GBK"/>
          <w:b/>
          <w:i w:val="0"/>
          <w:sz w:val="32"/>
        </w:rPr>
        <w:t>（二）培育一支普法队伍。</w:t>
      </w:r>
      <w:r>
        <w:rPr>
          <w:rFonts w:hint="eastAsia"/>
        </w:rPr>
        <w:t>以“尊法守法模范，热心村组事务，示范带动力强”为主要标准，打造“二渡”特色的杨古桥、九洞水“学法讲理坝”调解品牌，构建“自治、法治、德治、智治”基础治理格局，培育以示范户、法律明白人、村组干部、离退休干部、老教师、乡贤等为骨干的普法宣传员、纠纷调解员、法律服务员队伍，发挥懂村情、晓民意、解民惑、分民忧的优势，用法言法语释疑解惑，确保矛盾随手调、线索随时报、法律随处讲，把普法土壤深耕在基层一线，实现法治服务“零距离”，培育“二渡”普法队伍。</w:t>
      </w:r>
    </w:p>
    <w:p>
      <w:pPr>
        <w:ind w:left="0" w:right="0" w:firstLine="640"/>
      </w:pPr>
      <w:r>
        <w:rPr>
          <w:rFonts w:hint="eastAsia" w:ascii="方正楷体_GBK" w:hAnsi="方正楷体_GBK" w:eastAsia="方正楷体_GBK" w:cs="方正楷体_GBK"/>
          <w:b/>
          <w:i w:val="0"/>
          <w:sz w:val="32"/>
        </w:rPr>
        <w:t>（三）打造一个普法讲堂。</w:t>
      </w:r>
      <w:r>
        <w:rPr>
          <w:rFonts w:hint="eastAsia"/>
        </w:rPr>
        <w:t>依托二渡村会议中心，完善讲堂设备设施。常态化开展法律普及、法治宣传、道德讲堂等，倡导群众知法、守法、懂法、依法，打造普法学法用法“二渡”大讲堂。</w:t>
      </w:r>
    </w:p>
    <w:p>
      <w:pPr>
        <w:ind w:left="0" w:right="0" w:firstLine="640"/>
        <w:rPr>
          <w:rFonts w:hint="eastAsia" w:eastAsia="方正仿宋_GBK"/>
          <w:lang w:eastAsia="zh-CN"/>
        </w:rPr>
      </w:pPr>
      <w:r>
        <w:rPr>
          <w:rFonts w:hint="eastAsia" w:ascii="方正楷体_GBK" w:hAnsi="方正楷体_GBK" w:eastAsia="方正楷体_GBK" w:cs="方正楷体_GBK"/>
          <w:b/>
          <w:i w:val="0"/>
          <w:sz w:val="32"/>
        </w:rPr>
        <w:t>（四）规划一条法治长廊。</w:t>
      </w:r>
      <w:r>
        <w:rPr>
          <w:rFonts w:hint="eastAsia"/>
        </w:rPr>
        <w:t>在二渡农场长廊处打造农业农村领域特色突出、社会公众开放的法治文化长廊和乡村法治宣传教育平台，展示农业农村行业法治文化、学法用法先进典型、警示案例、依法治理成果。挖掘和丰富乡村法治元素，在停车场长廊和二渡农场两侧柱子上制作法治文化金句标识，建设“二渡”法治文化阵地。</w:t>
      </w:r>
    </w:p>
    <w:p>
      <w:pPr>
        <w:ind w:left="0" w:right="0" w:firstLine="640"/>
        <w:rPr>
          <w:rFonts w:hint="eastAsia"/>
        </w:rPr>
      </w:pPr>
      <w:r>
        <w:rPr>
          <w:rFonts w:hint="eastAsia" w:ascii="方正楷体_GBK" w:hAnsi="方正楷体_GBK" w:eastAsia="方正楷体_GBK" w:cs="方正楷体_GBK"/>
          <w:b/>
          <w:i w:val="0"/>
          <w:sz w:val="32"/>
        </w:rPr>
        <w:t>（五）营造一股文明新气。</w:t>
      </w:r>
      <w:r>
        <w:rPr>
          <w:rFonts w:hint="eastAsia"/>
        </w:rPr>
        <w:t>以社会主义核心价值观为引领，坚持教育引导、实践养成、制度保障三管齐下，每年开展“好媳妇”“好儿女”“好公婆”“最美庭院”等评选活动，把学法用法尊法守法纳入评选条件。组建文明实践服务小队，开展树新风，美乡风，传家风，弘扬真善美、传播正能量集中活动。在保护传承的基础上，深入挖掘地域特色文化，营造“二渡”新气象。</w:t>
      </w:r>
    </w:p>
    <w:p>
      <w:pPr>
        <w:ind w:left="0" w:right="0" w:firstLine="640"/>
        <w:rPr>
          <w:rFonts w:hint="eastAsia"/>
        </w:rPr>
      </w:pPr>
      <w:r>
        <w:rPr>
          <w:rFonts w:hint="eastAsia" w:ascii="方正楷体_GBK" w:hAnsi="方正楷体_GBK" w:eastAsia="方正楷体_GBK" w:cs="方正楷体_GBK"/>
          <w:b/>
          <w:i w:val="0"/>
          <w:sz w:val="32"/>
        </w:rPr>
        <w:t>（六）开展一批普法活动。</w:t>
      </w:r>
      <w:r>
        <w:rPr>
          <w:rFonts w:hint="eastAsia"/>
        </w:rPr>
        <w:t>一是定期开展普法大讲堂的普法讲法活动，以“法治微课堂”“法律明白讲”丰富讲堂学法形式。二是强化执法人员与示范户“结对子”，采取入户、电话、微信、QQ等多种途径为学法用法示范户提供培育指导和跟踪服务活动，把普法融入执法全过程，开展以案释法、以案说法，为示范户提供有针对性的指导服务。三是以农民丰收节、宪法宣传周等契机，组织开展“乡村振兴法治同行”文化汇演活动。四是推行普法宣传志愿服务。开展党员志愿服务普法宣传活动，进一步发挥基层党组织的在开展法治宣传教育工作中的战斗堡垒作用和模范带头作用。</w:t>
      </w:r>
    </w:p>
    <w:p>
      <w:pPr>
        <w:pStyle w:val="2"/>
        <w:numPr>
          <w:ilvl w:val="0"/>
          <w:numId w:val="0"/>
        </w:numPr>
        <w:ind w:left="640" w:leftChars="0" w:right="0" w:rightChars="0"/>
      </w:pPr>
      <w:r>
        <w:rPr>
          <w:rFonts w:hint="eastAsia"/>
        </w:rPr>
        <w:t>五、进度安排</w:t>
      </w:r>
    </w:p>
    <w:p>
      <w:pPr>
        <w:bidi w:val="0"/>
      </w:pPr>
      <w:r>
        <w:rPr>
          <w:rFonts w:hint="eastAsia"/>
        </w:rPr>
        <w:t>（一）2024年4月3</w:t>
      </w:r>
      <w:r>
        <w:rPr>
          <w:rFonts w:hint="eastAsia"/>
          <w:lang w:val="en-US" w:eastAsia="zh-CN"/>
        </w:rPr>
        <w:t>0</w:t>
      </w:r>
      <w:bookmarkStart w:id="0" w:name="_GoBack"/>
      <w:bookmarkEnd w:id="0"/>
      <w:r>
        <w:rPr>
          <w:rFonts w:hint="eastAsia"/>
        </w:rPr>
        <w:t>日前，完成所有宣传所需资料、标语的收集整理，供制作方使用。</w:t>
      </w:r>
    </w:p>
    <w:p>
      <w:pPr>
        <w:bidi w:val="0"/>
      </w:pPr>
      <w:r>
        <w:rPr>
          <w:rFonts w:hint="eastAsia"/>
        </w:rPr>
        <w:t>（二）2024年6月30日前，确定制作方案，按“四议两公开”程序招标制作单位并签订合同。</w:t>
      </w:r>
    </w:p>
    <w:p>
      <w:pPr>
        <w:bidi w:val="0"/>
        <w:rPr>
          <w:rFonts w:hint="eastAsia"/>
        </w:rPr>
      </w:pPr>
      <w:r>
        <w:rPr>
          <w:rFonts w:hint="eastAsia"/>
        </w:rPr>
        <w:t>（三）2024年8月30日前，完成宣传长廊和宣传标识的制作、悬挂、安装。</w:t>
      </w:r>
    </w:p>
    <w:p>
      <w:pPr>
        <w:bidi w:val="0"/>
      </w:pPr>
      <w:r>
        <w:rPr>
          <w:rFonts w:hint="eastAsia"/>
        </w:rPr>
        <w:t>（四）10月30日前组织验收。</w:t>
      </w:r>
    </w:p>
    <w:p>
      <w:pPr>
        <w:pStyle w:val="2"/>
        <w:numPr>
          <w:ilvl w:val="0"/>
          <w:numId w:val="0"/>
        </w:numPr>
        <w:ind w:left="640" w:leftChars="0" w:right="0" w:rightChars="0"/>
      </w:pPr>
      <w:r>
        <w:rPr>
          <w:rFonts w:hint="eastAsia"/>
        </w:rPr>
        <w:t>六、工作要求</w:t>
      </w:r>
    </w:p>
    <w:p>
      <w:pPr>
        <w:ind w:left="0" w:right="0" w:firstLine="640"/>
      </w:pPr>
      <w:r>
        <w:rPr>
          <w:rFonts w:hint="eastAsia" w:ascii="方正楷体_GBK" w:hAnsi="方正楷体_GBK" w:eastAsia="方正楷体_GBK" w:cs="方正楷体_GBK"/>
          <w:b/>
          <w:i w:val="0"/>
          <w:sz w:val="32"/>
        </w:rPr>
        <w:t>（一）加强领导，明确责任。</w:t>
      </w:r>
      <w:r>
        <w:rPr>
          <w:rFonts w:hint="eastAsia"/>
        </w:rPr>
        <w:t>成立重庆市涪陵区江北街二渡村农村法治宣传教育基地建设领导小组，领导小组办公室设在区农业农村委。法规科加强基地建设日常监督沟通协调指导工作；二渡村为基地建设主体责任单位，具体开展基地建设和普法宣传教育活动；区执法支队加强基地建设项目资金管理、审核拨付，做好示范户结对普法及入村开展“以案释法普法”活动；江北街道做好属地管理指导工作，争取各方资金支持二渡村开展基地建设及法治宣传活动。宣传教育基地创建工作高标准、严要求，统一样式、统一规格，形成一个整体的宣传效果。</w:t>
      </w:r>
    </w:p>
    <w:p>
      <w:pPr>
        <w:ind w:left="0" w:right="0" w:firstLine="640"/>
      </w:pPr>
      <w:r>
        <w:rPr>
          <w:rFonts w:hint="eastAsia" w:ascii="方正楷体_GBK" w:hAnsi="方正楷体_GBK" w:eastAsia="方正楷体_GBK" w:cs="方正楷体_GBK"/>
          <w:b/>
          <w:i w:val="0"/>
          <w:sz w:val="32"/>
        </w:rPr>
        <w:t>（二）整合资源，形成合力。</w:t>
      </w:r>
      <w:r>
        <w:rPr>
          <w:rFonts w:hint="eastAsia"/>
        </w:rPr>
        <w:t>结合本地实际，将法治宣传、法治教育建设与乡村振兴有机结合，协调区司法局、民政局、乡村振兴局、公安局、法院等部门合力丰富法治文化的宣传载体和形式，开辟更为广阔的法治新平台，让居民群众不知不觉地受到生动形象、潜移默化的法律熏陶。</w:t>
      </w:r>
    </w:p>
    <w:p>
      <w:pPr>
        <w:ind w:left="0" w:right="0" w:firstLine="640"/>
      </w:pPr>
      <w:r>
        <w:rPr>
          <w:rFonts w:hint="eastAsia" w:ascii="方正楷体_GBK" w:hAnsi="方正楷体_GBK" w:eastAsia="方正楷体_GBK" w:cs="方正楷体_GBK"/>
          <w:b/>
          <w:i w:val="0"/>
          <w:sz w:val="32"/>
        </w:rPr>
        <w:t>（三）创新措施，强化保障。</w:t>
      </w:r>
      <w:r>
        <w:rPr>
          <w:rFonts w:hint="eastAsia"/>
        </w:rPr>
        <w:t>整合巴渝和美乡村建设、人居环境整治、产业发展、文化建设、人才培养、资源环境保护等项目建设，加大对法治宣传教育基础设施的投入，用好市级农村法治宣传教育基地建设扶持资金，保障基地建设深入开展。</w:t>
      </w:r>
    </w:p>
    <w:p>
      <w:pPr>
        <w:adjustRightInd/>
        <w:ind w:left="0" w:leftChars="0" w:right="0" w:rightChars="0" w:firstLine="640" w:firstLineChars="0"/>
        <w:rPr>
          <w:rFonts w:hint="eastAsia"/>
        </w:rPr>
      </w:pPr>
      <w:r>
        <w:rPr>
          <w:rFonts w:hint="eastAsia" w:ascii="方正楷体_GBK" w:hAnsi="方正楷体_GBK" w:eastAsia="方正楷体_GBK" w:cs="方正楷体_GBK"/>
          <w:b/>
          <w:i w:val="0"/>
          <w:sz w:val="32"/>
        </w:rPr>
        <w:t>（四）加强督查、务求实效。</w:t>
      </w:r>
      <w:r>
        <w:rPr>
          <w:rFonts w:hint="eastAsia"/>
        </w:rPr>
        <w:t>区农业农村委负责对农村法治宣传教育示范基地目标任务进行分解，建立督促检查制度。积极探索示范带建设的有效途径，及时研究和解决建设过程遇到的新情况、新问题，不断改进工作方法，丰富宣传内涵，提升宣传品位，形成宣传特色，打造宣传品牌。</w:t>
      </w:r>
    </w:p>
    <w:p>
      <w:pPr>
        <w:adjustRightInd/>
        <w:ind w:left="0" w:leftChars="0" w:right="0" w:rightChars="0" w:firstLine="640" w:firstLineChars="0"/>
        <w:rPr>
          <w:rFonts w:hint="eastAsia"/>
        </w:rPr>
      </w:pPr>
    </w:p>
    <w:p>
      <w:pPr>
        <w:adjustRightInd/>
        <w:ind w:left="0" w:leftChars="0" w:right="0" w:rightChars="0" w:firstLine="640" w:firstLineChars="0"/>
        <w:rPr>
          <w:rFonts w:hint="eastAsia"/>
        </w:rPr>
      </w:pPr>
    </w:p>
    <w:p>
      <w:pPr>
        <w:adjustRightInd/>
        <w:ind w:left="0" w:leftChars="0" w:right="0" w:rightChars="0" w:firstLine="640" w:firstLineChars="0"/>
        <w:rPr>
          <w:rFonts w:hint="eastAsia"/>
        </w:rPr>
      </w:pPr>
    </w:p>
    <w:p>
      <w:pPr>
        <w:adjustRightInd/>
        <w:ind w:left="0" w:leftChars="0" w:right="0" w:rightChars="0" w:firstLine="640" w:firstLineChars="0"/>
        <w:rPr>
          <w:rFonts w:hint="eastAsia"/>
        </w:rPr>
      </w:pPr>
    </w:p>
    <w:p>
      <w:pPr>
        <w:adjustRightInd/>
        <w:ind w:left="0" w:leftChars="0" w:right="0" w:rightChars="0" w:firstLine="640" w:firstLineChars="0"/>
        <w:rPr>
          <w:rFonts w:hint="eastAsia"/>
        </w:rPr>
      </w:pPr>
    </w:p>
    <w:p>
      <w:pPr>
        <w:adjustRightInd/>
        <w:ind w:left="0" w:leftChars="0" w:right="0" w:rightChars="0" w:firstLine="640" w:firstLineChars="0"/>
        <w:rPr>
          <w:rFonts w:hint="eastAsia"/>
        </w:rPr>
      </w:pPr>
    </w:p>
    <w:p>
      <w:pPr>
        <w:adjustRightInd/>
        <w:ind w:left="0" w:leftChars="0" w:right="0" w:rightChars="0" w:firstLine="640" w:firstLineChars="0"/>
        <w:rPr>
          <w:rFonts w:hint="eastAsia"/>
        </w:rPr>
      </w:pPr>
    </w:p>
    <w:p>
      <w:pPr>
        <w:adjustRightInd/>
        <w:ind w:left="0" w:leftChars="0" w:right="0" w:rightChars="0" w:firstLine="640" w:firstLineChars="0"/>
        <w:rPr>
          <w:rFonts w:hint="eastAsia"/>
        </w:rPr>
      </w:pPr>
    </w:p>
    <w:p>
      <w:pPr>
        <w:adjustRightInd/>
        <w:ind w:left="0" w:leftChars="0" w:right="0" w:rightChars="0" w:firstLine="640" w:firstLineChars="0"/>
        <w:rPr>
          <w:rFonts w:hint="eastAsia"/>
        </w:rPr>
      </w:pPr>
    </w:p>
    <w:p>
      <w:pPr>
        <w:adjustRightInd/>
        <w:ind w:left="0" w:leftChars="0" w:right="0" w:rightChars="0" w:firstLine="640" w:firstLineChars="0"/>
        <w:rPr>
          <w:rFonts w:hint="eastAsia"/>
        </w:rPr>
      </w:pPr>
    </w:p>
    <w:p>
      <w:pPr>
        <w:adjustRightInd/>
        <w:ind w:left="0" w:leftChars="0" w:right="0" w:rightChars="0" w:firstLine="640" w:firstLineChars="0"/>
        <w:rPr>
          <w:rFonts w:hint="eastAsia"/>
        </w:rPr>
      </w:pPr>
    </w:p>
    <w:p>
      <w:pPr>
        <w:adjustRightInd/>
        <w:ind w:left="0" w:leftChars="0" w:right="0" w:rightChars="0" w:firstLine="640" w:firstLineChars="0"/>
        <w:rPr>
          <w:rFonts w:hint="eastAsia"/>
        </w:rPr>
      </w:pPr>
    </w:p>
    <w:p>
      <w:pPr>
        <w:adjustRightInd/>
        <w:ind w:left="0" w:leftChars="0" w:right="0" w:rightChars="0" w:firstLine="640" w:firstLineChars="0"/>
        <w:rPr>
          <w:rFonts w:hint="eastAsia"/>
        </w:rPr>
      </w:pPr>
    </w:p>
    <w:p>
      <w:pPr>
        <w:adjustRightInd/>
        <w:ind w:left="0" w:leftChars="0" w:right="0" w:rightChars="0" w:firstLine="640" w:firstLineChars="0"/>
        <w:rPr>
          <w:rFonts w:hint="eastAsia"/>
        </w:rPr>
      </w:pPr>
    </w:p>
    <w:p>
      <w:pPr>
        <w:adjustRightInd/>
        <w:ind w:left="0" w:leftChars="0" w:right="0" w:rightChars="0" w:firstLine="640" w:firstLineChars="0"/>
        <w:rPr>
          <w:rFonts w:hint="eastAsia"/>
        </w:rPr>
      </w:pPr>
    </w:p>
    <w:p>
      <w:pPr>
        <w:adjustRightInd/>
        <w:ind w:left="0" w:leftChars="0" w:right="0" w:rightChars="0" w:firstLine="640" w:firstLineChars="0"/>
        <w:rPr>
          <w:rFonts w:hint="eastAsia"/>
        </w:rPr>
      </w:pPr>
    </w:p>
    <w:p>
      <w:pPr>
        <w:widowControl w:val="0"/>
        <w:pBdr>
          <w:top w:val="none" w:color="auto" w:sz="0" w:space="1"/>
          <w:left w:val="none" w:color="auto" w:sz="0" w:space="4"/>
          <w:bottom w:val="single" w:color="auto" w:sz="4" w:space="1"/>
          <w:right w:val="none" w:color="auto" w:sz="0" w:space="4"/>
          <w:between w:val="none" w:color="auto" w:sz="0" w:space="0"/>
        </w:pBdr>
        <w:suppressAutoHyphens w:val="0"/>
        <w:adjustRightInd/>
        <w:spacing w:line="600" w:lineRule="exact"/>
        <w:ind w:left="0" w:leftChars="0" w:right="0" w:rightChars="0" w:firstLine="640" w:firstLineChars="0"/>
        <w:jc w:val="both"/>
        <w:rPr>
          <w:rFonts w:hint="default" w:eastAsia="方正仿宋_GBK"/>
          <w:lang w:val="en-US" w:eastAsia="zh-CN"/>
        </w:rPr>
      </w:pPr>
      <w:r>
        <w:rPr>
          <w:rFonts w:hint="eastAsia"/>
          <w:lang w:val="en-US" w:eastAsia="zh-CN"/>
        </w:rPr>
        <w:t xml:space="preserve">    </w:t>
      </w:r>
    </w:p>
    <w:p>
      <w:pPr>
        <w:adjustRightInd/>
        <w:ind w:left="1600" w:leftChars="200" w:right="0" w:rightChars="0" w:hanging="960" w:hangingChars="300"/>
        <w:rPr>
          <w:rFonts w:hint="eastAsia"/>
        </w:rPr>
      </w:pPr>
      <w:r>
        <w:rPr>
          <w:rFonts w:hint="eastAsia"/>
        </w:rPr>
        <w:t>抄送：区法院、区检察院、区公安局、区民政局、区司法局、区乡村振兴局。</w:t>
      </w:r>
    </w:p>
    <w:p>
      <w:pPr>
        <w:pBdr>
          <w:top w:val="single" w:color="auto" w:sz="8" w:space="1"/>
          <w:bottom w:val="single" w:color="auto" w:sz="8" w:space="1"/>
        </w:pBdr>
        <w:spacing w:line="579" w:lineRule="exact"/>
        <w:ind w:firstLine="280" w:firstLineChars="100"/>
        <w:rPr>
          <w:rFonts w:hint="eastAsia"/>
        </w:rPr>
      </w:pPr>
      <w:r>
        <w:rPr>
          <w:rFonts w:ascii="Times New Roman" w:hAnsi="Times New Roman" w:eastAsia="方正仿宋_GBK" w:cs="Times New Roman"/>
          <w:sz w:val="28"/>
          <w:szCs w:val="28"/>
        </w:rPr>
        <w:t xml:space="preserve">重庆市涪陵区农业农村委员会办公室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202</w:t>
      </w: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2</w:t>
      </w:r>
      <w:r>
        <w:rPr>
          <w:rFonts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4</w:t>
      </w:r>
      <w:r>
        <w:rPr>
          <w:rFonts w:ascii="Times New Roman" w:hAnsi="Times New Roman" w:eastAsia="方正仿宋_GBK" w:cs="Times New Roman"/>
          <w:sz w:val="28"/>
          <w:szCs w:val="28"/>
        </w:rPr>
        <w:t>日印发</w:t>
      </w:r>
    </w:p>
    <w:sectPr>
      <w:headerReference r:id="rId5" w:type="default"/>
      <w:footerReference r:id="rId6" w:type="default"/>
      <w:pgSz w:w="11906" w:h="16838"/>
      <w:pgMar w:top="1984" w:right="1446" w:bottom="1644" w:left="1446" w:header="851" w:footer="1106" w:gutter="0"/>
      <w:pgBorders>
        <w:top w:val="none" w:sz="0" w:space="0"/>
        <w:left w:val="none" w:sz="0" w:space="0"/>
        <w:bottom w:val="none" w:sz="0" w:space="0"/>
        <w:right w:val="none" w:sz="0" w:space="0"/>
      </w:pgBorders>
      <w:cols w:space="720" w:num="1"/>
      <w:docGrid w:linePitch="6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方正宋体S-超大字符集"/>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98425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val="0"/>
                            <w:ind w:left="320" w:leftChars="100" w:right="320" w:rightChars="100"/>
                            <w:textAlignment w:val="auto"/>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72.3pt;margin-top:762.35pt;height:144pt;width:144pt;mso-position-horizontal-relative:page;mso-position-vertical-relative:page;mso-wrap-style:none;z-index:251659264;mso-width-relative:page;mso-height-relative:page;" filled="f" stroked="f" coordsize="21600,21600" o:gfxdata="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JwiyKHUAAAABwEAAA8AAAAAAAAAAQAgAAAAOAAAAGRycy9kb3ducmV2LnhtbFBL&#10;AQIUABQAAAAIAIdO4kD176IwHQIAACkEAAAOAAAAAAAAAAEAIAAAADkBAABkcnMvZTJvRG9jLnht&#10;bFBLBQYAAAAABgAGAFkBAADIBQAAAAA=&#10;">
              <v:fill on="f" focussize="0,0"/>
              <v:stroke on="f" weight="0.5pt"/>
              <v:imagedata o:title=""/>
              <o:lock v:ext="edit" aspectratio="f"/>
              <v:textbox inset="0mm,0mm,0mm,0mm" style="mso-fit-shape-to-text:t;">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val="0"/>
                      <w:ind w:left="320" w:leftChars="100" w:right="320" w:rightChars="100"/>
                      <w:textAlignment w:val="auto"/>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40EF0"/>
    <w:multiLevelType w:val="multilevel"/>
    <w:tmpl w:val="A9640EF0"/>
    <w:lvl w:ilvl="0" w:tentative="0">
      <w:start w:val="1"/>
      <w:numFmt w:val="chineseCountingThousand"/>
      <w:pStyle w:val="2"/>
      <w:suff w:val="nothing"/>
      <w:lvlText w:val="%1、"/>
      <w:lvlJc w:val="left"/>
      <w:pPr>
        <w:ind w:left="0" w:leftChars="0" w:firstLine="640" w:firstLineChars="0"/>
      </w:pPr>
      <w:rPr>
        <w:rFonts w:hint="eastAsia" w:ascii="方正黑体_GBK" w:hAnsi="方正黑体_GBK" w:eastAsia="方正黑体_GBK" w:cs="方正黑体_GBK"/>
        <w:b w:val="0"/>
        <w:i w:val="0"/>
        <w:color w:val="000000"/>
        <w:sz w:val="32"/>
      </w:rPr>
    </w:lvl>
    <w:lvl w:ilvl="1" w:tentative="0">
      <w:start w:val="1"/>
      <w:numFmt w:val="chineseCountingThousand"/>
      <w:pStyle w:val="3"/>
      <w:suff w:val="nothing"/>
      <w:lvlText w:val="（%2）"/>
      <w:lvlJc w:val="left"/>
      <w:pPr>
        <w:ind w:left="0" w:leftChars="0" w:firstLine="640" w:firstLineChars="0"/>
      </w:pPr>
      <w:rPr>
        <w:rFonts w:hint="eastAsia" w:ascii="方正楷体_GBK" w:hAnsi="方正楷体_GBK" w:eastAsia="方正楷体_GBK" w:cs="方正楷体_GBK"/>
        <w:b/>
        <w:i w:val="0"/>
        <w:color w:val="000000"/>
        <w:sz w:val="32"/>
      </w:rPr>
    </w:lvl>
    <w:lvl w:ilvl="2" w:tentative="0">
      <w:start w:val="1"/>
      <w:numFmt w:val="decimal"/>
      <w:pStyle w:val="4"/>
      <w:suff w:val="nothing"/>
      <w:lvlText w:val="%3."/>
      <w:lvlJc w:val="left"/>
      <w:pPr>
        <w:ind w:left="0" w:leftChars="0" w:firstLine="640" w:firstLineChars="0"/>
      </w:pPr>
      <w:rPr>
        <w:rFonts w:hint="eastAsia" w:ascii="方正仿宋_GBK" w:hAnsi="方正仿宋_GBK" w:eastAsia="方正仿宋_GBK" w:cs="方正仿宋_GBK"/>
        <w:b/>
        <w:i w:val="0"/>
        <w:color w:val="000000"/>
        <w:sz w:val="32"/>
      </w:rPr>
    </w:lvl>
    <w:lvl w:ilvl="3" w:tentative="0">
      <w:start w:val="1"/>
      <w:numFmt w:val="decimal"/>
      <w:pStyle w:val="5"/>
      <w:suff w:val="nothing"/>
      <w:lvlText w:val="（%4）"/>
      <w:lvlJc w:val="left"/>
      <w:pPr>
        <w:ind w:left="0" w:leftChars="0" w:firstLine="640" w:firstLineChars="0"/>
      </w:pPr>
      <w:rPr>
        <w:rFonts w:hint="eastAsia" w:ascii="方正仿宋_GBK" w:hAnsi="方正仿宋_GBK" w:eastAsia="方正仿宋_GBK" w:cs="方正仿宋_GBK"/>
        <w:b w:val="0"/>
        <w:i w:val="0"/>
        <w:color w:val="000000"/>
        <w:sz w:val="32"/>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320"/>
  <w:drawingGridVerticalSpacing w:val="300"/>
  <w:displayHorizontalDrawingGridEvery w:val="1"/>
  <w:displayVerticalDrawingGridEvery w:val="1"/>
  <w:noPunctuationKerning w:val="true"/>
  <w:characterSpacingControl w:val="compressPunctuation"/>
  <w:noLineBreaksAfter w:lang="zh-CN" w:val="([{·‘“〈《「『【〔〖（．［｛￡￥"/>
  <w:noLineBreaksBefore w:lang="zh-CN" w:val="!),.:;?]}¨·ˇˉ―‖’”…∶、。〃々〉》」』】〕〗！＂＇），．：；？］｀｜｝～￠"/>
  <w:doNotValidateAgainstSchema/>
  <w:doNotDemarcateInvalidXml/>
  <w:hdrShapeDefaults>
    <o:shapelayout v:ext="edit">
      <o:idmap v:ext="edit" data="2,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MTZmMDJiNmU1YjdjMGFlNmUzNWIyNTYyYjlhMTgifQ=="/>
  </w:docVars>
  <w:rsids>
    <w:rsidRoot w:val="0026086B"/>
    <w:rsid w:val="00057618"/>
    <w:rsid w:val="000A353A"/>
    <w:rsid w:val="000A7764"/>
    <w:rsid w:val="000C6296"/>
    <w:rsid w:val="000F6E8B"/>
    <w:rsid w:val="0018714A"/>
    <w:rsid w:val="00193E5C"/>
    <w:rsid w:val="001B2C21"/>
    <w:rsid w:val="001D3ECB"/>
    <w:rsid w:val="001E240D"/>
    <w:rsid w:val="00226BD1"/>
    <w:rsid w:val="0026086B"/>
    <w:rsid w:val="002C126E"/>
    <w:rsid w:val="002E185F"/>
    <w:rsid w:val="003158FD"/>
    <w:rsid w:val="00377C17"/>
    <w:rsid w:val="00381811"/>
    <w:rsid w:val="00394973"/>
    <w:rsid w:val="003E2222"/>
    <w:rsid w:val="00412EFD"/>
    <w:rsid w:val="0045318A"/>
    <w:rsid w:val="00485F41"/>
    <w:rsid w:val="004A0326"/>
    <w:rsid w:val="004D1918"/>
    <w:rsid w:val="004E165A"/>
    <w:rsid w:val="004E7567"/>
    <w:rsid w:val="00565B0C"/>
    <w:rsid w:val="00575E2E"/>
    <w:rsid w:val="005830C3"/>
    <w:rsid w:val="005A5629"/>
    <w:rsid w:val="005B4081"/>
    <w:rsid w:val="005E2510"/>
    <w:rsid w:val="005E57E7"/>
    <w:rsid w:val="005E6773"/>
    <w:rsid w:val="005F596D"/>
    <w:rsid w:val="0061656F"/>
    <w:rsid w:val="00656EEC"/>
    <w:rsid w:val="006601BB"/>
    <w:rsid w:val="00675DB8"/>
    <w:rsid w:val="006B7854"/>
    <w:rsid w:val="006C27AE"/>
    <w:rsid w:val="006F7C2A"/>
    <w:rsid w:val="006F7C76"/>
    <w:rsid w:val="00735A44"/>
    <w:rsid w:val="00746251"/>
    <w:rsid w:val="00770745"/>
    <w:rsid w:val="007A7F94"/>
    <w:rsid w:val="007C1875"/>
    <w:rsid w:val="007D5BC3"/>
    <w:rsid w:val="00800E2B"/>
    <w:rsid w:val="008C0754"/>
    <w:rsid w:val="008C34C2"/>
    <w:rsid w:val="009044FB"/>
    <w:rsid w:val="00922C31"/>
    <w:rsid w:val="009445A6"/>
    <w:rsid w:val="009A0AB6"/>
    <w:rsid w:val="009B4ECA"/>
    <w:rsid w:val="009D40FA"/>
    <w:rsid w:val="009F65F1"/>
    <w:rsid w:val="00A4456E"/>
    <w:rsid w:val="00A6620C"/>
    <w:rsid w:val="00A80F3C"/>
    <w:rsid w:val="00B05B7F"/>
    <w:rsid w:val="00B06DA8"/>
    <w:rsid w:val="00BA19C2"/>
    <w:rsid w:val="00BA2634"/>
    <w:rsid w:val="00BB3F4D"/>
    <w:rsid w:val="00BF56E3"/>
    <w:rsid w:val="00C34041"/>
    <w:rsid w:val="00CB4044"/>
    <w:rsid w:val="00CE5018"/>
    <w:rsid w:val="00D335EE"/>
    <w:rsid w:val="00D42E7C"/>
    <w:rsid w:val="00D6416F"/>
    <w:rsid w:val="00DC6EBA"/>
    <w:rsid w:val="00DC78A7"/>
    <w:rsid w:val="00DE3A99"/>
    <w:rsid w:val="00E1324A"/>
    <w:rsid w:val="00E37EC0"/>
    <w:rsid w:val="00E5199E"/>
    <w:rsid w:val="00ED61C8"/>
    <w:rsid w:val="00F35DBA"/>
    <w:rsid w:val="00F4341C"/>
    <w:rsid w:val="00F5198A"/>
    <w:rsid w:val="00F744C0"/>
    <w:rsid w:val="00FC54C7"/>
    <w:rsid w:val="00FC6251"/>
    <w:rsid w:val="00FF0AA3"/>
    <w:rsid w:val="04070A35"/>
    <w:rsid w:val="05AF736B"/>
    <w:rsid w:val="07006422"/>
    <w:rsid w:val="07F402F6"/>
    <w:rsid w:val="08675DE4"/>
    <w:rsid w:val="08946030"/>
    <w:rsid w:val="08F57D70"/>
    <w:rsid w:val="09785188"/>
    <w:rsid w:val="0D853ECE"/>
    <w:rsid w:val="0FAF42F1"/>
    <w:rsid w:val="10000EEC"/>
    <w:rsid w:val="17775852"/>
    <w:rsid w:val="17E7688F"/>
    <w:rsid w:val="18570AF8"/>
    <w:rsid w:val="1E9E556D"/>
    <w:rsid w:val="1FAB7BFA"/>
    <w:rsid w:val="21A53135"/>
    <w:rsid w:val="23BF0BF0"/>
    <w:rsid w:val="24A25375"/>
    <w:rsid w:val="26190D9D"/>
    <w:rsid w:val="29E15A17"/>
    <w:rsid w:val="2C3558E8"/>
    <w:rsid w:val="2D1719B3"/>
    <w:rsid w:val="2D371C13"/>
    <w:rsid w:val="2D44205C"/>
    <w:rsid w:val="3338703A"/>
    <w:rsid w:val="33FF78CC"/>
    <w:rsid w:val="36E32708"/>
    <w:rsid w:val="3E7B5097"/>
    <w:rsid w:val="3E8D03FC"/>
    <w:rsid w:val="44E94809"/>
    <w:rsid w:val="4A2A5954"/>
    <w:rsid w:val="4ADB7F21"/>
    <w:rsid w:val="4F0D6073"/>
    <w:rsid w:val="512A234F"/>
    <w:rsid w:val="52CF3C06"/>
    <w:rsid w:val="535F3156"/>
    <w:rsid w:val="53DC191A"/>
    <w:rsid w:val="54AE21F6"/>
    <w:rsid w:val="55DA21C1"/>
    <w:rsid w:val="56450222"/>
    <w:rsid w:val="58825341"/>
    <w:rsid w:val="5AD4179F"/>
    <w:rsid w:val="5BED795C"/>
    <w:rsid w:val="5F8C4E86"/>
    <w:rsid w:val="60165E4A"/>
    <w:rsid w:val="61ED2DE7"/>
    <w:rsid w:val="63CA488D"/>
    <w:rsid w:val="68405B86"/>
    <w:rsid w:val="6E1E2B22"/>
    <w:rsid w:val="6F475C6B"/>
    <w:rsid w:val="71D006BE"/>
    <w:rsid w:val="73E81F61"/>
    <w:rsid w:val="74515600"/>
    <w:rsid w:val="77B44D6B"/>
    <w:rsid w:val="7808639C"/>
    <w:rsid w:val="7B232871"/>
    <w:rsid w:val="7BCB3809"/>
    <w:rsid w:val="7DD97CC9"/>
    <w:rsid w:val="7F5911A6"/>
    <w:rsid w:val="7F936D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1"/>
        <w:left w:val="none" w:color="auto" w:sz="0" w:space="4"/>
        <w:bottom w:val="none" w:color="auto" w:sz="0" w:space="1"/>
        <w:right w:val="none" w:color="auto" w:sz="0" w:space="4"/>
      </w:pBdr>
      <w:suppressAutoHyphens w:val="0"/>
      <w:spacing w:line="600" w:lineRule="exact"/>
      <w:ind w:firstLine="640"/>
      <w:jc w:val="both"/>
    </w:pPr>
    <w:rPr>
      <w:rFonts w:hint="eastAsia" w:ascii="方正仿宋_GBK" w:hAnsi="方正仿宋_GBK" w:eastAsia="方正仿宋_GBK" w:cs="方正仿宋_GBK"/>
      <w:snapToGrid w:val="0"/>
      <w:color w:val="000000"/>
      <w:kern w:val="2"/>
      <w:sz w:val="32"/>
      <w:szCs w:val="24"/>
      <w:lang w:val="en-US" w:eastAsia="zh-CN" w:bidi="ar-SA"/>
    </w:rPr>
  </w:style>
  <w:style w:type="paragraph" w:styleId="2">
    <w:name w:val="heading 1"/>
    <w:next w:val="1"/>
    <w:qFormat/>
    <w:uiPriority w:val="0"/>
    <w:pPr>
      <w:widowControl w:val="0"/>
      <w:numPr>
        <w:ilvl w:val="0"/>
        <w:numId w:val="1"/>
      </w:numPr>
      <w:pBdr>
        <w:top w:val="none" w:color="auto" w:sz="0" w:space="1"/>
        <w:left w:val="none" w:color="auto" w:sz="0" w:space="4"/>
        <w:bottom w:val="none" w:color="auto" w:sz="0" w:space="1"/>
        <w:right w:val="none" w:color="auto" w:sz="0" w:space="4"/>
      </w:pBdr>
      <w:suppressAutoHyphens w:val="0"/>
      <w:spacing w:beforeAutospacing="0" w:afterAutospacing="0" w:line="600" w:lineRule="exact"/>
      <w:ind w:firstLine="640"/>
      <w:jc w:val="both"/>
      <w:outlineLvl w:val="0"/>
    </w:pPr>
    <w:rPr>
      <w:rFonts w:hint="eastAsia" w:ascii="方正黑体_GBK" w:hAnsi="方正黑体_GBK" w:eastAsia="方正黑体_GBK" w:cs="方正黑体_GBK"/>
      <w:snapToGrid w:val="0"/>
      <w:color w:val="000000"/>
      <w:kern w:val="44"/>
      <w:sz w:val="32"/>
      <w:szCs w:val="48"/>
      <w:lang w:eastAsia="zh-CN"/>
    </w:rPr>
  </w:style>
  <w:style w:type="paragraph" w:styleId="3">
    <w:name w:val="heading 2"/>
    <w:next w:val="1"/>
    <w:unhideWhenUsed/>
    <w:qFormat/>
    <w:locked/>
    <w:uiPriority w:val="0"/>
    <w:pPr>
      <w:keepNext w:val="0"/>
      <w:keepLines w:val="0"/>
      <w:widowControl w:val="0"/>
      <w:numPr>
        <w:ilvl w:val="1"/>
        <w:numId w:val="1"/>
      </w:numPr>
      <w:pBdr>
        <w:top w:val="none" w:color="auto" w:sz="0" w:space="1"/>
        <w:left w:val="none" w:color="auto" w:sz="0" w:space="4"/>
        <w:bottom w:val="none" w:color="auto" w:sz="0" w:space="1"/>
        <w:right w:val="none" w:color="auto" w:sz="0" w:space="4"/>
      </w:pBdr>
      <w:suppressAutoHyphens w:val="0"/>
      <w:spacing w:beforeLines="0" w:beforeAutospacing="0" w:afterLines="0" w:afterAutospacing="0" w:line="600" w:lineRule="exact"/>
      <w:ind w:firstLine="640" w:firstLineChars="0"/>
      <w:jc w:val="both"/>
      <w:outlineLvl w:val="1"/>
    </w:pPr>
    <w:rPr>
      <w:rFonts w:hint="eastAsia" w:ascii="方正楷体_GBK" w:hAnsi="方正楷体_GBK" w:eastAsia="方正楷体_GBK" w:cs="方正楷体_GBK"/>
      <w:b/>
      <w:bCs/>
      <w:snapToGrid w:val="0"/>
      <w:color w:val="000000"/>
      <w:sz w:val="32"/>
      <w:lang w:eastAsia="zh-CN"/>
    </w:rPr>
  </w:style>
  <w:style w:type="paragraph" w:styleId="4">
    <w:name w:val="heading 3"/>
    <w:next w:val="1"/>
    <w:semiHidden/>
    <w:unhideWhenUsed/>
    <w:qFormat/>
    <w:locked/>
    <w:uiPriority w:val="0"/>
    <w:pPr>
      <w:keepNext w:val="0"/>
      <w:keepLines w:val="0"/>
      <w:widowControl w:val="0"/>
      <w:numPr>
        <w:ilvl w:val="2"/>
        <w:numId w:val="1"/>
      </w:numPr>
      <w:pBdr>
        <w:top w:val="none" w:color="auto" w:sz="0" w:space="1"/>
        <w:left w:val="none" w:color="auto" w:sz="0" w:space="4"/>
        <w:bottom w:val="none" w:color="auto" w:sz="0" w:space="1"/>
        <w:right w:val="none" w:color="auto" w:sz="0" w:space="4"/>
      </w:pBdr>
      <w:suppressAutoHyphens w:val="0"/>
      <w:spacing w:beforeLines="0" w:beforeAutospacing="0" w:afterLines="0" w:afterAutospacing="0" w:line="600" w:lineRule="exact"/>
      <w:ind w:firstLine="640" w:firstLineChars="0"/>
      <w:jc w:val="both"/>
      <w:outlineLvl w:val="2"/>
    </w:pPr>
    <w:rPr>
      <w:rFonts w:hint="eastAsia" w:ascii="方正仿宋_GBK" w:hAnsi="方正仿宋_GBK" w:eastAsia="方正仿宋_GBK" w:cs="方正仿宋_GBK"/>
      <w:b/>
      <w:bCs/>
      <w:snapToGrid w:val="0"/>
      <w:color w:val="000000"/>
      <w:sz w:val="32"/>
      <w:lang w:eastAsia="zh-CN"/>
    </w:rPr>
  </w:style>
  <w:style w:type="paragraph" w:styleId="5">
    <w:name w:val="heading 4"/>
    <w:next w:val="1"/>
    <w:semiHidden/>
    <w:unhideWhenUsed/>
    <w:qFormat/>
    <w:locked/>
    <w:uiPriority w:val="0"/>
    <w:pPr>
      <w:keepNext w:val="0"/>
      <w:keepLines w:val="0"/>
      <w:widowControl w:val="0"/>
      <w:numPr>
        <w:ilvl w:val="3"/>
        <w:numId w:val="1"/>
      </w:numPr>
      <w:pBdr>
        <w:top w:val="none" w:color="auto" w:sz="0" w:space="1"/>
        <w:left w:val="none" w:color="auto" w:sz="0" w:space="4"/>
        <w:bottom w:val="none" w:color="auto" w:sz="0" w:space="1"/>
        <w:right w:val="none" w:color="auto" w:sz="0" w:space="4"/>
      </w:pBdr>
      <w:suppressAutoHyphens w:val="0"/>
      <w:spacing w:beforeLines="0" w:beforeAutospacing="0" w:afterLines="0" w:afterAutospacing="0" w:line="600" w:lineRule="exact"/>
      <w:ind w:firstLine="640" w:firstLineChars="0"/>
      <w:jc w:val="both"/>
      <w:outlineLvl w:val="3"/>
    </w:pPr>
    <w:rPr>
      <w:rFonts w:hint="eastAsia" w:ascii="方正仿宋_GBK" w:hAnsi="方正仿宋_GBK" w:eastAsia="方正仿宋_GBK" w:cs="方正仿宋_GBK"/>
      <w:snapToGrid w:val="0"/>
      <w:color w:val="000000"/>
      <w:sz w:val="32"/>
      <w:lang w:eastAsia="zh-CN"/>
    </w:rPr>
  </w:style>
  <w:style w:type="paragraph" w:styleId="6">
    <w:name w:val="heading 5"/>
    <w:basedOn w:val="1"/>
    <w:next w:val="1"/>
    <w:semiHidden/>
    <w:unhideWhenUsed/>
    <w:qFormat/>
    <w:locked/>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7">
    <w:name w:val="heading 6"/>
    <w:basedOn w:val="1"/>
    <w:next w:val="1"/>
    <w:semiHidden/>
    <w:unhideWhenUsed/>
    <w:qFormat/>
    <w:locked/>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locked/>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locked/>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locked/>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11">
    <w:name w:val="Normal Indent"/>
    <w:basedOn w:val="1"/>
    <w:next w:val="1"/>
    <w:qFormat/>
    <w:uiPriority w:val="0"/>
    <w:pPr>
      <w:ind w:firstLine="420" w:firstLineChars="200"/>
    </w:pPr>
    <w:rPr>
      <w:rFonts w:cs="Calibri"/>
      <w:szCs w:val="21"/>
    </w:rPr>
  </w:style>
  <w:style w:type="paragraph" w:styleId="12">
    <w:name w:val="Body Text"/>
    <w:basedOn w:val="1"/>
    <w:next w:val="1"/>
    <w:qFormat/>
    <w:uiPriority w:val="0"/>
    <w:pPr>
      <w:spacing w:after="120"/>
    </w:pPr>
    <w:rPr>
      <w:rFonts w:ascii="Times New Roman" w:hAnsi="Times New Roman" w:eastAsia="方正仿宋_GBK"/>
      <w:sz w:val="32"/>
      <w:szCs w:val="32"/>
    </w:rPr>
  </w:style>
  <w:style w:type="paragraph" w:styleId="13">
    <w:name w:val="Plain Text"/>
    <w:basedOn w:val="1"/>
    <w:qFormat/>
    <w:uiPriority w:val="0"/>
    <w:rPr>
      <w:rFonts w:ascii="宋体" w:hAnsi="Courier New" w:cs="Courier New"/>
      <w:color w:val="000000"/>
      <w:spacing w:val="20"/>
      <w:szCs w:val="21"/>
    </w:rPr>
  </w:style>
  <w:style w:type="paragraph" w:styleId="14">
    <w:name w:val="Date"/>
    <w:basedOn w:val="1"/>
    <w:next w:val="1"/>
    <w:qFormat/>
    <w:uiPriority w:val="0"/>
    <w:pPr>
      <w:ind w:left="100" w:leftChars="2500"/>
    </w:pPr>
  </w:style>
  <w:style w:type="paragraph" w:styleId="15">
    <w:name w:val="Body Text 2"/>
    <w:basedOn w:val="1"/>
    <w:qFormat/>
    <w:uiPriority w:val="0"/>
    <w:pPr>
      <w:jc w:val="center"/>
    </w:pPr>
    <w:rPr>
      <w:rFonts w:eastAsia="黑体"/>
      <w:bCs/>
      <w:sz w:val="44"/>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qFormat/>
    <w:uiPriority w:val="0"/>
    <w:pPr>
      <w:spacing w:beforeAutospacing="1" w:afterAutospacing="1"/>
      <w:jc w:val="left"/>
    </w:pPr>
    <w:rPr>
      <w:kern w:val="0"/>
      <w:sz w:val="24"/>
    </w:rPr>
  </w:style>
  <w:style w:type="paragraph" w:styleId="18">
    <w:name w:val="Title"/>
    <w:next w:val="1"/>
    <w:qFormat/>
    <w:locked/>
    <w:uiPriority w:val="0"/>
    <w:pPr>
      <w:widowControl w:val="0"/>
      <w:pBdr>
        <w:top w:val="none" w:color="auto" w:sz="0" w:space="1"/>
        <w:left w:val="none" w:color="auto" w:sz="0" w:space="4"/>
        <w:bottom w:val="none" w:color="auto" w:sz="0" w:space="1"/>
        <w:right w:val="none" w:color="auto" w:sz="0" w:space="4"/>
      </w:pBdr>
      <w:suppressAutoHyphens w:val="0"/>
      <w:spacing w:beforeLines="0" w:beforeAutospacing="0" w:afterLines="0" w:afterAutospacing="0" w:line="600" w:lineRule="exact"/>
      <w:ind w:firstLine="0" w:firstLineChars="0"/>
      <w:jc w:val="center"/>
      <w:outlineLvl w:val="0"/>
    </w:pPr>
    <w:rPr>
      <w:rFonts w:hint="eastAsia" w:ascii="方正小标宋_GBK" w:hAnsi="方正小标宋_GBK" w:eastAsia="方正小标宋_GBK" w:cs="方正小标宋_GBK"/>
      <w:b/>
      <w:bCs/>
      <w:snapToGrid w:val="0"/>
      <w:color w:val="000000"/>
      <w:sz w:val="44"/>
      <w:szCs w:val="44"/>
      <w:lang w:eastAsia="zh-CN"/>
    </w:rPr>
  </w:style>
  <w:style w:type="character" w:styleId="21">
    <w:name w:val="Strong"/>
    <w:basedOn w:val="20"/>
    <w:qFormat/>
    <w:uiPriority w:val="0"/>
    <w:rPr>
      <w:rFonts w:cs="Times New Roman"/>
      <w:b/>
    </w:rPr>
  </w:style>
  <w:style w:type="character" w:styleId="22">
    <w:name w:val="page number"/>
    <w:basedOn w:val="20"/>
    <w:qFormat/>
    <w:uiPriority w:val="0"/>
  </w:style>
  <w:style w:type="character" w:styleId="23">
    <w:name w:val="Hyperlink"/>
    <w:basedOn w:val="20"/>
    <w:qFormat/>
    <w:uiPriority w:val="0"/>
    <w:rPr>
      <w:rFonts w:cs="Times New Roman"/>
      <w:color w:val="0000FF"/>
      <w:u w:val="single"/>
    </w:rPr>
  </w:style>
  <w:style w:type="character" w:customStyle="1" w:styleId="24">
    <w:name w:val="font121"/>
    <w:basedOn w:val="20"/>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2772</Words>
  <Characters>2814</Characters>
  <Lines>19</Lines>
  <Paragraphs>5</Paragraphs>
  <TotalTime>4</TotalTime>
  <ScaleCrop>false</ScaleCrop>
  <LinksUpToDate>false</LinksUpToDate>
  <CharactersWithSpaces>2826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2024-02-02T10:41:00Z</dcterms:created>
  <dc:creator>Administrator</dc:creator>
  <cp:lastModifiedBy>user</cp:lastModifiedBy>
  <cp:lastPrinted>2024-02-02T14:34:00Z</cp:lastPrinted>
  <dcterms:modified xsi:type="dcterms:W3CDTF">2024-02-19T16:33:39Z</dcterms:modified>
  <dc:title>南川农委发〔2023〕29号</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F2C29A2A7A9745DB9C5D910DFD4CA3D6_13</vt:lpwstr>
  </property>
</Properties>
</file>