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宋体" w:hAnsi="宋体"/>
        </w:rPr>
      </w:pPr>
    </w:p>
    <w:p>
      <w:pPr>
        <w:spacing w:line="1000" w:lineRule="exact"/>
        <w:jc w:val="center"/>
        <w:rPr>
          <w:rFonts w:ascii="方正小标宋_GBK" w:eastAsia="方正小标宋_GBK"/>
          <w:bCs/>
          <w:color w:val="FF0000"/>
          <w:w w:val="45"/>
          <w:sz w:val="140"/>
          <w:szCs w:val="140"/>
        </w:rPr>
      </w:pPr>
    </w:p>
    <w:p>
      <w:pPr>
        <w:spacing w:line="1600" w:lineRule="exact"/>
        <w:jc w:val="center"/>
        <w:rPr>
          <w:rFonts w:ascii="方正小标宋_GBK" w:eastAsia="方正小标宋_GBK"/>
          <w:b/>
          <w:bCs/>
          <w:color w:val="FF0000"/>
          <w:w w:val="51"/>
          <w:sz w:val="114"/>
          <w:szCs w:val="114"/>
        </w:rPr>
      </w:pPr>
      <w:r>
        <w:rPr>
          <w:rFonts w:hint="eastAsia" w:ascii="方正小标宋_GBK" w:eastAsia="方正小标宋_GBK"/>
          <w:b/>
          <w:bCs/>
          <w:color w:val="FF0000"/>
          <w:w w:val="51"/>
          <w:sz w:val="114"/>
          <w:szCs w:val="114"/>
        </w:rPr>
        <w:t>重庆市涪陵区农业农村委员会文件</w:t>
      </w:r>
    </w:p>
    <w:p>
      <w:pPr>
        <w:pStyle w:val="5"/>
        <w:widowControl w:val="0"/>
        <w:spacing w:before="0" w:beforeAutospacing="0" w:after="0" w:afterAutospacing="0" w:line="600" w:lineRule="exact"/>
        <w:jc w:val="center"/>
        <w:rPr>
          <w:rFonts w:ascii="方正仿宋简体" w:eastAsia="方正仿宋简体"/>
          <w:bCs/>
          <w:kern w:val="2"/>
          <w:sz w:val="32"/>
        </w:rPr>
      </w:pPr>
    </w:p>
    <w:p>
      <w:pPr>
        <w:pStyle w:val="5"/>
        <w:widowControl w:val="0"/>
        <w:spacing w:before="0" w:beforeAutospacing="0" w:after="0" w:afterAutospacing="0" w:line="600" w:lineRule="exact"/>
        <w:jc w:val="center"/>
        <w:rPr>
          <w:rFonts w:ascii="方正仿宋_GBK" w:eastAsia="方正仿宋_GBK"/>
          <w:sz w:val="32"/>
          <w:szCs w:val="32"/>
        </w:rPr>
      </w:pPr>
      <w:r>
        <w:rPr>
          <w:rFonts w:hint="eastAsia" w:ascii="方正仿宋_GBK" w:eastAsia="方正仿宋_GBK"/>
          <w:sz w:val="32"/>
          <w:szCs w:val="32"/>
        </w:rPr>
        <w:t>涪农委发〔</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4</w:t>
      </w:r>
      <w:r>
        <w:rPr>
          <w:rFonts w:hint="eastAsia" w:ascii="方正仿宋_GBK" w:eastAsia="方正仿宋_GBK"/>
          <w:sz w:val="32"/>
          <w:szCs w:val="32"/>
        </w:rPr>
        <w:t>〕</w:t>
      </w:r>
      <w:r>
        <w:rPr>
          <w:rFonts w:hint="eastAsia" w:ascii="Times New Roman" w:hAnsi="Times New Roman" w:eastAsia="方正仿宋_GBK"/>
          <w:sz w:val="32"/>
          <w:szCs w:val="32"/>
        </w:rPr>
        <w:t>11</w:t>
      </w:r>
      <w:r>
        <w:rPr>
          <w:rFonts w:hint="eastAsia" w:ascii="方正仿宋_GBK" w:eastAsia="方正仿宋_GBK"/>
          <w:sz w:val="32"/>
          <w:szCs w:val="32"/>
        </w:rPr>
        <w:t>号</w:t>
      </w:r>
    </w:p>
    <w:p>
      <w:pPr>
        <w:spacing w:line="600" w:lineRule="exact"/>
        <w:jc w:val="center"/>
        <w:rPr>
          <w:rFonts w:ascii="方正仿宋简体" w:eastAsia="方正仿宋简体"/>
          <w:bCs/>
        </w:rPr>
      </w:pPr>
      <w: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13335</wp:posOffset>
                </wp:positionV>
                <wp:extent cx="5593080" cy="0"/>
                <wp:effectExtent l="0" t="0" r="0" b="0"/>
                <wp:wrapNone/>
                <wp:docPr id="1" name="直线 28"/>
                <wp:cNvGraphicFramePr/>
                <a:graphic xmlns:a="http://schemas.openxmlformats.org/drawingml/2006/main">
                  <a:graphicData uri="http://schemas.microsoft.com/office/word/2010/wordprocessingShape">
                    <wps:wsp>
                      <wps:cNvSpPr/>
                      <wps:spPr>
                        <a:xfrm>
                          <a:off x="0" y="0"/>
                          <a:ext cx="559308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8" o:spid="_x0000_s1026" o:spt="20" style="position:absolute;left:0pt;margin-left:-0.45pt;margin-top:1.05pt;height:0pt;width:440.4pt;z-index:251659264;mso-width-relative:page;mso-height-relative:page;" filled="f" stroked="t" coordsize="21600,21600" o:gfxdata="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K85KK&#10;1gAAAAUBAAAPAAAAAAAAAAEAIAAAACIAAABkcnMvZG93bnJldi54bWxQSwECFAAUAAAACACHTuJA&#10;U8T+1uoBAADdAwAADgAAAAAAAAABACAAAAAlAQAAZHJzL2Uyb0RvYy54bWxQSwUGAAAAAAYABgBZ&#10;AQAAgQUAAAAA&#10;">
                <v:fill on="f" focussize="0,0"/>
                <v:stroke weight="3pt" color="#FF0000" joinstyle="round"/>
                <v:imagedata o:title=""/>
                <o:lock v:ext="edit" aspectratio="f"/>
              </v:line>
            </w:pict>
          </mc:Fallback>
        </mc:AlternateContent>
      </w:r>
    </w:p>
    <w:p>
      <w:pPr>
        <w:spacing w:line="600" w:lineRule="exact"/>
        <w:jc w:val="center"/>
        <w:rPr>
          <w:rFonts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方正小标宋_GBK" w:hAnsi="宋体" w:eastAsia="方正小标宋_GBK" w:cs="宋体"/>
          <w:bCs/>
          <w:kern w:val="36"/>
          <w:sz w:val="44"/>
          <w:szCs w:val="44"/>
        </w:rPr>
      </w:pPr>
      <w:r>
        <w:rPr>
          <w:rFonts w:hint="eastAsia" w:ascii="方正小标宋_GBK" w:hAnsi="宋体" w:eastAsia="方正小标宋_GBK" w:cs="宋体"/>
          <w:bCs/>
          <w:kern w:val="36"/>
          <w:sz w:val="44"/>
          <w:szCs w:val="44"/>
        </w:rPr>
        <w:t>重庆市涪陵区农业农村委员会</w:t>
      </w:r>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方正仿宋_GBK" w:hAnsi="华文仿宋" w:eastAsia="方正仿宋_GBK"/>
          <w:sz w:val="32"/>
          <w:szCs w:val="32"/>
        </w:rPr>
      </w:pPr>
      <w:r>
        <w:rPr>
          <w:rFonts w:hint="eastAsia" w:ascii="方正小标宋_GBK" w:hAnsi="宋体" w:eastAsia="方正小标宋_GBK" w:cs="宋体"/>
          <w:bCs/>
          <w:kern w:val="36"/>
          <w:sz w:val="44"/>
          <w:szCs w:val="44"/>
        </w:rPr>
        <w:t>关于印发《</w:t>
      </w:r>
      <w:r>
        <w:rPr>
          <w:rFonts w:hint="eastAsia" w:eastAsia="方正小标宋_GBK" w:cs="宋体"/>
          <w:bCs/>
          <w:kern w:val="36"/>
          <w:sz w:val="44"/>
          <w:szCs w:val="44"/>
        </w:rPr>
        <w:t>2024</w:t>
      </w:r>
      <w:r>
        <w:rPr>
          <w:rFonts w:hint="eastAsia" w:ascii="方正小标宋_GBK" w:hAnsi="宋体" w:eastAsia="方正小标宋_GBK" w:cs="宋体"/>
          <w:bCs/>
          <w:kern w:val="36"/>
          <w:sz w:val="44"/>
          <w:szCs w:val="44"/>
        </w:rPr>
        <w:t>年涪陵区种业知识产权保护暨种业监管执法年活动方案》的通知</w:t>
      </w:r>
    </w:p>
    <w:p>
      <w:pPr>
        <w:keepNext w:val="0"/>
        <w:keepLines w:val="0"/>
        <w:pageBreakBefore w:val="0"/>
        <w:widowControl w:val="0"/>
        <w:kinsoku/>
        <w:wordWrap/>
        <w:overflowPunct/>
        <w:topLinePunct w:val="0"/>
        <w:autoSpaceDE/>
        <w:autoSpaceDN/>
        <w:bidi w:val="0"/>
        <w:spacing w:line="480" w:lineRule="exact"/>
        <w:textAlignment w:val="auto"/>
        <w:rPr>
          <w:rFonts w:hint="eastAsia" w:ascii="方正仿宋_GBK" w:hAnsi="方正仿宋_GBK" w:eastAsia="方正仿宋_GBK" w:cs="Arial"/>
          <w:sz w:val="32"/>
          <w:szCs w:val="32"/>
        </w:rPr>
      </w:pPr>
    </w:p>
    <w:p>
      <w:pPr>
        <w:keepNext w:val="0"/>
        <w:keepLines w:val="0"/>
        <w:pageBreakBefore w:val="0"/>
        <w:widowControl w:val="0"/>
        <w:kinsoku/>
        <w:wordWrap/>
        <w:overflowPunct/>
        <w:topLinePunct w:val="0"/>
        <w:autoSpaceDE/>
        <w:autoSpaceDN/>
        <w:bidi w:val="0"/>
        <w:spacing w:line="4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各乡镇人民政府、街道办事处，委属有关单位</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方正黑体_GBK" w:eastAsia="方正黑体_GBK"/>
          <w:sz w:val="32"/>
          <w:szCs w:val="32"/>
        </w:rPr>
      </w:pPr>
      <w:r>
        <w:rPr>
          <w:rFonts w:hint="eastAsia" w:ascii="方正仿宋_GBK" w:hAnsi="方正仿宋_GBK" w:eastAsia="方正仿宋_GBK" w:cs="方正仿宋_GBK"/>
          <w:sz w:val="32"/>
          <w:szCs w:val="32"/>
        </w:rPr>
        <w:t>根据市农业农村委《</w:t>
      </w:r>
      <w:r>
        <w:rPr>
          <w:rFonts w:eastAsia="方正仿宋_GBK"/>
          <w:sz w:val="32"/>
          <w:szCs w:val="32"/>
        </w:rPr>
        <w:t>关于印发202</w:t>
      </w:r>
      <w:r>
        <w:rPr>
          <w:rFonts w:hint="eastAsia" w:eastAsia="方正仿宋_GBK"/>
          <w:sz w:val="32"/>
          <w:szCs w:val="32"/>
        </w:rPr>
        <w:t>4</w:t>
      </w:r>
      <w:r>
        <w:rPr>
          <w:rFonts w:eastAsia="方正仿宋_GBK"/>
          <w:sz w:val="32"/>
          <w:szCs w:val="32"/>
        </w:rPr>
        <w:t>年</w:t>
      </w:r>
      <w:r>
        <w:rPr>
          <w:rFonts w:hint="eastAsia" w:eastAsia="方正仿宋_GBK"/>
          <w:sz w:val="32"/>
          <w:szCs w:val="32"/>
        </w:rPr>
        <w:t>全市种业知识产权保护暨</w:t>
      </w:r>
      <w:r>
        <w:rPr>
          <w:rFonts w:eastAsia="方正仿宋_GBK"/>
          <w:sz w:val="32"/>
          <w:szCs w:val="32"/>
        </w:rPr>
        <w:t>种业监管执法年活动方案的通知</w:t>
      </w:r>
      <w:r>
        <w:rPr>
          <w:rFonts w:hint="eastAsia" w:eastAsia="方正仿宋_GBK"/>
          <w:sz w:val="32"/>
          <w:szCs w:val="32"/>
        </w:rPr>
        <w:t>》（</w:t>
      </w:r>
      <w:r>
        <w:rPr>
          <w:rFonts w:eastAsia="方正仿宋_GBK"/>
          <w:sz w:val="32"/>
          <w:szCs w:val="32"/>
          <w:lang w:val="en"/>
        </w:rPr>
        <w:t>渝农办发</w:t>
      </w:r>
      <w:r>
        <w:rPr>
          <w:rFonts w:hint="eastAsia" w:ascii="方正仿宋_GBK" w:hAnsi="方正仿宋_GBK" w:eastAsia="方正仿宋_GBK" w:cs="方正仿宋_GBK"/>
          <w:sz w:val="32"/>
          <w:szCs w:val="32"/>
        </w:rPr>
        <w:t>〔</w:t>
      </w:r>
      <w:r>
        <w:rPr>
          <w:rFonts w:hint="eastAsia" w:eastAsia="方正仿宋_GBK" w:cs="方正仿宋_GBK"/>
          <w:sz w:val="32"/>
          <w:szCs w:val="32"/>
          <w:lang w:val="en"/>
        </w:rPr>
        <w:t>2024</w:t>
      </w:r>
      <w:r>
        <w:rPr>
          <w:rFonts w:hint="eastAsia" w:ascii="方正仿宋_GBK" w:hAnsi="方正仿宋_GBK" w:eastAsia="方正仿宋_GBK" w:cs="方正仿宋_GBK"/>
          <w:sz w:val="32"/>
          <w:szCs w:val="32"/>
        </w:rPr>
        <w:t>〕</w:t>
      </w:r>
      <w:r>
        <w:rPr>
          <w:rFonts w:hint="eastAsia" w:eastAsia="方正仿宋_GBK" w:cs="方正仿宋_GBK"/>
          <w:sz w:val="32"/>
          <w:szCs w:val="32"/>
          <w:lang w:val="en"/>
        </w:rPr>
        <w:t>10</w:t>
      </w:r>
      <w:r>
        <w:rPr>
          <w:rFonts w:hint="eastAsia" w:ascii="方正仿宋_GBK" w:hAnsi="方正仿宋_GBK" w:eastAsia="方正仿宋_GBK" w:cs="方正仿宋_GBK"/>
          <w:sz w:val="32"/>
          <w:szCs w:val="32"/>
        </w:rPr>
        <w:t>号</w:t>
      </w:r>
      <w:r>
        <w:rPr>
          <w:rFonts w:hint="eastAsia" w:eastAsia="方正仿宋_GBK"/>
          <w:sz w:val="32"/>
          <w:szCs w:val="32"/>
        </w:rPr>
        <w:t>）</w:t>
      </w:r>
      <w:r>
        <w:rPr>
          <w:rFonts w:hint="eastAsia" w:ascii="方正仿宋_GBK" w:hAnsi="方正仿宋_GBK" w:eastAsia="方正仿宋_GBK" w:cs="方正仿宋_GBK"/>
          <w:sz w:val="32"/>
          <w:szCs w:val="32"/>
        </w:rPr>
        <w:t>等文件要求，区农业农村委制定了《</w:t>
      </w:r>
      <w:r>
        <w:rPr>
          <w:rFonts w:hint="eastAsia" w:eastAsia="方正仿宋_GBK" w:cs="方正仿宋_GBK"/>
          <w:sz w:val="32"/>
          <w:szCs w:val="32"/>
        </w:rPr>
        <w:t>2024</w:t>
      </w:r>
      <w:r>
        <w:rPr>
          <w:rFonts w:hint="eastAsia" w:ascii="方正仿宋_GBK" w:hAnsi="方正仿宋_GBK" w:eastAsia="方正仿宋_GBK" w:cs="方正仿宋_GBK"/>
          <w:sz w:val="32"/>
          <w:szCs w:val="32"/>
        </w:rPr>
        <w:t>年涪陵区种业知识产权保护暨种业监管执法年活动方案》，现印发给你们，请结合本地实际认真抓好落实。</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黑体_GBK"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eastAsia="方正仿宋_GBK"/>
          <w:sz w:val="32"/>
          <w:szCs w:val="32"/>
        </w:rPr>
      </w:pPr>
      <w:r>
        <w:rPr>
          <w:rFonts w:hint="eastAsia" w:ascii="方正黑体_GBK" w:eastAsia="方正黑体_GBK"/>
          <w:sz w:val="32"/>
          <w:szCs w:val="32"/>
        </w:rPr>
        <w:t xml:space="preserve">                       </w:t>
      </w:r>
      <w:r>
        <w:rPr>
          <w:rFonts w:hint="eastAsia" w:ascii="方正仿宋_GBK" w:eastAsia="方正仿宋_GBK"/>
          <w:sz w:val="32"/>
          <w:szCs w:val="32"/>
        </w:rPr>
        <w:t xml:space="preserve">   重庆市涪陵区农业农村委员会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eastAsia="方正仿宋_GBK"/>
          <w:sz w:val="32"/>
          <w:szCs w:val="32"/>
        </w:rPr>
      </w:pPr>
      <w:r>
        <w:rPr>
          <w:rFonts w:hint="eastAsia" w:ascii="方正仿宋_GBK" w:eastAsia="方正仿宋_GBK"/>
          <w:sz w:val="32"/>
          <w:szCs w:val="32"/>
        </w:rPr>
        <w:t xml:space="preserve">                               </w:t>
      </w:r>
      <w:r>
        <w:rPr>
          <w:rFonts w:hint="eastAsia" w:eastAsia="方正仿宋_GBK"/>
          <w:sz w:val="32"/>
          <w:szCs w:val="32"/>
        </w:rPr>
        <w:t>2024</w:t>
      </w:r>
      <w:r>
        <w:rPr>
          <w:rFonts w:hint="eastAsia" w:ascii="方正仿宋_GBK" w:eastAsia="方正仿宋_GBK"/>
          <w:sz w:val="32"/>
          <w:szCs w:val="32"/>
        </w:rPr>
        <w:t>年</w:t>
      </w:r>
      <w:r>
        <w:rPr>
          <w:rFonts w:hint="eastAsia" w:eastAsia="方正仿宋_GBK"/>
          <w:sz w:val="32"/>
          <w:szCs w:val="32"/>
        </w:rPr>
        <w:t>3</w:t>
      </w:r>
      <w:r>
        <w:rPr>
          <w:rFonts w:hint="eastAsia" w:ascii="方正仿宋_GBK" w:eastAsia="方正仿宋_GBK"/>
          <w:sz w:val="32"/>
          <w:szCs w:val="32"/>
        </w:rPr>
        <w:t>月</w:t>
      </w:r>
      <w:r>
        <w:rPr>
          <w:rFonts w:hint="eastAsia" w:eastAsia="方正仿宋_GBK"/>
          <w:sz w:val="32"/>
          <w:szCs w:val="32"/>
        </w:rPr>
        <w:t>18</w:t>
      </w:r>
      <w:r>
        <w:rPr>
          <w:rFonts w:hint="eastAsia" w:ascii="方正仿宋_GBK" w:eastAsia="方正仿宋_GBK"/>
          <w:sz w:val="32"/>
          <w:szCs w:val="32"/>
        </w:rPr>
        <w:t>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eastAsia="方正仿宋_GBK"/>
          <w:sz w:val="32"/>
          <w:szCs w:val="32"/>
        </w:rPr>
        <w:sectPr>
          <w:footerReference r:id="rId3" w:type="default"/>
          <w:footerReference r:id="rId4" w:type="even"/>
          <w:pgSz w:w="11906" w:h="16838"/>
          <w:pgMar w:top="2098" w:right="1474" w:bottom="1984" w:left="1588" w:header="851" w:footer="1400" w:gutter="0"/>
          <w:cols w:space="720" w:num="1"/>
          <w:docGrid w:linePitch="534" w:charSpace="0"/>
        </w:sectPr>
      </w:pPr>
      <w:r>
        <w:rPr>
          <w:rFonts w:hint="eastAsia" w:ascii="方正黑体_GBK" w:eastAsia="方正黑体_GBK"/>
          <w:sz w:val="32"/>
          <w:szCs w:val="32"/>
        </w:rPr>
        <w:t xml:space="preserve">   </w:t>
      </w:r>
      <w:r>
        <w:rPr>
          <w:rFonts w:hint="eastAsia" w:ascii="方正仿宋_GBK" w:eastAsia="方正仿宋_GBK"/>
          <w:sz w:val="32"/>
          <w:szCs w:val="32"/>
        </w:rPr>
        <w:t xml:space="preserve">  （此件公开发布）</w:t>
      </w:r>
    </w:p>
    <w:p>
      <w:pPr>
        <w:spacing w:line="600" w:lineRule="exact"/>
        <w:jc w:val="center"/>
        <w:rPr>
          <w:rFonts w:hint="eastAsia" w:ascii="方正小标宋_GBK" w:hAnsi="方正小标宋_GBK" w:eastAsia="方正小标宋_GBK" w:cs="方正小标宋_GBK"/>
          <w:sz w:val="44"/>
          <w:szCs w:val="44"/>
        </w:rPr>
      </w:pPr>
      <w:r>
        <w:rPr>
          <w:rFonts w:hint="eastAsia" w:eastAsia="方正小标宋_GBK" w:cs="方正小标宋_GBK"/>
          <w:sz w:val="44"/>
          <w:szCs w:val="44"/>
        </w:rPr>
        <w:t>2024</w:t>
      </w:r>
      <w:r>
        <w:rPr>
          <w:rFonts w:hint="eastAsia" w:ascii="方正小标宋_GBK" w:hAnsi="方正小标宋_GBK" w:eastAsia="方正小标宋_GBK" w:cs="方正小标宋_GBK"/>
          <w:sz w:val="44"/>
          <w:szCs w:val="44"/>
        </w:rPr>
        <w:t>年涪陵区种业知识产权保护</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暨种业监管执法年活动方案</w:t>
      </w:r>
    </w:p>
    <w:p>
      <w:pPr>
        <w:spacing w:line="600" w:lineRule="exact"/>
        <w:jc w:val="both"/>
        <w:rPr>
          <w:rFonts w:hint="eastAsia" w:ascii="方正小标宋_GBK" w:hAnsi="方正小标宋_GBK" w:eastAsia="方正小标宋_GBK" w:cs="方正小标宋_GBK"/>
          <w:sz w:val="44"/>
          <w:szCs w:val="44"/>
        </w:rPr>
      </w:pP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为认真贯彻落实国家知识产权强国建设纲要和种业振兴行动方案部署要求，有效激励原始创新，全面净化种业市场，强化种业知识产权保护，按照市委、市政府有关工作要求和市农业农村委工作安排，</w:t>
      </w:r>
      <w:r>
        <w:rPr>
          <w:rFonts w:hint="eastAsia" w:eastAsia="方正仿宋_GBK" w:cs="方正仿宋_GBK"/>
          <w:sz w:val="32"/>
          <w:szCs w:val="32"/>
        </w:rPr>
        <w:t>2024</w:t>
      </w:r>
      <w:r>
        <w:rPr>
          <w:rFonts w:hint="eastAsia" w:ascii="方正仿宋_GBK" w:hAnsi="方正仿宋_GBK" w:eastAsia="方正仿宋_GBK" w:cs="方正仿宋_GBK"/>
          <w:sz w:val="32"/>
          <w:szCs w:val="32"/>
        </w:rPr>
        <w:t>年在全区开展种业知识产权保护暨种业监管执法年活动，制定本方案。</w:t>
      </w:r>
    </w:p>
    <w:p>
      <w:pPr>
        <w:spacing w:line="600" w:lineRule="exact"/>
        <w:ind w:firstLine="640" w:firstLineChars="200"/>
        <w:rPr>
          <w:rFonts w:hint="eastAsia" w:ascii="方正黑体_GBK" w:hAnsi="Calibri" w:eastAsia="方正黑体_GBK"/>
          <w:sz w:val="32"/>
          <w:szCs w:val="32"/>
        </w:rPr>
      </w:pPr>
      <w:r>
        <w:rPr>
          <w:rFonts w:hint="eastAsia" w:ascii="方正黑体_GBK" w:hAnsi="Calibri" w:eastAsia="方正黑体_GBK"/>
          <w:sz w:val="32"/>
          <w:szCs w:val="32"/>
        </w:rPr>
        <w:t>一、基本思路</w:t>
      </w:r>
    </w:p>
    <w:p>
      <w:pPr>
        <w:spacing w:line="600" w:lineRule="exact"/>
        <w:ind w:firstLine="640" w:firstLineChars="200"/>
        <w:rPr>
          <w:rFonts w:eastAsia="方正仿宋_GBK"/>
          <w:sz w:val="32"/>
          <w:szCs w:val="32"/>
        </w:rPr>
      </w:pPr>
      <w:r>
        <w:rPr>
          <w:rFonts w:eastAsia="方正仿宋_GBK"/>
          <w:sz w:val="32"/>
          <w:szCs w:val="32"/>
        </w:rPr>
        <w:t>以推动种业治理体系和治理能力现代化为目标，以强化种业知识产权保护为重点，以集中整治为抓手，坚持市级监督统筹、区县主抓落实、强化属地管理原则，覆盖品种管理、市场监管、案件查处全链条，强化部门协同、上下联动、标本兼治，不断提高治理成效，全面营造创新主体有动力、市场主体有活力、市场运行有秩序的良好种业市场环境。</w:t>
      </w:r>
    </w:p>
    <w:p>
      <w:pPr>
        <w:spacing w:line="600" w:lineRule="exact"/>
        <w:ind w:firstLine="640" w:firstLineChars="200"/>
        <w:rPr>
          <w:rFonts w:hint="eastAsia" w:ascii="方正黑体_GBK" w:hAnsi="Calibri" w:eastAsia="方正黑体_GBK"/>
          <w:sz w:val="32"/>
          <w:szCs w:val="32"/>
        </w:rPr>
      </w:pPr>
      <w:r>
        <w:rPr>
          <w:rFonts w:hint="eastAsia" w:ascii="方正黑体_GBK" w:hAnsi="Calibri" w:eastAsia="方正黑体_GBK"/>
          <w:sz w:val="32"/>
          <w:szCs w:val="32"/>
        </w:rPr>
        <w:t>二、工作目标</w:t>
      </w:r>
    </w:p>
    <w:p>
      <w:pPr>
        <w:spacing w:line="600" w:lineRule="exact"/>
        <w:ind w:firstLine="640" w:firstLineChars="200"/>
        <w:rPr>
          <w:rFonts w:eastAsia="方正仿宋_GBK"/>
          <w:sz w:val="32"/>
          <w:szCs w:val="32"/>
        </w:rPr>
      </w:pPr>
      <w:r>
        <w:rPr>
          <w:rFonts w:hint="eastAsia" w:ascii="方正楷体_GBK" w:hAnsi="Calibri" w:eastAsia="方正楷体_GBK"/>
          <w:sz w:val="32"/>
          <w:szCs w:val="32"/>
        </w:rPr>
        <w:t>（一）总体目标</w:t>
      </w:r>
      <w:r>
        <w:rPr>
          <w:rFonts w:hint="eastAsia" w:ascii="方正仿宋_GBK" w:hAnsi="Calibri" w:eastAsia="方正仿宋_GBK"/>
          <w:sz w:val="32"/>
          <w:szCs w:val="32"/>
        </w:rPr>
        <w:t>。</w:t>
      </w:r>
      <w:r>
        <w:rPr>
          <w:rFonts w:eastAsia="方正仿宋_GBK"/>
          <w:sz w:val="32"/>
          <w:szCs w:val="32"/>
        </w:rPr>
        <w:t>通过加强种业知识产权保护，侵权套牌等违法行为得到有力打击，品种权保护意识明显增强；通过严格品种管理，逐步解决品种同质化问题；通过集中整治和监督检查，制售假劣、非法生产经营转基因种子等行为得到有效遏制；通过强化种业领域日常监管与执法办案的协调配合，种业治理成效更加明显。</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楷体_GBK" w:eastAsia="方正楷体_GBK"/>
          <w:sz w:val="32"/>
          <w:szCs w:val="32"/>
        </w:rPr>
        <w:t>（二）细化目标</w:t>
      </w:r>
      <w:r>
        <w:rPr>
          <w:rFonts w:hint="eastAsia" w:ascii="方正仿宋_GBK" w:eastAsia="方正仿宋_GBK"/>
          <w:sz w:val="32"/>
          <w:szCs w:val="32"/>
        </w:rPr>
        <w:t>。</w:t>
      </w:r>
      <w:r>
        <w:rPr>
          <w:rFonts w:hint="eastAsia" w:ascii="方正仿宋_GBK" w:hAnsi="方正仿宋_GBK" w:eastAsia="方正仿宋_GBK" w:cs="方正仿宋_GBK"/>
          <w:bCs/>
          <w:sz w:val="32"/>
          <w:szCs w:val="32"/>
        </w:rPr>
        <w:t>以种业知识产权保护为重点，加强种业普法宣传。对区级发证的种业企业现场检查覆盖率不低于</w:t>
      </w:r>
      <w:r>
        <w:rPr>
          <w:rFonts w:hint="eastAsia" w:eastAsia="方正仿宋_GBK" w:cs="方正仿宋_GBK"/>
          <w:bCs/>
          <w:sz w:val="32"/>
          <w:szCs w:val="32"/>
        </w:rPr>
        <w:t>50</w:t>
      </w:r>
      <w:r>
        <w:rPr>
          <w:rFonts w:hint="eastAsia" w:ascii="方正仿宋_GBK" w:hAnsi="方正仿宋_GBK" w:eastAsia="方正仿宋_GBK" w:cs="方正仿宋_GBK"/>
          <w:bCs/>
          <w:sz w:val="32"/>
          <w:szCs w:val="32"/>
        </w:rPr>
        <w:t>%、品种抽样覆盖率不低于</w:t>
      </w:r>
      <w:r>
        <w:rPr>
          <w:rFonts w:hint="eastAsia" w:eastAsia="方正仿宋_GBK" w:cs="方正仿宋_GBK"/>
          <w:bCs/>
          <w:sz w:val="32"/>
          <w:szCs w:val="32"/>
        </w:rPr>
        <w:t>30</w:t>
      </w:r>
      <w:r>
        <w:rPr>
          <w:rFonts w:hint="eastAsia" w:ascii="方正仿宋_GBK" w:hAnsi="方正仿宋_GBK" w:eastAsia="方正仿宋_GBK" w:cs="方正仿宋_GBK"/>
          <w:bCs/>
          <w:sz w:val="32"/>
          <w:szCs w:val="32"/>
        </w:rPr>
        <w:t>%；对区内种子经营门店抽查检查覆盖率不低于</w:t>
      </w:r>
      <w:r>
        <w:rPr>
          <w:rFonts w:hint="eastAsia" w:eastAsia="方正仿宋_GBK" w:cs="方正仿宋_GBK"/>
          <w:bCs/>
          <w:sz w:val="32"/>
          <w:szCs w:val="32"/>
        </w:rPr>
        <w:t>60</w:t>
      </w:r>
      <w:r>
        <w:rPr>
          <w:rFonts w:hint="eastAsia" w:ascii="方正仿宋_GBK" w:hAnsi="方正仿宋_GBK" w:eastAsia="方正仿宋_GBK" w:cs="方正仿宋_GBK"/>
          <w:bCs/>
          <w:sz w:val="32"/>
          <w:szCs w:val="32"/>
        </w:rPr>
        <w:t>%，被检查企业、经营门店问题整改合格率为</w:t>
      </w:r>
      <w:r>
        <w:rPr>
          <w:rFonts w:hint="eastAsia" w:eastAsia="方正仿宋_GBK" w:cs="方正仿宋_GBK"/>
          <w:bCs/>
          <w:sz w:val="32"/>
          <w:szCs w:val="32"/>
        </w:rPr>
        <w:t>100</w:t>
      </w:r>
      <w:r>
        <w:rPr>
          <w:rFonts w:hint="eastAsia" w:ascii="方正仿宋_GBK" w:hAnsi="方正仿宋_GBK" w:eastAsia="方正仿宋_GBK" w:cs="方正仿宋_GBK"/>
          <w:bCs/>
          <w:sz w:val="32"/>
          <w:szCs w:val="32"/>
        </w:rPr>
        <w:t>%；区内种子生产经营备案完成率达到</w:t>
      </w:r>
      <w:r>
        <w:rPr>
          <w:rFonts w:hint="eastAsia" w:eastAsia="方正仿宋_GBK" w:cs="方正仿宋_GBK"/>
          <w:bCs/>
          <w:sz w:val="32"/>
          <w:szCs w:val="32"/>
        </w:rPr>
        <w:t>100</w:t>
      </w:r>
      <w:r>
        <w:rPr>
          <w:rFonts w:hint="eastAsia" w:ascii="方正仿宋_GBK" w:hAnsi="方正仿宋_GBK" w:eastAsia="方正仿宋_GBK" w:cs="方正仿宋_GBK"/>
          <w:bCs/>
          <w:sz w:val="32"/>
          <w:szCs w:val="32"/>
        </w:rPr>
        <w:t>%；上级部门转办督办的种业投诉举报案件查处反馈率达到</w:t>
      </w:r>
      <w:r>
        <w:rPr>
          <w:rFonts w:hint="eastAsia" w:eastAsia="方正仿宋_GBK" w:cs="方正仿宋_GBK"/>
          <w:bCs/>
          <w:sz w:val="32"/>
          <w:szCs w:val="32"/>
        </w:rPr>
        <w:t>100</w:t>
      </w:r>
      <w:r>
        <w:rPr>
          <w:rFonts w:hint="eastAsia" w:ascii="方正仿宋_GBK" w:hAnsi="方正仿宋_GBK" w:eastAsia="方正仿宋_GBK" w:cs="方正仿宋_GBK"/>
          <w:bCs/>
          <w:sz w:val="32"/>
          <w:szCs w:val="32"/>
        </w:rPr>
        <w:t>%。</w:t>
      </w:r>
    </w:p>
    <w:p>
      <w:pPr>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三、重点任务</w:t>
      </w:r>
    </w:p>
    <w:p>
      <w:pPr>
        <w:spacing w:line="600" w:lineRule="exact"/>
        <w:ind w:firstLine="640" w:firstLineChars="200"/>
        <w:rPr>
          <w:rFonts w:hint="eastAsia" w:ascii="方正楷体_GBK" w:hAnsi="Calibri" w:eastAsia="方正楷体_GBK"/>
          <w:bCs/>
          <w:sz w:val="32"/>
          <w:szCs w:val="32"/>
        </w:rPr>
      </w:pPr>
      <w:r>
        <w:rPr>
          <w:rFonts w:hint="eastAsia" w:ascii="方正楷体_GBK" w:hAnsi="Calibri" w:eastAsia="方正楷体_GBK"/>
          <w:bCs/>
          <w:sz w:val="32"/>
          <w:szCs w:val="32"/>
        </w:rPr>
        <w:t>（一）强化品种管理</w:t>
      </w:r>
    </w:p>
    <w:p>
      <w:pPr>
        <w:spacing w:line="600" w:lineRule="exact"/>
        <w:ind w:firstLine="640" w:firstLineChars="200"/>
        <w:rPr>
          <w:rFonts w:hint="eastAsia" w:ascii="方正楷体_GBK" w:eastAsia="方正楷体_GBK"/>
          <w:sz w:val="32"/>
          <w:szCs w:val="32"/>
        </w:rPr>
      </w:pPr>
      <w:r>
        <w:rPr>
          <w:rFonts w:hint="eastAsia" w:eastAsia="方正仿宋_GBK"/>
          <w:sz w:val="32"/>
          <w:szCs w:val="32"/>
        </w:rPr>
        <w:t>配合市农业农村委</w:t>
      </w:r>
      <w:r>
        <w:rPr>
          <w:rFonts w:eastAsia="方正仿宋_GBK"/>
          <w:sz w:val="32"/>
          <w:szCs w:val="32"/>
        </w:rPr>
        <w:t>加强</w:t>
      </w:r>
      <w:r>
        <w:rPr>
          <w:rFonts w:hint="eastAsia" w:eastAsia="方正仿宋_GBK"/>
          <w:sz w:val="32"/>
          <w:szCs w:val="32"/>
        </w:rPr>
        <w:t>主要农作物</w:t>
      </w:r>
      <w:r>
        <w:rPr>
          <w:rFonts w:eastAsia="方正仿宋_GBK"/>
          <w:sz w:val="32"/>
          <w:szCs w:val="32"/>
        </w:rPr>
        <w:t>品种试验、联合体试验、绿色通道试验管理</w:t>
      </w:r>
      <w:r>
        <w:rPr>
          <w:rFonts w:hint="eastAsia" w:eastAsia="方正仿宋_GBK"/>
          <w:sz w:val="32"/>
          <w:szCs w:val="32"/>
        </w:rPr>
        <w:t>以及</w:t>
      </w:r>
      <w:r>
        <w:rPr>
          <w:rFonts w:eastAsia="方正仿宋_GBK"/>
          <w:sz w:val="32"/>
          <w:szCs w:val="32"/>
        </w:rPr>
        <w:t>同一适宜生态区引种备案，切实提高品种试验质量。</w:t>
      </w:r>
      <w:r>
        <w:rPr>
          <w:rFonts w:hint="eastAsia" w:eastAsia="方正仿宋_GBK"/>
          <w:sz w:val="32"/>
          <w:szCs w:val="32"/>
        </w:rPr>
        <w:t>配合市农业农村委</w:t>
      </w:r>
      <w:r>
        <w:rPr>
          <w:rFonts w:eastAsia="方正仿宋_GBK"/>
          <w:sz w:val="32"/>
          <w:szCs w:val="32"/>
        </w:rPr>
        <w:t>开展</w:t>
      </w:r>
      <w:r>
        <w:rPr>
          <w:rFonts w:hint="eastAsia" w:eastAsia="方正仿宋_GBK"/>
          <w:sz w:val="32"/>
          <w:szCs w:val="32"/>
        </w:rPr>
        <w:t>非主要农作物</w:t>
      </w:r>
      <w:r>
        <w:rPr>
          <w:rFonts w:eastAsia="方正仿宋_GBK"/>
          <w:sz w:val="32"/>
          <w:szCs w:val="32"/>
        </w:rPr>
        <w:t>登记品种核查清理</w:t>
      </w:r>
      <w:r>
        <w:rPr>
          <w:rFonts w:hint="eastAsia" w:eastAsia="方正仿宋_GBK"/>
          <w:sz w:val="32"/>
          <w:szCs w:val="32"/>
        </w:rPr>
        <w:t>，</w:t>
      </w:r>
      <w:r>
        <w:rPr>
          <w:rFonts w:eastAsia="方正仿宋_GBK"/>
          <w:sz w:val="32"/>
          <w:szCs w:val="32"/>
        </w:rPr>
        <w:t>严查重复登记、冒充登记品种等行为，规范品种命名，着力解决</w:t>
      </w:r>
      <w:r>
        <w:rPr>
          <w:rFonts w:hint="eastAsia" w:eastAsia="方正仿宋_GBK"/>
          <w:sz w:val="32"/>
          <w:szCs w:val="32"/>
        </w:rPr>
        <w:t>“</w:t>
      </w:r>
      <w:r>
        <w:rPr>
          <w:rFonts w:eastAsia="方正仿宋_GBK"/>
          <w:sz w:val="32"/>
          <w:szCs w:val="32"/>
        </w:rPr>
        <w:t>一品多名</w:t>
      </w:r>
      <w:r>
        <w:rPr>
          <w:rFonts w:hint="eastAsia" w:eastAsia="方正仿宋_GBK"/>
          <w:sz w:val="32"/>
          <w:szCs w:val="32"/>
        </w:rPr>
        <w:t>”“</w:t>
      </w:r>
      <w:r>
        <w:rPr>
          <w:rFonts w:eastAsia="方正仿宋_GBK"/>
          <w:sz w:val="32"/>
          <w:szCs w:val="32"/>
        </w:rPr>
        <w:t>多品一名</w:t>
      </w:r>
      <w:r>
        <w:rPr>
          <w:rFonts w:hint="eastAsia" w:eastAsia="方正仿宋_GBK"/>
          <w:sz w:val="32"/>
          <w:szCs w:val="32"/>
        </w:rPr>
        <w:t>”</w:t>
      </w:r>
      <w:r>
        <w:rPr>
          <w:rFonts w:eastAsia="方正仿宋_GBK"/>
          <w:sz w:val="32"/>
          <w:szCs w:val="32"/>
        </w:rPr>
        <w:t>问题。</w:t>
      </w:r>
      <w:r>
        <w:rPr>
          <w:rFonts w:hint="eastAsia" w:ascii="方正仿宋_GBK" w:eastAsia="方正仿宋_GBK"/>
          <w:sz w:val="32"/>
          <w:szCs w:val="32"/>
        </w:rPr>
        <w:t>（责任单位：区农技站、重庆市渝东南农业科学院、区经济作物发展中心、区农业综合行政执法支队）</w:t>
      </w:r>
    </w:p>
    <w:p>
      <w:pPr>
        <w:spacing w:line="600" w:lineRule="exact"/>
        <w:ind w:firstLine="640" w:firstLineChars="200"/>
        <w:rPr>
          <w:rFonts w:hint="eastAsia" w:ascii="方正楷体_GBK" w:hAnsi="Calibri" w:eastAsia="方正楷体_GBK"/>
          <w:bCs/>
          <w:sz w:val="32"/>
          <w:szCs w:val="32"/>
        </w:rPr>
      </w:pPr>
      <w:r>
        <w:rPr>
          <w:rFonts w:hint="eastAsia" w:ascii="方正楷体_GBK" w:hAnsi="Calibri" w:eastAsia="方正楷体_GBK"/>
          <w:bCs/>
          <w:sz w:val="32"/>
          <w:szCs w:val="32"/>
        </w:rPr>
        <w:t>（二）强化市场监管</w:t>
      </w:r>
    </w:p>
    <w:p>
      <w:pPr>
        <w:spacing w:line="600" w:lineRule="exact"/>
        <w:ind w:firstLine="640" w:firstLineChars="200"/>
        <w:rPr>
          <w:rFonts w:hint="eastAsia" w:ascii="方正仿宋_GBK" w:eastAsia="方正仿宋_GBK"/>
          <w:b/>
          <w:sz w:val="32"/>
          <w:szCs w:val="32"/>
        </w:rPr>
      </w:pPr>
      <w:r>
        <w:rPr>
          <w:rFonts w:hint="eastAsia" w:eastAsia="方正仿宋_GBK" w:cs="方正仿宋_GBK"/>
          <w:bCs/>
          <w:sz w:val="32"/>
          <w:szCs w:val="32"/>
        </w:rPr>
        <w:t>1</w:t>
      </w:r>
      <w:r>
        <w:rPr>
          <w:rFonts w:hint="eastAsia" w:ascii="方正仿宋_GBK" w:hAnsi="方正仿宋_GBK" w:eastAsia="方正仿宋_GBK" w:cs="方正仿宋_GBK"/>
          <w:bCs/>
          <w:sz w:val="32"/>
          <w:szCs w:val="32"/>
        </w:rPr>
        <w:t>.开展春季农作物种子市场专项检查。</w:t>
      </w:r>
      <w:r>
        <w:rPr>
          <w:rFonts w:eastAsia="方正仿宋_GBK"/>
          <w:sz w:val="32"/>
          <w:szCs w:val="32"/>
        </w:rPr>
        <w:t>春季农作物种子市场专项检查的重点对象为</w:t>
      </w:r>
      <w:r>
        <w:rPr>
          <w:rFonts w:hint="eastAsia" w:eastAsia="方正仿宋_GBK"/>
          <w:sz w:val="32"/>
          <w:szCs w:val="32"/>
        </w:rPr>
        <w:t>区内</w:t>
      </w:r>
      <w:r>
        <w:rPr>
          <w:rFonts w:eastAsia="方正仿宋_GBK"/>
          <w:sz w:val="32"/>
          <w:szCs w:val="32"/>
        </w:rPr>
        <w:t>种子市场经营门店销售的水稻、</w:t>
      </w:r>
      <w:r>
        <w:rPr>
          <w:rFonts w:eastAsia="方正仿宋_GBK"/>
          <w:color w:val="000000"/>
          <w:kern w:val="0"/>
          <w:sz w:val="32"/>
          <w:szCs w:val="32"/>
        </w:rPr>
        <w:t>玉米、蔬菜等种子，主要</w:t>
      </w:r>
      <w:r>
        <w:rPr>
          <w:rFonts w:eastAsia="方正仿宋_GBK"/>
          <w:sz w:val="32"/>
          <w:szCs w:val="32"/>
        </w:rPr>
        <w:t>检查种子经营门店，排查重点品种，检查种子质量、品种真实性和转基因成分</w:t>
      </w:r>
      <w:r>
        <w:rPr>
          <w:rFonts w:hint="eastAsia" w:eastAsia="方正仿宋_GBK"/>
          <w:sz w:val="32"/>
          <w:szCs w:val="32"/>
        </w:rPr>
        <w:t>，</w:t>
      </w:r>
      <w:r>
        <w:rPr>
          <w:rFonts w:hint="eastAsia" w:ascii="方正仿宋_GBK" w:hAnsi="仿宋" w:eastAsia="方正仿宋_GBK"/>
          <w:sz w:val="32"/>
          <w:szCs w:val="32"/>
        </w:rPr>
        <w:t>根据市农业农村委要求做好种子市场样品抽样工作，并将样品送交市种子站。</w:t>
      </w:r>
      <w:r>
        <w:rPr>
          <w:rFonts w:hint="eastAsia" w:ascii="方正仿宋_GBK" w:eastAsia="方正仿宋_GBK"/>
          <w:sz w:val="32"/>
          <w:szCs w:val="32"/>
        </w:rPr>
        <w:t>（责任单位：区农技站、区农业综合行政执法支队）</w:t>
      </w:r>
    </w:p>
    <w:p>
      <w:pPr>
        <w:spacing w:line="600" w:lineRule="exact"/>
        <w:ind w:firstLine="640" w:firstLineChars="200"/>
        <w:rPr>
          <w:rFonts w:hint="eastAsia" w:ascii="方正仿宋_GBK" w:hAnsi="Calibri" w:eastAsia="方正仿宋_GBK"/>
          <w:sz w:val="32"/>
          <w:szCs w:val="32"/>
        </w:rPr>
      </w:pPr>
      <w:r>
        <w:rPr>
          <w:rFonts w:hint="eastAsia" w:eastAsia="方正仿宋_GBK" w:cs="方正仿宋_GBK"/>
          <w:bCs/>
          <w:sz w:val="32"/>
          <w:szCs w:val="32"/>
        </w:rPr>
        <w:t>2</w:t>
      </w:r>
      <w:r>
        <w:rPr>
          <w:rFonts w:hint="eastAsia" w:ascii="方正仿宋_GBK" w:hAnsi="方正仿宋_GBK" w:eastAsia="方正仿宋_GBK" w:cs="方正仿宋_GBK"/>
          <w:bCs/>
          <w:sz w:val="32"/>
          <w:szCs w:val="32"/>
        </w:rPr>
        <w:t>.开展夏季农作物种子生产基地专项检查。</w:t>
      </w:r>
      <w:r>
        <w:rPr>
          <w:rFonts w:hint="eastAsia" w:ascii="方正仿宋_GBK" w:hAnsi="Calibri" w:eastAsia="方正仿宋_GBK"/>
          <w:sz w:val="32"/>
          <w:szCs w:val="32"/>
        </w:rPr>
        <w:t>对区内制种基地进行全覆盖检查，严格核查生产主体、企业生产经营资质、品种权属及亲本来源，</w:t>
      </w:r>
      <w:r>
        <w:rPr>
          <w:rFonts w:hint="eastAsia" w:ascii="方正仿宋_GBK" w:eastAsia="方正仿宋_GBK"/>
          <w:sz w:val="32"/>
          <w:szCs w:val="32"/>
        </w:rPr>
        <w:t>配合市农业农村委</w:t>
      </w:r>
      <w:r>
        <w:rPr>
          <w:rFonts w:hint="eastAsia" w:ascii="方正仿宋_GBK" w:hAnsi="Calibri" w:eastAsia="方正仿宋_GBK"/>
          <w:sz w:val="32"/>
          <w:szCs w:val="32"/>
        </w:rPr>
        <w:t>对制种基地苗期转基因成分进行核查。</w:t>
      </w:r>
      <w:r>
        <w:rPr>
          <w:rFonts w:hint="eastAsia" w:ascii="方正仿宋_GBK" w:eastAsia="方正仿宋_GBK"/>
          <w:sz w:val="32"/>
          <w:szCs w:val="32"/>
        </w:rPr>
        <w:t>（责任单位：区农技站、区农业综合行政执法支队）</w:t>
      </w:r>
    </w:p>
    <w:p>
      <w:pPr>
        <w:spacing w:line="600" w:lineRule="exact"/>
        <w:ind w:firstLine="640" w:firstLineChars="200"/>
        <w:rPr>
          <w:rFonts w:hint="eastAsia" w:ascii="方正仿宋_GBK" w:hAnsi="Calibri" w:eastAsia="方正仿宋_GBK"/>
          <w:sz w:val="32"/>
          <w:szCs w:val="32"/>
        </w:rPr>
      </w:pPr>
      <w:r>
        <w:rPr>
          <w:rFonts w:hint="eastAsia" w:eastAsia="方正仿宋_GBK" w:cs="方正仿宋_GBK"/>
          <w:bCs/>
          <w:sz w:val="32"/>
          <w:szCs w:val="32"/>
        </w:rPr>
        <w:t>3</w:t>
      </w:r>
      <w:r>
        <w:rPr>
          <w:rFonts w:hint="eastAsia" w:ascii="方正仿宋_GBK" w:hAnsi="方正仿宋_GBK" w:eastAsia="方正仿宋_GBK" w:cs="方正仿宋_GBK"/>
          <w:bCs/>
          <w:sz w:val="32"/>
          <w:szCs w:val="32"/>
        </w:rPr>
        <w:t>.开展秋季农作物种子市场专项检查。</w:t>
      </w:r>
      <w:r>
        <w:rPr>
          <w:rFonts w:hint="eastAsia" w:ascii="方正仿宋_GBK" w:hAnsi="Calibri" w:eastAsia="方正仿宋_GBK"/>
          <w:sz w:val="32"/>
          <w:szCs w:val="32"/>
        </w:rPr>
        <w:t>以全区种子市场为检查重点，以小麦、油菜、蔬菜种子为重点对象，以种子</w:t>
      </w:r>
      <w:r>
        <w:rPr>
          <w:rFonts w:hint="eastAsia" w:ascii="方正仿宋_GBK" w:hAnsi="仿宋" w:eastAsia="方正仿宋_GBK"/>
          <w:sz w:val="32"/>
          <w:szCs w:val="32"/>
        </w:rPr>
        <w:t>质量、品种真实性</w:t>
      </w:r>
      <w:r>
        <w:rPr>
          <w:rFonts w:hint="eastAsia" w:ascii="方正仿宋_GBK" w:hAnsi="Calibri" w:eastAsia="方正仿宋_GBK"/>
          <w:sz w:val="32"/>
          <w:szCs w:val="32"/>
        </w:rPr>
        <w:t>为主要内容，组织开展秋季农作物种子市场专项检查</w:t>
      </w:r>
      <w:r>
        <w:rPr>
          <w:rFonts w:hint="eastAsia" w:ascii="方正仿宋_GBK" w:eastAsia="方正仿宋_GBK"/>
          <w:sz w:val="32"/>
          <w:szCs w:val="32"/>
        </w:rPr>
        <w:t>，配合市农业农村委开展种子</w:t>
      </w:r>
      <w:r>
        <w:rPr>
          <w:rFonts w:eastAsia="方正仿宋_GBK"/>
          <w:sz w:val="32"/>
          <w:szCs w:val="32"/>
        </w:rPr>
        <w:t>样品抽检工作</w:t>
      </w:r>
      <w:r>
        <w:rPr>
          <w:rFonts w:hint="eastAsia" w:ascii="方正仿宋_GBK" w:hAnsi="Calibri" w:eastAsia="方正仿宋_GBK"/>
          <w:sz w:val="32"/>
          <w:szCs w:val="32"/>
        </w:rPr>
        <w:t>。</w:t>
      </w:r>
      <w:r>
        <w:rPr>
          <w:rFonts w:hint="eastAsia" w:ascii="方正仿宋_GBK" w:eastAsia="方正仿宋_GBK"/>
          <w:sz w:val="32"/>
          <w:szCs w:val="32"/>
        </w:rPr>
        <w:t>（责任单位：区农技站、区农业综合行政执法支队）</w:t>
      </w:r>
    </w:p>
    <w:p>
      <w:pPr>
        <w:spacing w:line="600" w:lineRule="exact"/>
        <w:ind w:firstLine="640" w:firstLineChars="200"/>
        <w:rPr>
          <w:rFonts w:hint="eastAsia" w:ascii="方正仿宋_GBK" w:hAnsi="Calibri" w:eastAsia="方正仿宋_GBK"/>
          <w:sz w:val="32"/>
          <w:szCs w:val="32"/>
        </w:rPr>
      </w:pPr>
      <w:r>
        <w:rPr>
          <w:rFonts w:hint="eastAsia" w:eastAsia="方正仿宋_GBK" w:cs="方正仿宋_GBK"/>
          <w:bCs/>
          <w:sz w:val="32"/>
          <w:szCs w:val="32"/>
        </w:rPr>
        <w:t>4</w:t>
      </w:r>
      <w:r>
        <w:rPr>
          <w:rFonts w:hint="eastAsia" w:ascii="方正仿宋_GBK" w:hAnsi="方正仿宋_GBK" w:eastAsia="方正仿宋_GBK" w:cs="方正仿宋_GBK"/>
          <w:bCs/>
          <w:sz w:val="32"/>
          <w:szCs w:val="32"/>
        </w:rPr>
        <w:t>.开展冬季农作物种子企业监督检查。</w:t>
      </w:r>
      <w:r>
        <w:rPr>
          <w:rFonts w:hint="eastAsia" w:ascii="方正仿宋_GBK" w:hAnsi="Calibri" w:eastAsia="方正仿宋_GBK"/>
          <w:sz w:val="32"/>
          <w:szCs w:val="32"/>
        </w:rPr>
        <w:t>配合</w:t>
      </w:r>
      <w:r>
        <w:rPr>
          <w:rFonts w:hint="eastAsia" w:ascii="方正仿宋_GBK" w:eastAsia="方正仿宋_GBK"/>
          <w:sz w:val="32"/>
          <w:szCs w:val="32"/>
        </w:rPr>
        <w:t>市农业农村委</w:t>
      </w:r>
      <w:r>
        <w:rPr>
          <w:rFonts w:hint="eastAsia" w:ascii="方正仿宋_GBK" w:hAnsi="Calibri" w:eastAsia="方正仿宋_GBK"/>
          <w:sz w:val="32"/>
          <w:szCs w:val="32"/>
        </w:rPr>
        <w:t>对区内的种子种苗生产经营企业进行检查，主要检查企业生产经营资质、种子标签和使用说明，抽样检测品种真实性和种子质量，并进行转基因成分检测。对于近</w:t>
      </w:r>
      <w:r>
        <w:rPr>
          <w:rFonts w:hint="eastAsia" w:eastAsia="方正仿宋_GBK"/>
          <w:sz w:val="32"/>
          <w:szCs w:val="32"/>
        </w:rPr>
        <w:t>3</w:t>
      </w:r>
      <w:r>
        <w:rPr>
          <w:rFonts w:hint="eastAsia" w:ascii="方正仿宋_GBK" w:hAnsi="Calibri" w:eastAsia="方正仿宋_GBK"/>
          <w:sz w:val="32"/>
          <w:szCs w:val="32"/>
        </w:rPr>
        <w:t>年来在各种监督检查中发现有问题或发生重大质量事件、遭投诉举报较多的企业，实行品种检查全覆盖。</w:t>
      </w:r>
      <w:r>
        <w:rPr>
          <w:rFonts w:hint="eastAsia" w:ascii="方正仿宋_GBK" w:eastAsia="方正仿宋_GBK"/>
          <w:sz w:val="32"/>
          <w:szCs w:val="32"/>
        </w:rPr>
        <w:t>（责任单位：区农技站、区农业综合行政执法支队、区经济作物发展中心）</w:t>
      </w:r>
    </w:p>
    <w:p>
      <w:pPr>
        <w:spacing w:line="600" w:lineRule="exact"/>
        <w:ind w:firstLine="640" w:firstLineChars="200"/>
        <w:rPr>
          <w:rFonts w:hint="eastAsia" w:ascii="方正仿宋_GBK" w:eastAsia="方正仿宋_GBK"/>
          <w:sz w:val="32"/>
          <w:szCs w:val="32"/>
        </w:rPr>
      </w:pPr>
      <w:r>
        <w:rPr>
          <w:rFonts w:hint="eastAsia" w:eastAsia="方正仿宋_GBK" w:cs="方正仿宋_GBK"/>
          <w:bCs/>
          <w:sz w:val="32"/>
          <w:szCs w:val="32"/>
        </w:rPr>
        <w:t>5</w:t>
      </w:r>
      <w:r>
        <w:rPr>
          <w:rFonts w:hint="eastAsia" w:ascii="方正仿宋_GBK" w:hAnsi="方正仿宋_GBK" w:eastAsia="方正仿宋_GBK" w:cs="方正仿宋_GBK"/>
          <w:bCs/>
          <w:sz w:val="32"/>
          <w:szCs w:val="32"/>
        </w:rPr>
        <w:t>.开展种畜禽生产经营行为专项检查。</w:t>
      </w:r>
      <w:r>
        <w:rPr>
          <w:rFonts w:eastAsia="方正仿宋_GBK"/>
          <w:sz w:val="32"/>
          <w:szCs w:val="32"/>
        </w:rPr>
        <w:t>以种猪场为重点，加大种畜禽生产经营监管，严查无证、过期、超范围生产经营和以杂交种猪充当纯种猪等违法行为，严查市级高代次种猪场系谱档案不全或不规范等问题。强化种畜禽质量监督检测、种畜禽性能测定。国家生猪核心育种场要开展种猪质量安全和种公猪精液自检，出具自检报告并对自检结果的真实性负责。</w:t>
      </w:r>
      <w:r>
        <w:rPr>
          <w:rFonts w:hint="eastAsia" w:ascii="方正仿宋_GBK" w:eastAsia="方正仿宋_GBK"/>
          <w:sz w:val="32"/>
          <w:szCs w:val="32"/>
        </w:rPr>
        <w:t>（责任单位：区农业综合行政执法支队、区畜牧兽医发展中心）</w:t>
      </w:r>
    </w:p>
    <w:p>
      <w:pPr>
        <w:spacing w:line="600" w:lineRule="exact"/>
        <w:ind w:firstLine="640" w:firstLineChars="200"/>
        <w:rPr>
          <w:rFonts w:hint="eastAsia" w:ascii="方正楷体_GBK" w:hAnsi="Calibri" w:eastAsia="方正楷体_GBK"/>
          <w:bCs/>
          <w:sz w:val="32"/>
          <w:szCs w:val="32"/>
        </w:rPr>
      </w:pPr>
      <w:r>
        <w:rPr>
          <w:rFonts w:hint="eastAsia" w:ascii="方正楷体_GBK" w:hAnsi="Calibri" w:eastAsia="方正楷体_GBK"/>
          <w:bCs/>
          <w:sz w:val="32"/>
          <w:szCs w:val="32"/>
        </w:rPr>
        <w:t>（三）强化市场执法</w:t>
      </w:r>
    </w:p>
    <w:p>
      <w:pPr>
        <w:spacing w:line="600" w:lineRule="exact"/>
        <w:ind w:firstLine="640" w:firstLineChars="200"/>
        <w:rPr>
          <w:rFonts w:hint="eastAsia" w:ascii="方正仿宋_GBK" w:hAnsi="Calibri" w:eastAsia="方正仿宋_GBK"/>
          <w:sz w:val="32"/>
          <w:szCs w:val="32"/>
        </w:rPr>
      </w:pPr>
      <w:r>
        <w:rPr>
          <w:rFonts w:hint="eastAsia" w:eastAsia="方正仿宋_GBK"/>
          <w:bCs/>
          <w:sz w:val="32"/>
          <w:szCs w:val="32"/>
        </w:rPr>
        <w:t>严厉</w:t>
      </w:r>
      <w:r>
        <w:rPr>
          <w:rFonts w:eastAsia="方正仿宋_GBK"/>
          <w:bCs/>
          <w:sz w:val="32"/>
          <w:szCs w:val="32"/>
        </w:rPr>
        <w:t>查处种业违法案件。</w:t>
      </w:r>
      <w:r>
        <w:rPr>
          <w:rFonts w:hint="eastAsia" w:ascii="方正仿宋_GBK" w:eastAsia="方正仿宋_GBK"/>
          <w:sz w:val="32"/>
          <w:szCs w:val="32"/>
        </w:rPr>
        <w:t>以品种侵权、制售假劣、非法生产转基因种子、</w:t>
      </w:r>
      <w:r>
        <w:rPr>
          <w:rFonts w:eastAsia="方正仿宋_GBK"/>
          <w:sz w:val="32"/>
          <w:szCs w:val="32"/>
        </w:rPr>
        <w:t>擅自处理受保护的畜禽遗传资源等为重点，</w:t>
      </w:r>
      <w:r>
        <w:rPr>
          <w:rFonts w:hint="eastAsia" w:ascii="方正仿宋_GBK" w:eastAsia="方正仿宋_GBK"/>
          <w:sz w:val="32"/>
          <w:szCs w:val="32"/>
        </w:rPr>
        <w:t>加大案件查办力度。对于跨区域、重大复杂案件由市里牵头组织查办、挂牌督办；一般案件由区级查处，查办结果及时公开，市级转办案件反馈率达到</w:t>
      </w:r>
      <w:r>
        <w:rPr>
          <w:rFonts w:hint="eastAsia" w:eastAsia="方正仿宋_GBK"/>
          <w:sz w:val="32"/>
          <w:szCs w:val="32"/>
        </w:rPr>
        <w:t>100</w:t>
      </w:r>
      <w:r>
        <w:rPr>
          <w:rFonts w:hint="eastAsia" w:ascii="方正仿宋_GBK" w:eastAsia="方正仿宋_GBK"/>
          <w:sz w:val="32"/>
          <w:szCs w:val="32"/>
        </w:rPr>
        <w:t>%。</w:t>
      </w:r>
      <w:r>
        <w:rPr>
          <w:rFonts w:eastAsia="方正仿宋_GBK"/>
          <w:sz w:val="32"/>
          <w:szCs w:val="32"/>
        </w:rPr>
        <w:t>强化检打联动，开展质量抽检和市场执法联合行动。强化行政执法、仲裁、调解等手段，建立侵权纠纷案件快速处理机制。完善与公安、市场监管等部门的线索通报、定期会商、联合执法等工作机制，强化部门间协作配合。加强种业行政执法与刑事司法的衔接，对涉嫌构成犯罪的，及时移送公安机关处理</w:t>
      </w:r>
      <w:r>
        <w:rPr>
          <w:rFonts w:hint="eastAsia" w:eastAsia="方正仿宋_GBK"/>
          <w:sz w:val="32"/>
          <w:szCs w:val="32"/>
        </w:rPr>
        <w:t>。</w:t>
      </w:r>
      <w:r>
        <w:rPr>
          <w:rFonts w:hint="eastAsia" w:ascii="方正仿宋_GBK" w:hAnsi="Calibri" w:eastAsia="方正仿宋_GBK"/>
          <w:sz w:val="32"/>
          <w:szCs w:val="32"/>
        </w:rPr>
        <w:t>（</w:t>
      </w:r>
      <w:r>
        <w:rPr>
          <w:rFonts w:hint="eastAsia" w:ascii="方正仿宋_GBK" w:eastAsia="方正仿宋_GBK"/>
          <w:sz w:val="32"/>
          <w:szCs w:val="32"/>
        </w:rPr>
        <w:t>责任单位：农业综合行政执法支队、区畜牧兽医发展中心</w:t>
      </w:r>
      <w:r>
        <w:rPr>
          <w:rFonts w:hint="eastAsia" w:ascii="方正仿宋_GBK" w:hAnsi="Calibri" w:eastAsia="方正仿宋_GBK"/>
          <w:sz w:val="32"/>
          <w:szCs w:val="32"/>
        </w:rPr>
        <w:t>）</w:t>
      </w:r>
    </w:p>
    <w:p>
      <w:pPr>
        <w:spacing w:line="600" w:lineRule="exact"/>
        <w:ind w:firstLine="640" w:firstLineChars="200"/>
        <w:rPr>
          <w:rFonts w:hint="eastAsia" w:ascii="方正楷体_GBK" w:hAnsi="Calibri" w:eastAsia="方正楷体_GBK"/>
          <w:bCs/>
          <w:sz w:val="32"/>
          <w:szCs w:val="32"/>
        </w:rPr>
      </w:pPr>
      <w:r>
        <w:rPr>
          <w:rFonts w:hint="eastAsia" w:ascii="方正楷体_GBK" w:hAnsi="Calibri" w:eastAsia="方正楷体_GBK"/>
          <w:bCs/>
          <w:sz w:val="32"/>
          <w:szCs w:val="32"/>
        </w:rPr>
        <w:t>（四）强化社会共治</w:t>
      </w:r>
    </w:p>
    <w:p>
      <w:pPr>
        <w:spacing w:line="600" w:lineRule="exact"/>
        <w:ind w:firstLine="640" w:firstLineChars="200"/>
        <w:rPr>
          <w:rFonts w:eastAsia="方正楷体_GBK"/>
          <w:bCs/>
          <w:sz w:val="32"/>
          <w:szCs w:val="32"/>
        </w:rPr>
      </w:pPr>
      <w:r>
        <w:rPr>
          <w:rFonts w:eastAsia="方正仿宋_GBK"/>
          <w:bCs/>
          <w:sz w:val="32"/>
          <w:szCs w:val="32"/>
        </w:rPr>
        <w:t>建立健全社会共治机制。充</w:t>
      </w:r>
      <w:r>
        <w:rPr>
          <w:rFonts w:eastAsia="方正仿宋_GBK"/>
          <w:sz w:val="32"/>
          <w:szCs w:val="32"/>
        </w:rPr>
        <w:t>分发挥仲裁、调解、公证等机制作用，强化种业行业社会共治。加强社会和群众监督，各部门要畅通投诉举报渠道，及时收集违法线索，提高查办时效，实现精准打击。推动学法用法守法，引导市场主体综合运用植物新品种权、专利权、商标权等多种知识产权保护手段，提高知识产权保护水平。</w:t>
      </w:r>
    </w:p>
    <w:p>
      <w:pPr>
        <w:spacing w:line="600" w:lineRule="exact"/>
        <w:ind w:firstLine="640" w:firstLineChars="200"/>
        <w:rPr>
          <w:rFonts w:hint="eastAsia" w:ascii="方正楷体_GBK" w:hAnsi="Calibri" w:eastAsia="方正楷体_GBK"/>
          <w:bCs/>
          <w:sz w:val="32"/>
          <w:szCs w:val="32"/>
        </w:rPr>
      </w:pPr>
      <w:r>
        <w:rPr>
          <w:rFonts w:hint="eastAsia" w:ascii="方正楷体_GBK" w:hAnsi="Calibri" w:eastAsia="方正楷体_GBK"/>
          <w:bCs/>
          <w:sz w:val="32"/>
          <w:szCs w:val="32"/>
        </w:rPr>
        <w:t>（五）强化信息应用</w:t>
      </w:r>
    </w:p>
    <w:p>
      <w:pPr>
        <w:spacing w:line="600" w:lineRule="exact"/>
        <w:ind w:firstLine="640" w:firstLineChars="200"/>
        <w:rPr>
          <w:rFonts w:hint="eastAsia" w:ascii="方正仿宋_GBK" w:hAnsi="Calibri" w:eastAsia="方正仿宋_GBK"/>
          <w:sz w:val="32"/>
          <w:szCs w:val="32"/>
        </w:rPr>
      </w:pPr>
      <w:r>
        <w:rPr>
          <w:rFonts w:hint="eastAsia" w:ascii="方正仿宋_GBK" w:eastAsia="方正仿宋_GBK"/>
          <w:bCs/>
          <w:sz w:val="32"/>
          <w:szCs w:val="32"/>
        </w:rPr>
        <w:t>提高监管执法信息化水平</w:t>
      </w:r>
      <w:r>
        <w:rPr>
          <w:rFonts w:hint="eastAsia" w:ascii="方正仿宋_GBK" w:hAnsi="Calibri" w:eastAsia="方正仿宋_GBK"/>
          <w:bCs/>
          <w:sz w:val="32"/>
          <w:szCs w:val="32"/>
        </w:rPr>
        <w:t>。</w:t>
      </w:r>
      <w:r>
        <w:rPr>
          <w:rFonts w:eastAsia="方正仿宋_GBK"/>
          <w:bCs/>
          <w:sz w:val="32"/>
          <w:szCs w:val="32"/>
        </w:rPr>
        <w:t>利用种业大数据平台、全国农业综合执法信息共享平台等，加强种子生产经营备案、品种登记管理和种业执法监管、动态信息追溯等，提高种业监管执法信息化利用水平，强化线上线下工作协调配合。</w:t>
      </w:r>
      <w:r>
        <w:rPr>
          <w:rFonts w:hint="eastAsia" w:ascii="方正仿宋_GBK" w:hAnsi="Calibri" w:eastAsia="方正仿宋_GBK"/>
          <w:sz w:val="32"/>
          <w:szCs w:val="32"/>
        </w:rPr>
        <w:t>（</w:t>
      </w:r>
      <w:r>
        <w:rPr>
          <w:rFonts w:hint="eastAsia" w:ascii="方正仿宋_GBK" w:eastAsia="方正仿宋_GBK"/>
          <w:sz w:val="32"/>
          <w:szCs w:val="32"/>
        </w:rPr>
        <w:t>责任单位：农业综合行政执法支队、农技站</w:t>
      </w:r>
      <w:r>
        <w:rPr>
          <w:rFonts w:hint="eastAsia" w:ascii="方正仿宋_GBK" w:hAnsi="Calibri" w:eastAsia="方正仿宋_GBK"/>
          <w:sz w:val="32"/>
          <w:szCs w:val="32"/>
        </w:rPr>
        <w:t>）</w:t>
      </w:r>
    </w:p>
    <w:p>
      <w:pPr>
        <w:spacing w:line="600" w:lineRule="exact"/>
        <w:ind w:firstLine="640" w:firstLineChars="200"/>
        <w:rPr>
          <w:rFonts w:hint="eastAsia" w:ascii="方正楷体_GBK" w:hAnsi="Calibri" w:eastAsia="方正楷体_GBK"/>
          <w:bCs/>
          <w:sz w:val="32"/>
          <w:szCs w:val="32"/>
        </w:rPr>
      </w:pPr>
      <w:r>
        <w:rPr>
          <w:rFonts w:hint="eastAsia" w:ascii="方正楷体_GBK" w:hAnsi="Calibri" w:eastAsia="方正楷体_GBK"/>
          <w:bCs/>
          <w:sz w:val="32"/>
          <w:szCs w:val="32"/>
        </w:rPr>
        <w:t>（六）强化普法宣传</w:t>
      </w:r>
    </w:p>
    <w:p>
      <w:pPr>
        <w:spacing w:line="600" w:lineRule="exact"/>
        <w:ind w:firstLine="640" w:firstLineChars="200"/>
        <w:rPr>
          <w:rFonts w:hint="eastAsia" w:ascii="方正仿宋_GBK" w:hAnsi="Calibri" w:eastAsia="方正仿宋_GBK"/>
          <w:sz w:val="32"/>
          <w:szCs w:val="32"/>
        </w:rPr>
      </w:pPr>
      <w:r>
        <w:rPr>
          <w:rFonts w:eastAsia="方正仿宋_GBK"/>
          <w:bCs/>
          <w:sz w:val="32"/>
          <w:szCs w:val="32"/>
        </w:rPr>
        <w:t>加强普法宣传。积极组织开展新修订《中华人民共</w:t>
      </w:r>
      <w:r>
        <w:rPr>
          <w:rFonts w:eastAsia="方正仿宋_GBK"/>
          <w:sz w:val="32"/>
          <w:szCs w:val="32"/>
        </w:rPr>
        <w:t>和国种子法》、《中华人民共和国畜牧法》等相关法律法规的普法宣传，加大农业执法人员培训力度，综合运用集中教学、线上教学、现场教学等形式，提高种业执法实务技能。要及时整理办结的种业违法典型案例和植物新品种权保护典型案例并报送市农业农村委，市农业农村委将定期通报各地种业案件查处情况，遴选发布种业违法典型案例和植物新品种权保护典型案例。</w:t>
      </w:r>
      <w:r>
        <w:rPr>
          <w:rFonts w:hint="eastAsia" w:ascii="方正仿宋_GBK" w:hAnsi="Calibri" w:eastAsia="方正仿宋_GBK"/>
          <w:sz w:val="32"/>
          <w:szCs w:val="32"/>
        </w:rPr>
        <w:t>（</w:t>
      </w:r>
      <w:r>
        <w:rPr>
          <w:rFonts w:hint="eastAsia" w:ascii="方正仿宋_GBK" w:eastAsia="方正仿宋_GBK"/>
          <w:sz w:val="32"/>
          <w:szCs w:val="32"/>
        </w:rPr>
        <w:t>责任单位：农业综合行政执法支队、畜牧兽医发展中心、农技站</w:t>
      </w:r>
      <w:r>
        <w:rPr>
          <w:rFonts w:hint="eastAsia" w:ascii="方正仿宋_GBK" w:hAnsi="Calibri" w:eastAsia="方正仿宋_GBK"/>
          <w:sz w:val="32"/>
          <w:szCs w:val="32"/>
        </w:rPr>
        <w:t>）</w:t>
      </w:r>
    </w:p>
    <w:p>
      <w:pPr>
        <w:spacing w:line="600" w:lineRule="exact"/>
        <w:ind w:firstLine="640" w:firstLineChars="200"/>
        <w:rPr>
          <w:rFonts w:hint="eastAsia" w:ascii="方正黑体_GBK" w:hAnsi="Calibri" w:eastAsia="方正黑体_GBK"/>
          <w:sz w:val="32"/>
          <w:szCs w:val="32"/>
        </w:rPr>
      </w:pPr>
      <w:r>
        <w:rPr>
          <w:rFonts w:hint="eastAsia" w:ascii="方正黑体_GBK" w:hAnsi="Calibri" w:eastAsia="方正黑体_GBK"/>
          <w:sz w:val="32"/>
          <w:szCs w:val="32"/>
        </w:rPr>
        <w:t>四、工作要求</w:t>
      </w:r>
    </w:p>
    <w:p>
      <w:pPr>
        <w:spacing w:line="600" w:lineRule="exact"/>
        <w:ind w:firstLine="640" w:firstLineChars="200"/>
        <w:rPr>
          <w:rFonts w:hint="eastAsia" w:ascii="方正楷体_GBK" w:eastAsia="方正楷体_GBK"/>
          <w:b/>
          <w:sz w:val="32"/>
          <w:szCs w:val="32"/>
        </w:rPr>
      </w:pPr>
      <w:r>
        <w:rPr>
          <w:rFonts w:hint="eastAsia" w:ascii="方正楷体_GBK" w:eastAsia="方正楷体_GBK"/>
          <w:bCs/>
          <w:sz w:val="32"/>
          <w:szCs w:val="32"/>
        </w:rPr>
        <w:t>（一）加强组织领导。</w:t>
      </w:r>
      <w:r>
        <w:rPr>
          <w:rFonts w:hint="eastAsia" w:ascii="方正仿宋_GBK" w:eastAsia="方正仿宋_GBK"/>
          <w:color w:val="000000"/>
          <w:sz w:val="32"/>
          <w:szCs w:val="32"/>
        </w:rPr>
        <w:t>各单位、各部门要高度重视，切实加强组织领导，明确主体责任，建立工作协调机制。区农业农村委由农技站牵头，会同</w:t>
      </w:r>
      <w:r>
        <w:rPr>
          <w:rFonts w:hint="eastAsia" w:ascii="方正仿宋_GBK" w:eastAsia="方正仿宋_GBK"/>
          <w:sz w:val="32"/>
          <w:szCs w:val="32"/>
        </w:rPr>
        <w:t>行政审批科、科技教育科、农业综合行政执法支队、畜牧兽医发展中心、</w:t>
      </w:r>
      <w:r>
        <w:rPr>
          <w:rFonts w:hint="eastAsia" w:ascii="方正仿宋_GBK" w:hAnsi="Calibri" w:eastAsia="方正仿宋_GBK"/>
          <w:bCs/>
          <w:sz w:val="32"/>
          <w:szCs w:val="32"/>
        </w:rPr>
        <w:t>区经济作物发展中心</w:t>
      </w:r>
      <w:r>
        <w:rPr>
          <w:rFonts w:hint="eastAsia" w:ascii="方正仿宋_GBK" w:eastAsia="方正仿宋_GBK"/>
          <w:bCs/>
          <w:sz w:val="32"/>
          <w:szCs w:val="32"/>
        </w:rPr>
        <w:t>、重庆市渝东南农业科学院等部门</w:t>
      </w:r>
      <w:r>
        <w:rPr>
          <w:rFonts w:hint="eastAsia" w:ascii="方正仿宋_GBK" w:eastAsia="方正仿宋_GBK"/>
          <w:color w:val="000000"/>
          <w:sz w:val="32"/>
          <w:szCs w:val="32"/>
        </w:rPr>
        <w:t>抓好落实。</w:t>
      </w:r>
    </w:p>
    <w:p>
      <w:pPr>
        <w:spacing w:line="600" w:lineRule="exact"/>
        <w:ind w:firstLine="640" w:firstLineChars="200"/>
        <w:rPr>
          <w:rFonts w:hint="eastAsia" w:ascii="方正楷体_GBK" w:eastAsia="方正仿宋_GBK"/>
          <w:b/>
          <w:sz w:val="32"/>
          <w:szCs w:val="32"/>
        </w:rPr>
      </w:pPr>
      <w:r>
        <w:rPr>
          <w:rFonts w:hint="eastAsia" w:ascii="方正楷体_GBK" w:eastAsia="方正楷体_GBK"/>
          <w:bCs/>
          <w:sz w:val="32"/>
          <w:szCs w:val="32"/>
        </w:rPr>
        <w:t>（二）压实监管责任。</w:t>
      </w:r>
      <w:r>
        <w:rPr>
          <w:rFonts w:eastAsia="方正仿宋_GBK"/>
          <w:sz w:val="32"/>
          <w:szCs w:val="32"/>
        </w:rPr>
        <w:t>各</w:t>
      </w:r>
      <w:r>
        <w:rPr>
          <w:rFonts w:hint="eastAsia" w:eastAsia="方正仿宋_GBK"/>
          <w:sz w:val="32"/>
          <w:szCs w:val="32"/>
        </w:rPr>
        <w:t>乡镇街道</w:t>
      </w:r>
      <w:r>
        <w:rPr>
          <w:rFonts w:eastAsia="方正仿宋_GBK"/>
          <w:sz w:val="32"/>
          <w:szCs w:val="32"/>
        </w:rPr>
        <w:t>要抓好本辖区</w:t>
      </w:r>
      <w:r>
        <w:rPr>
          <w:rFonts w:hint="eastAsia" w:eastAsia="方正仿宋_GBK"/>
          <w:sz w:val="32"/>
          <w:szCs w:val="32"/>
        </w:rPr>
        <w:t>种业市场、种业基地的督查检查</w:t>
      </w:r>
      <w:r>
        <w:rPr>
          <w:rFonts w:eastAsia="方正仿宋_GBK"/>
          <w:sz w:val="32"/>
          <w:szCs w:val="32"/>
        </w:rPr>
        <w:t>，</w:t>
      </w:r>
      <w:r>
        <w:rPr>
          <w:rFonts w:hint="eastAsia" w:eastAsia="方正仿宋_GBK"/>
          <w:sz w:val="32"/>
          <w:szCs w:val="32"/>
        </w:rPr>
        <w:t>各有关单位要抓好相关工作的指导督促，对</w:t>
      </w:r>
      <w:r>
        <w:rPr>
          <w:rFonts w:eastAsia="方正仿宋_GBK"/>
          <w:sz w:val="32"/>
          <w:szCs w:val="32"/>
        </w:rPr>
        <w:t>在检查中发现</w:t>
      </w:r>
      <w:r>
        <w:rPr>
          <w:rFonts w:hint="eastAsia" w:eastAsia="方正仿宋_GBK"/>
          <w:sz w:val="32"/>
          <w:szCs w:val="32"/>
        </w:rPr>
        <w:t>的</w:t>
      </w:r>
      <w:r>
        <w:rPr>
          <w:rFonts w:eastAsia="方正仿宋_GBK"/>
          <w:sz w:val="32"/>
          <w:szCs w:val="32"/>
        </w:rPr>
        <w:t>违法线索，</w:t>
      </w:r>
      <w:r>
        <w:rPr>
          <w:rFonts w:hint="eastAsia" w:eastAsia="方正仿宋_GBK"/>
          <w:sz w:val="32"/>
          <w:szCs w:val="32"/>
        </w:rPr>
        <w:t>要及时移</w:t>
      </w:r>
      <w:r>
        <w:rPr>
          <w:rFonts w:eastAsia="方正仿宋_GBK"/>
          <w:sz w:val="32"/>
          <w:szCs w:val="32"/>
        </w:rPr>
        <w:t>交农业综合执法机构办理</w:t>
      </w:r>
      <w:r>
        <w:rPr>
          <w:rFonts w:hint="eastAsia" w:eastAsia="方正仿宋_GBK"/>
          <w:sz w:val="32"/>
          <w:szCs w:val="32"/>
        </w:rPr>
        <w:t>。</w:t>
      </w:r>
    </w:p>
    <w:p>
      <w:pPr>
        <w:spacing w:line="600" w:lineRule="exact"/>
        <w:ind w:firstLine="640" w:firstLineChars="200"/>
        <w:rPr>
          <w:rFonts w:hint="eastAsia" w:ascii="方正黑体_GBK" w:eastAsia="方正黑体_GBK"/>
          <w:sz w:val="32"/>
          <w:szCs w:val="32"/>
        </w:rPr>
      </w:pPr>
      <w:r>
        <w:rPr>
          <w:rFonts w:hint="eastAsia" w:ascii="方正楷体_GBK" w:eastAsia="方正楷体_GBK"/>
          <w:bCs/>
          <w:sz w:val="32"/>
          <w:szCs w:val="32"/>
        </w:rPr>
        <w:t>（三）加强宣传总结。</w:t>
      </w:r>
      <w:r>
        <w:rPr>
          <w:rFonts w:hint="eastAsia" w:ascii="方正仿宋_GBK" w:eastAsia="方正仿宋_GBK"/>
          <w:sz w:val="32"/>
          <w:szCs w:val="32"/>
        </w:rPr>
        <w:t>相关单位要开展工作经验做法、典型案件等宣传，及时回应社会关切，震慑违法行为。</w:t>
      </w:r>
      <w:r>
        <w:rPr>
          <w:rFonts w:hint="eastAsia" w:ascii="方正仿宋_GBK" w:hAnsi="Calibri" w:eastAsia="方正仿宋_GBK"/>
          <w:sz w:val="32"/>
          <w:szCs w:val="32"/>
        </w:rPr>
        <w:t>要及时开展工作总结</w:t>
      </w:r>
      <w:r>
        <w:rPr>
          <w:rFonts w:hint="eastAsia" w:ascii="方正仿宋_GBK" w:eastAsia="方正仿宋_GBK"/>
          <w:sz w:val="32"/>
          <w:szCs w:val="32"/>
        </w:rPr>
        <w:t>，区农业综合行政执法支队、区畜牧兽医发展中心、行政审批科于今年</w:t>
      </w:r>
      <w:r>
        <w:rPr>
          <w:rFonts w:eastAsia="方正仿宋_GBK"/>
          <w:sz w:val="32"/>
          <w:szCs w:val="32"/>
        </w:rPr>
        <w:t>11</w:t>
      </w:r>
      <w:r>
        <w:rPr>
          <w:rFonts w:hint="eastAsia" w:ascii="方正仿宋_GBK" w:eastAsia="方正仿宋_GBK"/>
          <w:sz w:val="32"/>
          <w:szCs w:val="32"/>
        </w:rPr>
        <w:t>月</w:t>
      </w:r>
      <w:r>
        <w:rPr>
          <w:rFonts w:hint="eastAsia" w:eastAsia="方正仿宋_GBK"/>
          <w:sz w:val="32"/>
          <w:szCs w:val="32"/>
        </w:rPr>
        <w:t>30</w:t>
      </w:r>
      <w:r>
        <w:rPr>
          <w:rFonts w:hint="eastAsia" w:ascii="方正仿宋_GBK" w:eastAsia="方正仿宋_GBK"/>
          <w:sz w:val="32"/>
          <w:szCs w:val="32"/>
        </w:rPr>
        <w:t>日前将种业监管执法年活动总结及附表（含种业典型案例</w:t>
      </w:r>
      <w:r>
        <w:rPr>
          <w:rFonts w:eastAsia="方正仿宋_GBK"/>
          <w:sz w:val="32"/>
          <w:szCs w:val="32"/>
        </w:rPr>
        <w:t>2</w:t>
      </w:r>
      <w:r>
        <w:rPr>
          <w:rFonts w:ascii="方正仿宋_GBK" w:eastAsia="方正仿宋_GBK"/>
          <w:sz w:val="32"/>
          <w:szCs w:val="32"/>
        </w:rPr>
        <w:t>—</w:t>
      </w:r>
      <w:r>
        <w:rPr>
          <w:rFonts w:eastAsia="方正仿宋_GBK"/>
          <w:sz w:val="32"/>
          <w:szCs w:val="32"/>
        </w:rPr>
        <w:t>3</w:t>
      </w:r>
      <w:r>
        <w:rPr>
          <w:rFonts w:hint="eastAsia" w:ascii="方正仿宋_GBK" w:eastAsia="方正仿宋_GBK"/>
          <w:sz w:val="32"/>
          <w:szCs w:val="32"/>
        </w:rPr>
        <w:t>个）书面报送区农技站。</w:t>
      </w:r>
    </w:p>
    <w:p>
      <w:pPr>
        <w:spacing w:line="600" w:lineRule="exact"/>
        <w:ind w:firstLine="640" w:firstLineChars="200"/>
        <w:rPr>
          <w:rFonts w:ascii="方正仿宋_GBK" w:eastAsia="方正仿宋_GBK"/>
          <w:sz w:val="32"/>
          <w:szCs w:val="32"/>
        </w:rPr>
      </w:pPr>
      <w:r>
        <w:rPr>
          <w:rFonts w:hint="eastAsia" w:ascii="方正楷体_GBK" w:eastAsia="方正楷体_GBK"/>
          <w:bCs/>
          <w:sz w:val="32"/>
          <w:szCs w:val="32"/>
        </w:rPr>
        <w:t>（四）加强社会监督。</w:t>
      </w:r>
      <w:r>
        <w:rPr>
          <w:rFonts w:hint="eastAsia" w:ascii="方正仿宋_GBK" w:eastAsia="方正仿宋_GBK"/>
          <w:sz w:val="32"/>
          <w:szCs w:val="32"/>
        </w:rPr>
        <w:t>区农业农村委设立种业监管举报电话，并公布举报电话，保证举报信息畅通，鼓励广大群众参与，加强社会监督，依法维护品种权人、诚信企业、农民的合法权益。 </w:t>
      </w:r>
    </w:p>
    <w:p>
      <w:pPr>
        <w:spacing w:line="600" w:lineRule="exact"/>
        <w:ind w:firstLine="640" w:firstLineChars="200"/>
        <w:rPr>
          <w:rFonts w:hint="eastAsia" w:ascii="方正仿宋_GBK" w:eastAsia="方正仿宋_GBK"/>
          <w:sz w:val="32"/>
          <w:szCs w:val="32"/>
        </w:rPr>
      </w:pPr>
      <w:r>
        <w:rPr>
          <w:rFonts w:hint="eastAsia" w:ascii="方正仿宋_GBK" w:hAnsi="方正仿宋_GBK" w:eastAsia="方正仿宋_GBK" w:cs="方正仿宋_GBK"/>
          <w:sz w:val="32"/>
          <w:szCs w:val="32"/>
        </w:rPr>
        <w:t>联系人：区农业技术推广站蒋波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电话：</w:t>
      </w:r>
      <w:r>
        <w:rPr>
          <w:rFonts w:hint="eastAsia" w:cs="方正仿宋_GBK"/>
          <w:sz w:val="32"/>
          <w:szCs w:val="32"/>
          <w:lang w:val="en-US" w:eastAsia="zh-CN"/>
        </w:rPr>
        <w:t>023-</w:t>
      </w:r>
      <w:r>
        <w:rPr>
          <w:rFonts w:hint="eastAsia" w:eastAsia="方正仿宋_GBK" w:cs="方正仿宋_GBK"/>
          <w:sz w:val="32"/>
          <w:szCs w:val="32"/>
        </w:rPr>
        <w:t>7</w:t>
      </w:r>
      <w:r>
        <w:rPr>
          <w:rFonts w:hint="default" w:ascii="Times New Roman" w:hAnsi="Times New Roman" w:eastAsia="方正仿宋_GBK" w:cs="Times New Roman"/>
          <w:sz w:val="32"/>
          <w:szCs w:val="32"/>
        </w:rPr>
        <w:t>2227195，邮箱：</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"mailto:309191729@qq.com；区农业农村委法规（行政审批）科"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309191729@qq.com</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区农业农村委法规（行政审批）科</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敖顺莲，电话：</w:t>
      </w:r>
      <w:r>
        <w:rPr>
          <w:rFonts w:hint="eastAsia" w:ascii="Times New Roman" w:hAnsi="Times New Roman" w:cs="Times New Roman"/>
          <w:sz w:val="32"/>
          <w:szCs w:val="32"/>
          <w:lang w:val="en-US" w:eastAsia="zh-CN"/>
        </w:rPr>
        <w:t>023-</w:t>
      </w:r>
      <w:r>
        <w:rPr>
          <w:rFonts w:hint="default" w:ascii="Times New Roman" w:hAnsi="Times New Roman" w:eastAsia="方正仿宋_GBK" w:cs="Times New Roman"/>
          <w:sz w:val="32"/>
          <w:szCs w:val="32"/>
        </w:rPr>
        <w:t>7223</w:t>
      </w:r>
      <w:r>
        <w:rPr>
          <w:rFonts w:hint="eastAsia" w:eastAsia="方正仿宋_GBK" w:cs="方正仿宋_GBK"/>
          <w:sz w:val="32"/>
          <w:szCs w:val="32"/>
        </w:rPr>
        <w:t>1669</w:t>
      </w:r>
    </w:p>
    <w:p>
      <w:pPr>
        <w:spacing w:line="600" w:lineRule="exact"/>
        <w:ind w:firstLine="640" w:firstLineChars="200"/>
        <w:rPr>
          <w:rFonts w:hint="eastAsia" w:ascii="方正仿宋_GBK" w:eastAsia="方正仿宋_GBK"/>
          <w:color w:val="FF0000"/>
          <w:sz w:val="28"/>
          <w:szCs w:val="28"/>
        </w:rPr>
      </w:pPr>
      <w:r>
        <w:rPr>
          <w:rFonts w:hint="eastAsia" w:ascii="方正仿宋_GBK" w:eastAsia="方正仿宋_GBK"/>
          <w:sz w:val="32"/>
          <w:szCs w:val="32"/>
        </w:rPr>
        <w:t>违法问题线索举报电话：</w:t>
      </w:r>
      <w:r>
        <w:rPr>
          <w:rFonts w:hint="eastAsia" w:eastAsia="方正仿宋_GBK"/>
          <w:sz w:val="32"/>
          <w:szCs w:val="32"/>
        </w:rPr>
        <w:t>12316</w:t>
      </w:r>
      <w:r>
        <w:rPr>
          <w:rFonts w:hint="eastAsia" w:ascii="方正仿宋_GBK" w:eastAsia="方正仿宋_GBK"/>
          <w:sz w:val="32"/>
          <w:szCs w:val="32"/>
        </w:rPr>
        <w:t>或</w:t>
      </w:r>
      <w:r>
        <w:rPr>
          <w:rFonts w:hint="eastAsia"/>
          <w:sz w:val="32"/>
          <w:szCs w:val="32"/>
          <w:lang w:val="en-US" w:eastAsia="zh-CN"/>
        </w:rPr>
        <w:t>023-</w:t>
      </w:r>
      <w:r>
        <w:rPr>
          <w:rFonts w:hint="eastAsia" w:eastAsia="方正仿宋_GBK"/>
          <w:sz w:val="32"/>
          <w:szCs w:val="32"/>
        </w:rPr>
        <w:t>72227195</w:t>
      </w:r>
      <w:r>
        <w:rPr>
          <w:rFonts w:hint="eastAsia" w:ascii="方正仿宋_GBK" w:eastAsia="方正仿宋_GBK"/>
          <w:sz w:val="32"/>
          <w:szCs w:val="32"/>
        </w:rPr>
        <w:t>。</w:t>
      </w:r>
    </w:p>
    <w:p>
      <w:pPr>
        <w:spacing w:line="600" w:lineRule="exact"/>
        <w:ind w:firstLine="640" w:firstLineChars="200"/>
        <w:rPr>
          <w:rFonts w:hint="eastAsia" w:ascii="方正仿宋_GBK" w:hAnsi="方正仿宋_GBK" w:eastAsia="方正仿宋_GBK" w:cs="方正仿宋_GBK"/>
          <w:sz w:val="32"/>
          <w:szCs w:val="32"/>
        </w:rPr>
      </w:pP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eastAsia="方正仿宋_GBK" w:cs="方正仿宋_GBK"/>
          <w:sz w:val="32"/>
          <w:szCs w:val="32"/>
        </w:rPr>
        <w:t>1</w:t>
      </w:r>
      <w:r>
        <w:rPr>
          <w:rFonts w:hint="eastAsia" w:ascii="方正仿宋_GBK" w:hAnsi="方正仿宋_GBK" w:eastAsia="方正仿宋_GBK" w:cs="方正仿宋_GBK"/>
          <w:sz w:val="32"/>
          <w:szCs w:val="32"/>
        </w:rPr>
        <w:t xml:space="preserve">. </w:t>
      </w:r>
      <w:r>
        <w:rPr>
          <w:rFonts w:hint="eastAsia" w:eastAsia="方正仿宋_GBK" w:cs="方正仿宋_GBK"/>
          <w:sz w:val="32"/>
          <w:szCs w:val="32"/>
        </w:rPr>
        <w:t>2024</w:t>
      </w:r>
      <w:r>
        <w:rPr>
          <w:rFonts w:hint="eastAsia" w:ascii="方正仿宋_GBK" w:hAnsi="方正仿宋_GBK" w:eastAsia="方正仿宋_GBK" w:cs="方正仿宋_GBK"/>
          <w:sz w:val="32"/>
          <w:szCs w:val="32"/>
        </w:rPr>
        <w:t>年种业监管执法任务完成情况表</w:t>
      </w:r>
    </w:p>
    <w:p>
      <w:pPr>
        <w:spacing w:line="6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eastAsia="方正仿宋_GBK" w:cs="方正仿宋_GBK"/>
          <w:sz w:val="32"/>
          <w:szCs w:val="32"/>
        </w:rPr>
        <w:t>2</w:t>
      </w:r>
      <w:r>
        <w:rPr>
          <w:rFonts w:hint="eastAsia" w:ascii="方正仿宋_GBK" w:hAnsi="方正仿宋_GBK" w:eastAsia="方正仿宋_GBK" w:cs="方正仿宋_GBK"/>
          <w:sz w:val="32"/>
          <w:szCs w:val="32"/>
        </w:rPr>
        <w:t xml:space="preserve">. </w:t>
      </w:r>
      <w:r>
        <w:rPr>
          <w:rFonts w:hint="eastAsia" w:eastAsia="方正仿宋_GBK" w:cs="方正仿宋_GBK"/>
          <w:sz w:val="32"/>
          <w:szCs w:val="32"/>
        </w:rPr>
        <w:t>2024</w:t>
      </w:r>
      <w:r>
        <w:rPr>
          <w:rFonts w:hint="eastAsia" w:ascii="方正仿宋_GBK" w:hAnsi="方正仿宋_GBK" w:eastAsia="方正仿宋_GBK" w:cs="方正仿宋_GBK"/>
          <w:sz w:val="32"/>
          <w:szCs w:val="32"/>
        </w:rPr>
        <w:t>年种业监管执法监管执法情况表</w:t>
      </w:r>
    </w:p>
    <w:p>
      <w:pPr>
        <w:spacing w:line="600" w:lineRule="exact"/>
        <w:rPr>
          <w:rFonts w:hint="eastAsia" w:ascii="方正黑体_GBK" w:eastAsia="方正黑体_GBK"/>
          <w:sz w:val="32"/>
          <w:szCs w:val="32"/>
        </w:rPr>
        <w:sectPr>
          <w:pgSz w:w="11906" w:h="16838"/>
          <w:pgMar w:top="2098" w:right="1474" w:bottom="1984" w:left="1588" w:header="851" w:footer="1400" w:gutter="0"/>
          <w:cols w:space="720" w:num="1"/>
          <w:docGrid w:linePitch="534" w:charSpace="0"/>
        </w:sectPr>
      </w:pPr>
    </w:p>
    <w:p>
      <w:pPr>
        <w:spacing w:line="600" w:lineRule="exact"/>
        <w:rPr>
          <w:rFonts w:ascii="方正黑体_GBK" w:eastAsia="方正黑体_GBK"/>
          <w:sz w:val="32"/>
          <w:szCs w:val="32"/>
        </w:rPr>
      </w:pPr>
      <w:r>
        <w:rPr>
          <w:rFonts w:hint="eastAsia" w:ascii="方正黑体_GBK" w:eastAsia="方正黑体_GBK"/>
          <w:sz w:val="32"/>
          <w:szCs w:val="32"/>
        </w:rPr>
        <w:t>附件</w:t>
      </w:r>
      <w:r>
        <w:rPr>
          <w:rFonts w:eastAsia="方正黑体_GBK"/>
          <w:sz w:val="32"/>
          <w:szCs w:val="32"/>
        </w:rPr>
        <w:t>1</w:t>
      </w:r>
    </w:p>
    <w:p>
      <w:pPr>
        <w:spacing w:line="600" w:lineRule="exact"/>
        <w:jc w:val="center"/>
        <w:rPr>
          <w:rFonts w:hint="eastAsia" w:ascii="方正小标宋_GBK" w:hAnsi="方正小标宋_GBK" w:eastAsia="方正小标宋_GBK" w:cs="方正小标宋_GBK"/>
          <w:sz w:val="32"/>
          <w:szCs w:val="32"/>
        </w:rPr>
      </w:pPr>
      <w:r>
        <w:rPr>
          <w:rFonts w:hint="eastAsia" w:eastAsia="方正小标宋_GBK" w:cs="方正小标宋_GBK"/>
          <w:sz w:val="32"/>
          <w:szCs w:val="32"/>
        </w:rPr>
        <w:t>2024</w:t>
      </w:r>
      <w:r>
        <w:rPr>
          <w:rFonts w:hint="eastAsia" w:ascii="方正小标宋_GBK" w:hAnsi="方正小标宋_GBK" w:eastAsia="方正小标宋_GBK" w:cs="方正小标宋_GBK"/>
          <w:sz w:val="32"/>
          <w:szCs w:val="32"/>
        </w:rPr>
        <w:t>年种业监管执法任务完成情况表</w:t>
      </w:r>
    </w:p>
    <w:p>
      <w:pPr>
        <w:ind w:firstLine="280" w:firstLineChars="100"/>
        <w:rPr>
          <w:rFonts w:hint="eastAsia" w:ascii="方正仿宋_GBK" w:eastAsia="方正仿宋_GBK"/>
          <w:sz w:val="28"/>
          <w:szCs w:val="28"/>
        </w:rPr>
      </w:pPr>
      <w:r>
        <w:rPr>
          <w:rFonts w:eastAsia="方正仿宋_GBK"/>
          <w:kern w:val="0"/>
          <w:sz w:val="28"/>
          <w:szCs w:val="28"/>
        </w:rPr>
        <w:t xml:space="preserve">填表单位：          </w:t>
      </w:r>
      <w:r>
        <w:rPr>
          <w:rFonts w:hint="eastAsia" w:eastAsia="方正仿宋_GBK"/>
          <w:kern w:val="0"/>
          <w:sz w:val="28"/>
          <w:szCs w:val="28"/>
        </w:rPr>
        <w:t xml:space="preserve">            </w:t>
      </w:r>
      <w:r>
        <w:rPr>
          <w:rFonts w:eastAsia="方正仿宋_GBK"/>
          <w:kern w:val="0"/>
          <w:sz w:val="28"/>
          <w:szCs w:val="28"/>
        </w:rPr>
        <w:t>填表日期：    年    月    日</w:t>
      </w:r>
    </w:p>
    <w:tbl>
      <w:tblPr>
        <w:tblStyle w:val="6"/>
        <w:tblW w:w="0" w:type="auto"/>
        <w:tblInd w:w="93" w:type="dxa"/>
        <w:tblLayout w:type="fixed"/>
        <w:tblCellMar>
          <w:top w:w="0" w:type="dxa"/>
          <w:left w:w="108" w:type="dxa"/>
          <w:bottom w:w="0" w:type="dxa"/>
          <w:right w:w="108" w:type="dxa"/>
        </w:tblCellMar>
      </w:tblPr>
      <w:tblGrid>
        <w:gridCol w:w="1033"/>
        <w:gridCol w:w="1134"/>
        <w:gridCol w:w="983"/>
        <w:gridCol w:w="1134"/>
        <w:gridCol w:w="1118"/>
        <w:gridCol w:w="992"/>
        <w:gridCol w:w="1067"/>
        <w:gridCol w:w="1209"/>
      </w:tblGrid>
      <w:tr>
        <w:tblPrEx>
          <w:tblCellMar>
            <w:top w:w="0" w:type="dxa"/>
            <w:left w:w="108" w:type="dxa"/>
            <w:bottom w:w="0" w:type="dxa"/>
            <w:right w:w="108" w:type="dxa"/>
          </w:tblCellMar>
        </w:tblPrEx>
        <w:trPr>
          <w:trHeight w:val="3038"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方正仿宋_GBK"/>
                <w:kern w:val="0"/>
                <w:sz w:val="28"/>
                <w:szCs w:val="28"/>
              </w:rPr>
            </w:pPr>
            <w:r>
              <w:rPr>
                <w:rFonts w:hint="eastAsia" w:eastAsia="方正仿宋_GBK"/>
                <w:kern w:val="0"/>
                <w:sz w:val="28"/>
                <w:szCs w:val="28"/>
              </w:rPr>
              <w:t>内容</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区县级发证种子企业检查覆盖率</w:t>
            </w:r>
          </w:p>
        </w:tc>
        <w:tc>
          <w:tcPr>
            <w:tcW w:w="98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种子门店抽查覆盖率</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企业及门店检查问题整改率</w:t>
            </w:r>
          </w:p>
        </w:tc>
        <w:tc>
          <w:tcPr>
            <w:tcW w:w="1118"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辖区内生产经营主体备案率</w:t>
            </w:r>
          </w:p>
        </w:tc>
        <w:tc>
          <w:tcPr>
            <w:tcW w:w="992"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生产经营主体经营品种备案率</w:t>
            </w:r>
          </w:p>
        </w:tc>
        <w:tc>
          <w:tcPr>
            <w:tcW w:w="1067"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种畜禽生产经营许可证备案率</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达到移送条件的案件向公安移送率</w:t>
            </w:r>
          </w:p>
        </w:tc>
      </w:tr>
      <w:tr>
        <w:tblPrEx>
          <w:tblCellMar>
            <w:top w:w="0" w:type="dxa"/>
            <w:left w:w="108" w:type="dxa"/>
            <w:bottom w:w="0" w:type="dxa"/>
            <w:right w:w="108" w:type="dxa"/>
          </w:tblCellMar>
        </w:tblPrEx>
        <w:trPr>
          <w:trHeight w:val="863" w:hRule="atLeast"/>
        </w:trPr>
        <w:tc>
          <w:tcPr>
            <w:tcW w:w="1033"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完成情况</w:t>
            </w:r>
          </w:p>
        </w:tc>
        <w:tc>
          <w:tcPr>
            <w:tcW w:w="1134"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　</w:t>
            </w:r>
          </w:p>
        </w:tc>
        <w:tc>
          <w:tcPr>
            <w:tcW w:w="983"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　</w:t>
            </w:r>
          </w:p>
        </w:tc>
        <w:tc>
          <w:tcPr>
            <w:tcW w:w="1134"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　</w:t>
            </w:r>
          </w:p>
        </w:tc>
        <w:tc>
          <w:tcPr>
            <w:tcW w:w="1118"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　</w:t>
            </w:r>
          </w:p>
        </w:tc>
        <w:tc>
          <w:tcPr>
            <w:tcW w:w="992"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　</w:t>
            </w:r>
          </w:p>
        </w:tc>
        <w:tc>
          <w:tcPr>
            <w:tcW w:w="1067"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　</w:t>
            </w:r>
          </w:p>
        </w:tc>
        <w:tc>
          <w:tcPr>
            <w:tcW w:w="1209"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　</w:t>
            </w:r>
          </w:p>
        </w:tc>
      </w:tr>
    </w:tbl>
    <w:p>
      <w:pPr>
        <w:ind w:firstLine="280" w:firstLineChars="100"/>
        <w:rPr>
          <w:rFonts w:hint="eastAsia" w:ascii="方正仿宋_GBK" w:eastAsia="方正仿宋_GBK"/>
          <w:sz w:val="28"/>
          <w:szCs w:val="28"/>
        </w:rPr>
      </w:pPr>
      <w:r>
        <w:rPr>
          <w:rFonts w:eastAsia="方正仿宋_GBK"/>
          <w:kern w:val="0"/>
          <w:sz w:val="28"/>
          <w:szCs w:val="28"/>
        </w:rPr>
        <w:t>注：</w:t>
      </w:r>
      <w:r>
        <w:rPr>
          <w:rFonts w:hint="eastAsia" w:ascii="方正仿宋_GBK" w:eastAsia="方正仿宋_GBK"/>
          <w:kern w:val="0"/>
          <w:sz w:val="28"/>
          <w:szCs w:val="28"/>
        </w:rPr>
        <w:t>“完成情况”一栏按照工作完成情况据实填写，应填写具体数值，不可填写“是”或“否”。</w:t>
      </w:r>
    </w:p>
    <w:p>
      <w:pPr>
        <w:spacing w:line="600" w:lineRule="exact"/>
        <w:rPr>
          <w:rFonts w:hint="eastAsia" w:ascii="方正黑体_GBK" w:eastAsia="方正黑体_GBK"/>
          <w:sz w:val="32"/>
          <w:szCs w:val="32"/>
        </w:rPr>
        <w:sectPr>
          <w:pgSz w:w="11906" w:h="16838"/>
          <w:pgMar w:top="2098" w:right="1474" w:bottom="1984" w:left="1588" w:header="851" w:footer="1400" w:gutter="0"/>
          <w:cols w:space="720" w:num="1"/>
          <w:docGrid w:linePitch="534" w:charSpace="0"/>
        </w:sectPr>
      </w:pPr>
    </w:p>
    <w:p>
      <w:pPr>
        <w:spacing w:line="600" w:lineRule="exact"/>
        <w:rPr>
          <w:rFonts w:ascii="方正黑体_GBK" w:eastAsia="方正黑体_GBK"/>
          <w:sz w:val="32"/>
          <w:szCs w:val="32"/>
        </w:rPr>
      </w:pPr>
      <w:r>
        <w:rPr>
          <w:rFonts w:hint="eastAsia" w:ascii="方正黑体_GBK" w:eastAsia="方正黑体_GBK"/>
          <w:sz w:val="32"/>
          <w:szCs w:val="32"/>
        </w:rPr>
        <w:t>附件</w:t>
      </w:r>
      <w:r>
        <w:rPr>
          <w:rFonts w:eastAsia="方正黑体_GBK"/>
          <w:sz w:val="32"/>
          <w:szCs w:val="32"/>
        </w:rPr>
        <w:t>2</w:t>
      </w:r>
    </w:p>
    <w:p>
      <w:pPr>
        <w:spacing w:line="400" w:lineRule="exact"/>
        <w:ind w:firstLine="480" w:firstLineChars="200"/>
        <w:rPr>
          <w:rFonts w:hint="eastAsia" w:ascii="方正仿宋_GBK" w:eastAsia="方正仿宋_GBK"/>
          <w:color w:val="FF0000"/>
          <w:sz w:val="24"/>
        </w:rPr>
      </w:pPr>
    </w:p>
    <w:p>
      <w:pPr>
        <w:spacing w:line="600" w:lineRule="exact"/>
        <w:jc w:val="center"/>
        <w:rPr>
          <w:rFonts w:hint="eastAsia" w:ascii="方正小标宋_GBK" w:hAnsi="方正小标宋_GBK" w:eastAsia="方正小标宋_GBK" w:cs="方正小标宋_GBK"/>
          <w:sz w:val="32"/>
          <w:szCs w:val="32"/>
        </w:rPr>
      </w:pPr>
      <w:r>
        <w:rPr>
          <w:rFonts w:hint="eastAsia" w:eastAsia="方正小标宋_GBK" w:cs="方正小标宋_GBK"/>
          <w:sz w:val="32"/>
          <w:szCs w:val="32"/>
        </w:rPr>
        <w:t>2024</w:t>
      </w:r>
      <w:r>
        <w:rPr>
          <w:rFonts w:hint="eastAsia" w:ascii="方正小标宋_GBK" w:hAnsi="方正小标宋_GBK" w:eastAsia="方正小标宋_GBK" w:cs="方正小标宋_GBK"/>
          <w:sz w:val="32"/>
          <w:szCs w:val="32"/>
        </w:rPr>
        <w:t>年种业监管执法监管执法情况表</w:t>
      </w:r>
    </w:p>
    <w:p>
      <w:pPr>
        <w:ind w:firstLine="280" w:firstLineChars="100"/>
        <w:rPr>
          <w:rFonts w:eastAsia="方正仿宋_GBK"/>
          <w:kern w:val="0"/>
          <w:sz w:val="28"/>
          <w:szCs w:val="28"/>
        </w:rPr>
      </w:pPr>
      <w:r>
        <w:rPr>
          <w:rFonts w:eastAsia="方正仿宋_GBK"/>
          <w:kern w:val="0"/>
          <w:sz w:val="28"/>
          <w:szCs w:val="28"/>
        </w:rPr>
        <w:t>填表日期：    年    月    日</w:t>
      </w:r>
    </w:p>
    <w:tbl>
      <w:tblPr>
        <w:tblStyle w:val="6"/>
        <w:tblW w:w="15327" w:type="dxa"/>
        <w:jc w:val="center"/>
        <w:tblLayout w:type="fixed"/>
        <w:tblCellMar>
          <w:top w:w="0" w:type="dxa"/>
          <w:left w:w="108" w:type="dxa"/>
          <w:bottom w:w="0" w:type="dxa"/>
          <w:right w:w="108" w:type="dxa"/>
        </w:tblCellMar>
      </w:tblPr>
      <w:tblGrid>
        <w:gridCol w:w="1167"/>
        <w:gridCol w:w="1258"/>
        <w:gridCol w:w="1247"/>
        <w:gridCol w:w="1275"/>
        <w:gridCol w:w="1020"/>
        <w:gridCol w:w="569"/>
        <w:gridCol w:w="1366"/>
        <w:gridCol w:w="618"/>
        <w:gridCol w:w="1407"/>
        <w:gridCol w:w="1095"/>
        <w:gridCol w:w="1110"/>
        <w:gridCol w:w="1065"/>
        <w:gridCol w:w="1065"/>
        <w:gridCol w:w="1065"/>
      </w:tblGrid>
      <w:tr>
        <w:tblPrEx>
          <w:tblCellMar>
            <w:top w:w="0" w:type="dxa"/>
            <w:left w:w="108" w:type="dxa"/>
            <w:bottom w:w="0" w:type="dxa"/>
            <w:right w:w="108" w:type="dxa"/>
          </w:tblCellMar>
        </w:tblPrEx>
        <w:trPr>
          <w:trHeight w:val="732" w:hRule="atLeast"/>
          <w:jc w:val="center"/>
        </w:trPr>
        <w:tc>
          <w:tcPr>
            <w:tcW w:w="1167"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案件类型</w:t>
            </w:r>
          </w:p>
        </w:tc>
        <w:tc>
          <w:tcPr>
            <w:tcW w:w="9855" w:type="dxa"/>
            <w:gridSpan w:val="9"/>
            <w:tcBorders>
              <w:top w:val="single" w:color="auto" w:sz="4" w:space="0"/>
              <w:left w:val="nil"/>
              <w:bottom w:val="single" w:color="auto" w:sz="4" w:space="0"/>
              <w:right w:val="single" w:color="000000"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执法情况</w:t>
            </w:r>
          </w:p>
        </w:tc>
        <w:tc>
          <w:tcPr>
            <w:tcW w:w="4305" w:type="dxa"/>
            <w:gridSpan w:val="4"/>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监管情况</w:t>
            </w:r>
          </w:p>
        </w:tc>
      </w:tr>
      <w:tr>
        <w:tblPrEx>
          <w:tblCellMar>
            <w:top w:w="0" w:type="dxa"/>
            <w:left w:w="108" w:type="dxa"/>
            <w:bottom w:w="0" w:type="dxa"/>
            <w:right w:w="108" w:type="dxa"/>
          </w:tblCellMar>
        </w:tblPrEx>
        <w:trPr>
          <w:trHeight w:val="818" w:hRule="atLeast"/>
          <w:jc w:val="center"/>
        </w:trPr>
        <w:tc>
          <w:tcPr>
            <w:tcW w:w="116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eastAsia="方正仿宋_GBK"/>
                <w:kern w:val="0"/>
                <w:sz w:val="28"/>
                <w:szCs w:val="28"/>
              </w:rPr>
            </w:pPr>
          </w:p>
        </w:tc>
        <w:tc>
          <w:tcPr>
            <w:tcW w:w="1258" w:type="dxa"/>
            <w:vMerge w:val="restart"/>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出动执法人员数</w:t>
            </w:r>
            <w:r>
              <w:rPr>
                <w:rFonts w:eastAsia="方正仿宋_GBK"/>
                <w:kern w:val="0"/>
                <w:sz w:val="28"/>
                <w:szCs w:val="28"/>
              </w:rPr>
              <w:br w:type="textWrapping"/>
            </w:r>
            <w:r>
              <w:rPr>
                <w:rFonts w:eastAsia="方正仿宋_GBK"/>
                <w:kern w:val="0"/>
                <w:sz w:val="28"/>
                <w:szCs w:val="28"/>
              </w:rPr>
              <w:t>（人次）</w:t>
            </w:r>
          </w:p>
        </w:tc>
        <w:tc>
          <w:tcPr>
            <w:tcW w:w="1247" w:type="dxa"/>
            <w:vMerge w:val="restart"/>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立案数（件）</w:t>
            </w:r>
          </w:p>
        </w:tc>
        <w:tc>
          <w:tcPr>
            <w:tcW w:w="1275" w:type="dxa"/>
            <w:vMerge w:val="restart"/>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涉案种子数量（公斤）</w:t>
            </w:r>
          </w:p>
        </w:tc>
        <w:tc>
          <w:tcPr>
            <w:tcW w:w="1020" w:type="dxa"/>
            <w:vMerge w:val="restart"/>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处罚</w:t>
            </w:r>
            <w:r>
              <w:rPr>
                <w:rFonts w:eastAsia="方正仿宋_GBK"/>
                <w:kern w:val="0"/>
                <w:sz w:val="28"/>
                <w:szCs w:val="28"/>
              </w:rPr>
              <w:br w:type="textWrapping"/>
            </w:r>
            <w:r>
              <w:rPr>
                <w:rFonts w:eastAsia="方正仿宋_GBK"/>
                <w:kern w:val="0"/>
                <w:sz w:val="28"/>
                <w:szCs w:val="28"/>
              </w:rPr>
              <w:t>金额</w:t>
            </w:r>
            <w:r>
              <w:rPr>
                <w:rFonts w:eastAsia="方正仿宋_GBK"/>
                <w:kern w:val="0"/>
                <w:sz w:val="28"/>
                <w:szCs w:val="28"/>
              </w:rPr>
              <w:br w:type="textWrapping"/>
            </w:r>
            <w:r>
              <w:rPr>
                <w:rFonts w:eastAsia="方正仿宋_GBK"/>
                <w:kern w:val="0"/>
                <w:sz w:val="28"/>
                <w:szCs w:val="28"/>
              </w:rPr>
              <w:t>（万元）</w:t>
            </w:r>
          </w:p>
        </w:tc>
        <w:tc>
          <w:tcPr>
            <w:tcW w:w="1935" w:type="dxa"/>
            <w:gridSpan w:val="2"/>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办结案件</w:t>
            </w:r>
          </w:p>
        </w:tc>
        <w:tc>
          <w:tcPr>
            <w:tcW w:w="2025" w:type="dxa"/>
            <w:gridSpan w:val="2"/>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移送司法机关</w:t>
            </w:r>
          </w:p>
        </w:tc>
        <w:tc>
          <w:tcPr>
            <w:tcW w:w="1095" w:type="dxa"/>
            <w:vMerge w:val="restart"/>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处罚结果信息公开</w:t>
            </w:r>
            <w:r>
              <w:rPr>
                <w:rFonts w:eastAsia="方正仿宋_GBK"/>
                <w:kern w:val="0"/>
                <w:sz w:val="28"/>
                <w:szCs w:val="28"/>
              </w:rPr>
              <w:br w:type="textWrapping"/>
            </w:r>
            <w:r>
              <w:rPr>
                <w:rFonts w:eastAsia="方正仿宋_GBK"/>
                <w:kern w:val="0"/>
                <w:sz w:val="28"/>
                <w:szCs w:val="28"/>
              </w:rPr>
              <w:t>（件）</w:t>
            </w:r>
          </w:p>
        </w:tc>
        <w:tc>
          <w:tcPr>
            <w:tcW w:w="1110" w:type="dxa"/>
            <w:vMerge w:val="restart"/>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抽取样品数（个）</w:t>
            </w:r>
          </w:p>
        </w:tc>
        <w:tc>
          <w:tcPr>
            <w:tcW w:w="1065"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检查企业数（个）</w:t>
            </w:r>
          </w:p>
        </w:tc>
        <w:tc>
          <w:tcPr>
            <w:tcW w:w="1065"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检查门店数（个）</w:t>
            </w:r>
          </w:p>
        </w:tc>
        <w:tc>
          <w:tcPr>
            <w:tcW w:w="1065"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检查基地数（个）</w:t>
            </w:r>
          </w:p>
        </w:tc>
      </w:tr>
      <w:tr>
        <w:tblPrEx>
          <w:tblCellMar>
            <w:top w:w="0" w:type="dxa"/>
            <w:left w:w="108" w:type="dxa"/>
            <w:bottom w:w="0" w:type="dxa"/>
            <w:right w:w="108" w:type="dxa"/>
          </w:tblCellMar>
        </w:tblPrEx>
        <w:trPr>
          <w:trHeight w:val="972" w:hRule="atLeast"/>
          <w:jc w:val="center"/>
        </w:trPr>
        <w:tc>
          <w:tcPr>
            <w:tcW w:w="116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eastAsia="方正仿宋_GBK"/>
                <w:kern w:val="0"/>
                <w:sz w:val="28"/>
                <w:szCs w:val="28"/>
              </w:rPr>
            </w:pPr>
          </w:p>
        </w:tc>
        <w:tc>
          <w:tcPr>
            <w:tcW w:w="12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方正仿宋_GBK"/>
                <w:kern w:val="0"/>
                <w:sz w:val="28"/>
                <w:szCs w:val="28"/>
              </w:rPr>
            </w:pPr>
          </w:p>
        </w:tc>
        <w:tc>
          <w:tcPr>
            <w:tcW w:w="124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方正仿宋_GBK"/>
                <w:kern w:val="0"/>
                <w:sz w:val="28"/>
                <w:szCs w:val="28"/>
              </w:rPr>
            </w:pPr>
          </w:p>
        </w:tc>
        <w:tc>
          <w:tcPr>
            <w:tcW w:w="12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方正仿宋_GBK"/>
                <w:kern w:val="0"/>
                <w:sz w:val="28"/>
                <w:szCs w:val="28"/>
              </w:rPr>
            </w:pPr>
          </w:p>
        </w:tc>
        <w:tc>
          <w:tcPr>
            <w:tcW w:w="10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方正仿宋_GBK"/>
                <w:kern w:val="0"/>
                <w:sz w:val="28"/>
                <w:szCs w:val="28"/>
              </w:rPr>
            </w:pPr>
          </w:p>
        </w:tc>
        <w:tc>
          <w:tcPr>
            <w:tcW w:w="569"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件数</w:t>
            </w:r>
          </w:p>
        </w:tc>
        <w:tc>
          <w:tcPr>
            <w:tcW w:w="1366"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涉案金额（万元）</w:t>
            </w:r>
          </w:p>
        </w:tc>
        <w:tc>
          <w:tcPr>
            <w:tcW w:w="618"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件数</w:t>
            </w:r>
          </w:p>
        </w:tc>
        <w:tc>
          <w:tcPr>
            <w:tcW w:w="1407"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涉案金额（万元）</w:t>
            </w:r>
          </w:p>
        </w:tc>
        <w:tc>
          <w:tcPr>
            <w:tcW w:w="109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方正仿宋_GBK"/>
                <w:kern w:val="0"/>
                <w:sz w:val="28"/>
                <w:szCs w:val="28"/>
              </w:rPr>
            </w:pPr>
          </w:p>
        </w:tc>
        <w:tc>
          <w:tcPr>
            <w:tcW w:w="111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方正仿宋_GBK"/>
                <w:kern w:val="0"/>
                <w:sz w:val="28"/>
                <w:szCs w:val="28"/>
              </w:rPr>
            </w:pPr>
          </w:p>
        </w:tc>
        <w:tc>
          <w:tcPr>
            <w:tcW w:w="106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仿宋_GBK"/>
                <w:kern w:val="0"/>
                <w:sz w:val="28"/>
                <w:szCs w:val="28"/>
              </w:rPr>
            </w:pPr>
          </w:p>
        </w:tc>
        <w:tc>
          <w:tcPr>
            <w:tcW w:w="106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仿宋_GBK"/>
                <w:kern w:val="0"/>
                <w:sz w:val="28"/>
                <w:szCs w:val="28"/>
              </w:rPr>
            </w:pPr>
          </w:p>
        </w:tc>
        <w:tc>
          <w:tcPr>
            <w:tcW w:w="106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方正仿宋_GBK"/>
                <w:kern w:val="0"/>
                <w:sz w:val="28"/>
                <w:szCs w:val="28"/>
              </w:rPr>
            </w:pPr>
          </w:p>
        </w:tc>
      </w:tr>
      <w:tr>
        <w:tblPrEx>
          <w:tblCellMar>
            <w:top w:w="0" w:type="dxa"/>
            <w:left w:w="108" w:type="dxa"/>
            <w:bottom w:w="0" w:type="dxa"/>
            <w:right w:w="108" w:type="dxa"/>
          </w:tblCellMar>
        </w:tblPrEx>
        <w:trPr>
          <w:trHeight w:val="878" w:hRule="atLeast"/>
          <w:jc w:val="center"/>
        </w:trPr>
        <w:tc>
          <w:tcPr>
            <w:tcW w:w="1167"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品种权侵权</w:t>
            </w:r>
          </w:p>
        </w:tc>
        <w:tc>
          <w:tcPr>
            <w:tcW w:w="1258" w:type="dxa"/>
            <w:vMerge w:val="restart"/>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eastAsia="方正仿宋_GBK"/>
                <w:kern w:val="0"/>
                <w:sz w:val="28"/>
                <w:szCs w:val="28"/>
              </w:rPr>
            </w:pPr>
          </w:p>
        </w:tc>
        <w:tc>
          <w:tcPr>
            <w:tcW w:w="1247"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p>
        </w:tc>
        <w:tc>
          <w:tcPr>
            <w:tcW w:w="1275"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p>
        </w:tc>
        <w:tc>
          <w:tcPr>
            <w:tcW w:w="1020"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p>
        </w:tc>
        <w:tc>
          <w:tcPr>
            <w:tcW w:w="569"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p>
        </w:tc>
        <w:tc>
          <w:tcPr>
            <w:tcW w:w="1366"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p>
        </w:tc>
        <w:tc>
          <w:tcPr>
            <w:tcW w:w="618"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p>
        </w:tc>
        <w:tc>
          <w:tcPr>
            <w:tcW w:w="1407"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p>
        </w:tc>
        <w:tc>
          <w:tcPr>
            <w:tcW w:w="1095"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p>
        </w:tc>
        <w:tc>
          <w:tcPr>
            <w:tcW w:w="1110" w:type="dxa"/>
            <w:vMerge w:val="restart"/>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eastAsia="方正仿宋_GBK"/>
                <w:kern w:val="0"/>
                <w:sz w:val="28"/>
                <w:szCs w:val="28"/>
              </w:rPr>
            </w:pPr>
          </w:p>
        </w:tc>
        <w:tc>
          <w:tcPr>
            <w:tcW w:w="1065" w:type="dxa"/>
            <w:vMerge w:val="restart"/>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eastAsia="方正仿宋_GBK"/>
                <w:kern w:val="0"/>
                <w:sz w:val="28"/>
                <w:szCs w:val="28"/>
              </w:rPr>
            </w:pPr>
          </w:p>
        </w:tc>
        <w:tc>
          <w:tcPr>
            <w:tcW w:w="1065" w:type="dxa"/>
            <w:vMerge w:val="restart"/>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eastAsia="方正仿宋_GBK"/>
                <w:kern w:val="0"/>
                <w:sz w:val="28"/>
                <w:szCs w:val="28"/>
              </w:rPr>
            </w:pPr>
          </w:p>
        </w:tc>
        <w:tc>
          <w:tcPr>
            <w:tcW w:w="1065" w:type="dxa"/>
            <w:vMerge w:val="restart"/>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eastAsia="方正仿宋_GBK"/>
                <w:kern w:val="0"/>
                <w:sz w:val="28"/>
                <w:szCs w:val="28"/>
              </w:rPr>
            </w:pPr>
          </w:p>
        </w:tc>
      </w:tr>
      <w:tr>
        <w:tblPrEx>
          <w:tblCellMar>
            <w:top w:w="0" w:type="dxa"/>
            <w:left w:w="108" w:type="dxa"/>
            <w:bottom w:w="0" w:type="dxa"/>
            <w:right w:w="108" w:type="dxa"/>
          </w:tblCellMar>
        </w:tblPrEx>
        <w:trPr>
          <w:trHeight w:val="683" w:hRule="atLeast"/>
          <w:jc w:val="center"/>
        </w:trPr>
        <w:tc>
          <w:tcPr>
            <w:tcW w:w="1167"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其他</w:t>
            </w:r>
          </w:p>
        </w:tc>
        <w:tc>
          <w:tcPr>
            <w:tcW w:w="12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方正仿宋_GBK"/>
                <w:kern w:val="0"/>
                <w:sz w:val="28"/>
                <w:szCs w:val="28"/>
              </w:rPr>
            </w:pPr>
          </w:p>
        </w:tc>
        <w:tc>
          <w:tcPr>
            <w:tcW w:w="1247"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p>
        </w:tc>
        <w:tc>
          <w:tcPr>
            <w:tcW w:w="1275"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p>
        </w:tc>
        <w:tc>
          <w:tcPr>
            <w:tcW w:w="1020"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p>
        </w:tc>
        <w:tc>
          <w:tcPr>
            <w:tcW w:w="569"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p>
        </w:tc>
        <w:tc>
          <w:tcPr>
            <w:tcW w:w="1366"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p>
        </w:tc>
        <w:tc>
          <w:tcPr>
            <w:tcW w:w="618"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p>
        </w:tc>
        <w:tc>
          <w:tcPr>
            <w:tcW w:w="1407"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p>
        </w:tc>
        <w:tc>
          <w:tcPr>
            <w:tcW w:w="1095"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p>
        </w:tc>
        <w:tc>
          <w:tcPr>
            <w:tcW w:w="111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方正仿宋_GBK"/>
                <w:kern w:val="0"/>
                <w:sz w:val="28"/>
                <w:szCs w:val="28"/>
              </w:rPr>
            </w:pPr>
          </w:p>
        </w:tc>
        <w:tc>
          <w:tcPr>
            <w:tcW w:w="106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方正仿宋_GBK"/>
                <w:kern w:val="0"/>
                <w:sz w:val="28"/>
                <w:szCs w:val="28"/>
              </w:rPr>
            </w:pPr>
          </w:p>
        </w:tc>
        <w:tc>
          <w:tcPr>
            <w:tcW w:w="106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方正仿宋_GBK"/>
                <w:kern w:val="0"/>
                <w:sz w:val="28"/>
                <w:szCs w:val="28"/>
              </w:rPr>
            </w:pPr>
          </w:p>
        </w:tc>
        <w:tc>
          <w:tcPr>
            <w:tcW w:w="106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方正仿宋_GBK"/>
                <w:kern w:val="0"/>
                <w:sz w:val="28"/>
                <w:szCs w:val="28"/>
              </w:rPr>
            </w:pPr>
          </w:p>
        </w:tc>
      </w:tr>
      <w:tr>
        <w:tblPrEx>
          <w:tblCellMar>
            <w:top w:w="0" w:type="dxa"/>
            <w:left w:w="108" w:type="dxa"/>
            <w:bottom w:w="0" w:type="dxa"/>
            <w:right w:w="108" w:type="dxa"/>
          </w:tblCellMar>
        </w:tblPrEx>
        <w:trPr>
          <w:trHeight w:val="672" w:hRule="atLeast"/>
          <w:jc w:val="center"/>
        </w:trPr>
        <w:tc>
          <w:tcPr>
            <w:tcW w:w="1167"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b/>
                <w:bCs/>
                <w:kern w:val="0"/>
                <w:sz w:val="28"/>
                <w:szCs w:val="28"/>
              </w:rPr>
            </w:pPr>
            <w:r>
              <w:rPr>
                <w:rFonts w:eastAsia="方正仿宋_GBK"/>
                <w:b/>
                <w:bCs/>
                <w:kern w:val="0"/>
                <w:sz w:val="28"/>
                <w:szCs w:val="28"/>
              </w:rPr>
              <w:t>合计</w:t>
            </w:r>
          </w:p>
        </w:tc>
        <w:tc>
          <w:tcPr>
            <w:tcW w:w="12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方正仿宋_GBK"/>
                <w:kern w:val="0"/>
                <w:sz w:val="28"/>
                <w:szCs w:val="28"/>
              </w:rPr>
            </w:pPr>
          </w:p>
        </w:tc>
        <w:tc>
          <w:tcPr>
            <w:tcW w:w="1247"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　</w:t>
            </w:r>
          </w:p>
        </w:tc>
        <w:tc>
          <w:tcPr>
            <w:tcW w:w="1275"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　</w:t>
            </w:r>
          </w:p>
        </w:tc>
        <w:tc>
          <w:tcPr>
            <w:tcW w:w="1020"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　</w:t>
            </w:r>
          </w:p>
        </w:tc>
        <w:tc>
          <w:tcPr>
            <w:tcW w:w="569"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　</w:t>
            </w:r>
          </w:p>
        </w:tc>
        <w:tc>
          <w:tcPr>
            <w:tcW w:w="1366"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　</w:t>
            </w:r>
          </w:p>
        </w:tc>
        <w:tc>
          <w:tcPr>
            <w:tcW w:w="618"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　</w:t>
            </w:r>
          </w:p>
        </w:tc>
        <w:tc>
          <w:tcPr>
            <w:tcW w:w="1407"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　</w:t>
            </w:r>
          </w:p>
        </w:tc>
        <w:tc>
          <w:tcPr>
            <w:tcW w:w="1095" w:type="dxa"/>
            <w:tcBorders>
              <w:top w:val="nil"/>
              <w:left w:val="nil"/>
              <w:bottom w:val="single" w:color="auto" w:sz="4" w:space="0"/>
              <w:right w:val="single" w:color="auto" w:sz="4" w:space="0"/>
            </w:tcBorders>
            <w:noWrap w:val="0"/>
            <w:vAlign w:val="center"/>
          </w:tcPr>
          <w:p>
            <w:pPr>
              <w:widowControl/>
              <w:spacing w:line="400" w:lineRule="exact"/>
              <w:jc w:val="center"/>
              <w:rPr>
                <w:rFonts w:eastAsia="方正仿宋_GBK"/>
                <w:kern w:val="0"/>
                <w:sz w:val="28"/>
                <w:szCs w:val="28"/>
              </w:rPr>
            </w:pPr>
            <w:r>
              <w:rPr>
                <w:rFonts w:eastAsia="方正仿宋_GBK"/>
                <w:kern w:val="0"/>
                <w:sz w:val="28"/>
                <w:szCs w:val="28"/>
              </w:rPr>
              <w:t>　</w:t>
            </w:r>
          </w:p>
        </w:tc>
        <w:tc>
          <w:tcPr>
            <w:tcW w:w="111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方正仿宋_GBK"/>
                <w:kern w:val="0"/>
                <w:sz w:val="28"/>
                <w:szCs w:val="28"/>
              </w:rPr>
            </w:pPr>
          </w:p>
        </w:tc>
        <w:tc>
          <w:tcPr>
            <w:tcW w:w="106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方正仿宋_GBK"/>
                <w:kern w:val="0"/>
                <w:sz w:val="28"/>
                <w:szCs w:val="28"/>
              </w:rPr>
            </w:pPr>
          </w:p>
        </w:tc>
        <w:tc>
          <w:tcPr>
            <w:tcW w:w="106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方正仿宋_GBK"/>
                <w:kern w:val="0"/>
                <w:sz w:val="28"/>
                <w:szCs w:val="28"/>
              </w:rPr>
            </w:pPr>
          </w:p>
        </w:tc>
        <w:tc>
          <w:tcPr>
            <w:tcW w:w="106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方正仿宋_GBK"/>
                <w:kern w:val="0"/>
                <w:sz w:val="28"/>
                <w:szCs w:val="28"/>
              </w:rPr>
            </w:pPr>
          </w:p>
        </w:tc>
      </w:tr>
    </w:tbl>
    <w:p>
      <w:pPr>
        <w:spacing w:line="300" w:lineRule="exact"/>
        <w:ind w:firstLine="280" w:firstLineChars="100"/>
        <w:rPr>
          <w:rFonts w:hint="eastAsia" w:ascii="方正仿宋_GBK" w:eastAsia="方正仿宋_GBK"/>
          <w:color w:val="FF0000"/>
          <w:sz w:val="24"/>
        </w:rPr>
        <w:sectPr>
          <w:pgSz w:w="16838" w:h="11906" w:orient="landscape"/>
          <w:pgMar w:top="2098" w:right="1474" w:bottom="1984" w:left="1588" w:header="851" w:footer="1400" w:gutter="0"/>
          <w:cols w:space="720" w:num="1"/>
          <w:docGrid w:linePitch="534" w:charSpace="0"/>
        </w:sectPr>
      </w:pPr>
      <w:r>
        <w:rPr>
          <w:rFonts w:eastAsia="方正仿宋_GBK"/>
          <w:kern w:val="0"/>
          <w:sz w:val="28"/>
          <w:szCs w:val="28"/>
        </w:rPr>
        <w:t>注：数据截至填表时</w:t>
      </w:r>
      <w:r>
        <w:rPr>
          <w:rFonts w:hint="eastAsia" w:eastAsia="方正仿宋_GBK"/>
          <w:kern w:val="0"/>
          <w:sz w:val="28"/>
          <w:szCs w:val="28"/>
        </w:rPr>
        <w:t>。</w:t>
      </w:r>
    </w:p>
    <w:p>
      <w:pPr>
        <w:spacing w:line="560" w:lineRule="exact"/>
        <w:rPr>
          <w:rFonts w:hint="eastAsia" w:ascii="方正仿宋_GBK" w:eastAsia="方正仿宋_GBK"/>
          <w:color w:val="000000"/>
          <w:sz w:val="32"/>
          <w:szCs w:val="32"/>
        </w:rPr>
      </w:pPr>
      <w:r>
        <w:rPr>
          <w:rFonts w:hint="eastAsia" w:ascii="方正仿宋_GBK" w:eastAsia="方正仿宋_GBK"/>
          <w:color w:val="000000"/>
          <w:sz w:val="32"/>
          <w:szCs w:val="32"/>
        </w:rPr>
        <w:t xml:space="preserve">   </w:t>
      </w:r>
    </w:p>
    <w:p>
      <w:pPr>
        <w:spacing w:line="560" w:lineRule="exact"/>
        <w:rPr>
          <w:rFonts w:hint="eastAsia" w:ascii="方正仿宋_GBK" w:eastAsia="方正仿宋_GBK"/>
          <w:color w:val="000000"/>
          <w:sz w:val="32"/>
          <w:szCs w:val="32"/>
        </w:rPr>
      </w:pPr>
    </w:p>
    <w:p>
      <w:pPr>
        <w:spacing w:line="560" w:lineRule="exact"/>
        <w:rPr>
          <w:rFonts w:hint="eastAsia" w:ascii="方正仿宋_GBK" w:eastAsia="方正仿宋_GBK"/>
          <w:color w:val="000000"/>
          <w:sz w:val="32"/>
          <w:szCs w:val="32"/>
        </w:rPr>
      </w:pPr>
    </w:p>
    <w:p>
      <w:pPr>
        <w:spacing w:line="560" w:lineRule="exact"/>
        <w:rPr>
          <w:rFonts w:hint="eastAsia" w:ascii="方正仿宋_GBK" w:eastAsia="方正仿宋_GBK"/>
          <w:color w:val="000000"/>
          <w:sz w:val="32"/>
          <w:szCs w:val="32"/>
        </w:rPr>
      </w:pPr>
    </w:p>
    <w:p>
      <w:pPr>
        <w:spacing w:line="560" w:lineRule="exact"/>
        <w:rPr>
          <w:rFonts w:hint="eastAsia" w:ascii="方正仿宋_GBK" w:eastAsia="方正仿宋_GBK"/>
          <w:color w:val="000000"/>
          <w:sz w:val="32"/>
          <w:szCs w:val="32"/>
        </w:rPr>
      </w:pPr>
    </w:p>
    <w:p>
      <w:pPr>
        <w:spacing w:line="560" w:lineRule="exact"/>
        <w:rPr>
          <w:rFonts w:hint="eastAsia" w:ascii="方正仿宋_GBK" w:eastAsia="方正仿宋_GBK"/>
          <w:color w:val="000000"/>
          <w:sz w:val="32"/>
          <w:szCs w:val="32"/>
        </w:rPr>
      </w:pPr>
    </w:p>
    <w:p>
      <w:pPr>
        <w:spacing w:line="560" w:lineRule="exact"/>
        <w:rPr>
          <w:rFonts w:hint="eastAsia" w:ascii="方正仿宋_GBK" w:eastAsia="方正仿宋_GBK"/>
          <w:color w:val="000000"/>
          <w:sz w:val="32"/>
          <w:szCs w:val="32"/>
        </w:rPr>
      </w:pPr>
    </w:p>
    <w:p>
      <w:pPr>
        <w:spacing w:line="560" w:lineRule="exact"/>
        <w:rPr>
          <w:rFonts w:hint="eastAsia" w:ascii="方正仿宋_GBK" w:eastAsia="方正仿宋_GBK"/>
          <w:color w:val="000000"/>
          <w:sz w:val="32"/>
          <w:szCs w:val="32"/>
        </w:rPr>
      </w:pPr>
    </w:p>
    <w:p>
      <w:pPr>
        <w:spacing w:line="560" w:lineRule="exact"/>
        <w:rPr>
          <w:rFonts w:hint="eastAsia" w:ascii="方正仿宋_GBK" w:eastAsia="方正仿宋_GBK"/>
          <w:color w:val="000000"/>
          <w:sz w:val="32"/>
          <w:szCs w:val="32"/>
        </w:rPr>
      </w:pPr>
    </w:p>
    <w:p>
      <w:pPr>
        <w:spacing w:line="560" w:lineRule="exact"/>
        <w:rPr>
          <w:rFonts w:hint="eastAsia" w:ascii="方正仿宋_GBK" w:eastAsia="方正仿宋_GBK"/>
          <w:color w:val="000000"/>
          <w:sz w:val="32"/>
          <w:szCs w:val="32"/>
        </w:rPr>
      </w:pPr>
    </w:p>
    <w:p>
      <w:pPr>
        <w:spacing w:line="560" w:lineRule="exact"/>
        <w:rPr>
          <w:rFonts w:hint="eastAsia" w:ascii="方正仿宋_GBK" w:eastAsia="方正仿宋_GBK"/>
          <w:color w:val="000000"/>
          <w:sz w:val="32"/>
          <w:szCs w:val="32"/>
        </w:rPr>
      </w:pPr>
    </w:p>
    <w:p>
      <w:pPr>
        <w:spacing w:line="560" w:lineRule="exact"/>
        <w:rPr>
          <w:rFonts w:hint="eastAsia" w:ascii="方正仿宋_GBK" w:eastAsia="方正仿宋_GBK"/>
          <w:color w:val="000000"/>
          <w:sz w:val="32"/>
          <w:szCs w:val="32"/>
        </w:rPr>
      </w:pPr>
    </w:p>
    <w:p>
      <w:pPr>
        <w:spacing w:line="560" w:lineRule="exact"/>
        <w:rPr>
          <w:rFonts w:hint="eastAsia" w:ascii="方正仿宋_GBK" w:eastAsia="方正仿宋_GBK"/>
          <w:color w:val="000000"/>
          <w:sz w:val="32"/>
          <w:szCs w:val="32"/>
        </w:rPr>
      </w:pPr>
    </w:p>
    <w:p>
      <w:pPr>
        <w:spacing w:line="560" w:lineRule="exact"/>
        <w:rPr>
          <w:rFonts w:hint="eastAsia" w:ascii="方正仿宋_GBK" w:eastAsia="方正仿宋_GBK"/>
          <w:color w:val="000000"/>
          <w:sz w:val="32"/>
          <w:szCs w:val="32"/>
        </w:rPr>
      </w:pPr>
    </w:p>
    <w:p>
      <w:pPr>
        <w:spacing w:line="560" w:lineRule="exact"/>
        <w:rPr>
          <w:rFonts w:hint="eastAsia" w:ascii="方正仿宋_GBK" w:eastAsia="方正仿宋_GBK"/>
          <w:color w:val="000000"/>
          <w:sz w:val="32"/>
          <w:szCs w:val="32"/>
        </w:rPr>
      </w:pPr>
    </w:p>
    <w:p>
      <w:pPr>
        <w:spacing w:line="560" w:lineRule="exact"/>
        <w:rPr>
          <w:rFonts w:hint="eastAsia" w:ascii="方正仿宋_GBK" w:eastAsia="方正仿宋_GBK"/>
          <w:color w:val="000000"/>
          <w:sz w:val="32"/>
          <w:szCs w:val="32"/>
        </w:rPr>
      </w:pPr>
    </w:p>
    <w:p>
      <w:pPr>
        <w:spacing w:line="560" w:lineRule="exact"/>
        <w:rPr>
          <w:rFonts w:hint="eastAsia" w:ascii="方正仿宋_GBK" w:eastAsia="方正仿宋_GBK"/>
          <w:color w:val="000000"/>
          <w:sz w:val="32"/>
          <w:szCs w:val="32"/>
        </w:rPr>
      </w:pPr>
    </w:p>
    <w:p>
      <w:pPr>
        <w:spacing w:line="560" w:lineRule="exact"/>
        <w:rPr>
          <w:rFonts w:hint="eastAsia" w:ascii="方正仿宋_GBK" w:eastAsia="方正仿宋_GBK"/>
          <w:color w:val="000000"/>
          <w:sz w:val="32"/>
          <w:szCs w:val="32"/>
        </w:rPr>
      </w:pPr>
    </w:p>
    <w:p>
      <w:pPr>
        <w:spacing w:line="560" w:lineRule="exact"/>
        <w:rPr>
          <w:rFonts w:hint="eastAsia" w:ascii="方正仿宋_GBK" w:eastAsia="方正仿宋_GBK"/>
          <w:color w:val="000000"/>
          <w:sz w:val="32"/>
          <w:szCs w:val="32"/>
        </w:rPr>
      </w:pPr>
    </w:p>
    <w:p>
      <w:pPr>
        <w:spacing w:line="560" w:lineRule="exact"/>
        <w:rPr>
          <w:rFonts w:hint="eastAsia" w:ascii="方正仿宋_GBK" w:eastAsia="方正仿宋_GBK"/>
          <w:color w:val="000000"/>
          <w:sz w:val="32"/>
          <w:szCs w:val="32"/>
        </w:rPr>
      </w:pPr>
    </w:p>
    <w:p>
      <w:pPr>
        <w:spacing w:line="560" w:lineRule="exact"/>
        <w:rPr>
          <w:rFonts w:hint="eastAsia" w:ascii="方正仿宋_GBK" w:eastAsia="方正仿宋_GBK"/>
          <w:color w:val="000000"/>
          <w:sz w:val="32"/>
          <w:szCs w:val="32"/>
        </w:rPr>
      </w:pPr>
    </w:p>
    <w:p>
      <w:pPr>
        <w:pBdr>
          <w:top w:val="single" w:color="auto" w:sz="8" w:space="1"/>
          <w:bottom w:val="single" w:color="auto" w:sz="8" w:space="1"/>
        </w:pBdr>
        <w:spacing w:line="560" w:lineRule="exact"/>
        <w:ind w:firstLine="280" w:firstLineChars="100"/>
        <w:rPr>
          <w:rFonts w:ascii="方正仿宋_GBK" w:eastAsia="方正仿宋_GBK"/>
          <w:color w:val="000000"/>
          <w:sz w:val="28"/>
          <w:szCs w:val="28"/>
        </w:rPr>
      </w:pPr>
      <w:r>
        <w:rPr>
          <w:rFonts w:ascii="方正仿宋_GBK" w:eastAsia="方正仿宋_GBK"/>
          <w:color w:val="000000"/>
          <w:sz w:val="28"/>
          <w:szCs w:val="28"/>
        </w:rPr>
        <w:t>重庆</w:t>
      </w:r>
      <w:bookmarkStart w:id="0" w:name="_GoBack"/>
      <w:bookmarkEnd w:id="0"/>
      <w:r>
        <w:rPr>
          <w:rFonts w:ascii="方正仿宋_GBK" w:eastAsia="方正仿宋_GBK"/>
          <w:color w:val="000000"/>
          <w:sz w:val="28"/>
          <w:szCs w:val="28"/>
        </w:rPr>
        <w:t>市涪陵区农业农村委员会办公室</w:t>
      </w:r>
      <w:r>
        <w:rPr>
          <w:rFonts w:hint="eastAsia" w:ascii="方正仿宋_GBK" w:eastAsia="方正仿宋_GBK"/>
          <w:color w:val="000000"/>
          <w:sz w:val="28"/>
          <w:szCs w:val="28"/>
        </w:rPr>
        <w:t xml:space="preserve">        </w:t>
      </w:r>
      <w:r>
        <w:rPr>
          <w:rFonts w:hint="eastAsia" w:eastAsia="方正仿宋_GBK"/>
          <w:color w:val="000000"/>
          <w:sz w:val="28"/>
          <w:szCs w:val="28"/>
        </w:rPr>
        <w:t>2024</w:t>
      </w:r>
      <w:r>
        <w:rPr>
          <w:rFonts w:hint="eastAsia" w:ascii="方正仿宋_GBK" w:eastAsia="方正仿宋_GBK"/>
          <w:color w:val="000000"/>
          <w:sz w:val="28"/>
          <w:szCs w:val="28"/>
        </w:rPr>
        <w:t>年</w:t>
      </w:r>
      <w:r>
        <w:rPr>
          <w:rFonts w:hint="eastAsia" w:eastAsia="方正仿宋_GBK"/>
          <w:color w:val="000000"/>
          <w:sz w:val="28"/>
          <w:szCs w:val="28"/>
        </w:rPr>
        <w:t>3</w:t>
      </w:r>
      <w:r>
        <w:rPr>
          <w:rFonts w:hint="eastAsia" w:ascii="方正仿宋_GBK" w:eastAsia="方正仿宋_GBK"/>
          <w:color w:val="000000"/>
          <w:sz w:val="28"/>
          <w:szCs w:val="28"/>
        </w:rPr>
        <w:t>月</w:t>
      </w:r>
      <w:r>
        <w:rPr>
          <w:rFonts w:hint="eastAsia" w:eastAsia="方正仿宋_GBK"/>
          <w:color w:val="000000"/>
          <w:sz w:val="28"/>
          <w:szCs w:val="28"/>
        </w:rPr>
        <w:t>18</w:t>
      </w:r>
      <w:r>
        <w:rPr>
          <w:rFonts w:hint="eastAsia" w:ascii="方正仿宋_GBK" w:eastAsia="方正仿宋_GBK"/>
          <w:color w:val="000000"/>
          <w:sz w:val="28"/>
          <w:szCs w:val="28"/>
        </w:rPr>
        <w:t>日印发</w:t>
      </w:r>
    </w:p>
    <w:sectPr>
      <w:pgSz w:w="11906" w:h="16838"/>
      <w:pgMar w:top="2098" w:right="1474" w:bottom="1984" w:left="1588" w:header="851" w:footer="1400" w:gutter="0"/>
      <w:cols w:space="720" w:num="1"/>
      <w:docGrid w:linePitch="5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书宋_GBK">
    <w:altName w:val="微软雅黑"/>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方正仿宋_GBK"/>
    <w:panose1 w:val="00000000000000000000"/>
    <w:charset w:val="86"/>
    <w:family w:val="auto"/>
    <w:pitch w:val="default"/>
    <w:sig w:usb0="00000001" w:usb1="080E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00"/>
    <w:family w:val="auto"/>
    <w:pitch w:val="default"/>
    <w:sig w:usb0="00000287" w:usb1="080F0000" w:usb2="00000010" w:usb3="00000000" w:csb0="0004009F" w:csb1="00000000"/>
  </w:font>
  <w:font w:name="Arial">
    <w:panose1 w:val="020B0604020202020204"/>
    <w:charset w:val="00"/>
    <w:family w:val="swiss"/>
    <w:pitch w:val="default"/>
    <w:sig w:usb0="E0002EFF" w:usb1="C000785B"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方正书宋_GBK" w:hAnsi="方正书宋_GBK" w:eastAsia="方正书宋_GBK" w:cs="方正书宋_GBK"/>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hyphenationZone w:val="360"/>
  <w:drawingGridHorizontalSpacing w:val="320"/>
  <w:drawingGridVerticalSpacing w:val="267"/>
  <w:displayHorizontalDrawingGridEvery w:val="1"/>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YzhkOTUxNTU5OTk0NzA3NWYxOGJlYWRjYzMwZmMifQ=="/>
  </w:docVars>
  <w:rsids>
    <w:rsidRoot w:val="00935A48"/>
    <w:rsid w:val="000013EC"/>
    <w:rsid w:val="00013B40"/>
    <w:rsid w:val="0005109B"/>
    <w:rsid w:val="001607A5"/>
    <w:rsid w:val="001710D9"/>
    <w:rsid w:val="001925F7"/>
    <w:rsid w:val="001D7FF5"/>
    <w:rsid w:val="00275309"/>
    <w:rsid w:val="00337D27"/>
    <w:rsid w:val="00347D51"/>
    <w:rsid w:val="003957CF"/>
    <w:rsid w:val="003964B5"/>
    <w:rsid w:val="003B18AC"/>
    <w:rsid w:val="003F1D40"/>
    <w:rsid w:val="0041175E"/>
    <w:rsid w:val="004218A1"/>
    <w:rsid w:val="004235E4"/>
    <w:rsid w:val="00451045"/>
    <w:rsid w:val="004640A8"/>
    <w:rsid w:val="004979C7"/>
    <w:rsid w:val="004C0D00"/>
    <w:rsid w:val="00557A8B"/>
    <w:rsid w:val="005D2704"/>
    <w:rsid w:val="00616818"/>
    <w:rsid w:val="006844E4"/>
    <w:rsid w:val="006C219F"/>
    <w:rsid w:val="006C6A34"/>
    <w:rsid w:val="00707196"/>
    <w:rsid w:val="00747F89"/>
    <w:rsid w:val="00782591"/>
    <w:rsid w:val="00802AB2"/>
    <w:rsid w:val="00853537"/>
    <w:rsid w:val="008A20C1"/>
    <w:rsid w:val="008C30A9"/>
    <w:rsid w:val="00935A48"/>
    <w:rsid w:val="00936224"/>
    <w:rsid w:val="00947589"/>
    <w:rsid w:val="009773B3"/>
    <w:rsid w:val="009A6BCC"/>
    <w:rsid w:val="00A1118F"/>
    <w:rsid w:val="00A70B89"/>
    <w:rsid w:val="00AC2B47"/>
    <w:rsid w:val="00B33AAE"/>
    <w:rsid w:val="00B8699B"/>
    <w:rsid w:val="00BF5A30"/>
    <w:rsid w:val="00C80C71"/>
    <w:rsid w:val="00C878D8"/>
    <w:rsid w:val="00CA374E"/>
    <w:rsid w:val="00CB50A1"/>
    <w:rsid w:val="00D755F1"/>
    <w:rsid w:val="00D84908"/>
    <w:rsid w:val="00DB5195"/>
    <w:rsid w:val="00E64F6E"/>
    <w:rsid w:val="00ED637C"/>
    <w:rsid w:val="00EF616D"/>
    <w:rsid w:val="00EF6512"/>
    <w:rsid w:val="00F51579"/>
    <w:rsid w:val="00F54E3F"/>
    <w:rsid w:val="00F57B47"/>
    <w:rsid w:val="00F74561"/>
    <w:rsid w:val="00FA7253"/>
    <w:rsid w:val="00FA7677"/>
    <w:rsid w:val="00FB5293"/>
    <w:rsid w:val="00FD4E70"/>
    <w:rsid w:val="093B78DA"/>
    <w:rsid w:val="0E747469"/>
    <w:rsid w:val="1B55798D"/>
    <w:rsid w:val="1D5E6818"/>
    <w:rsid w:val="1FEABE3F"/>
    <w:rsid w:val="3B621F8B"/>
    <w:rsid w:val="55AF497F"/>
    <w:rsid w:val="55FF39E3"/>
    <w:rsid w:val="57372541"/>
    <w:rsid w:val="5E9071FE"/>
    <w:rsid w:val="6029263F"/>
    <w:rsid w:val="6E543E0B"/>
    <w:rsid w:val="710470E8"/>
    <w:rsid w:val="7BC53E46"/>
    <w:rsid w:val="7CB66A99"/>
    <w:rsid w:val="BA4BF38B"/>
    <w:rsid w:val="E7BFE3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方正仿宋_GBK" w:hAnsi="方正仿宋_GBK" w:eastAsia="方正仿宋_GBK" w:cs="方正仿宋_GBK"/>
      <w:snapToGrid w:val="0"/>
      <w:kern w:val="2"/>
      <w:sz w:val="32"/>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3">
    <w:name w:val="footer"/>
    <w:basedOn w:val="1"/>
    <w:link w:val="12"/>
    <w:unhideWhenUsed/>
    <w:uiPriority w:val="0"/>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table" w:styleId="7">
    <w:name w:val="Table Grid"/>
    <w:basedOn w:val="6"/>
    <w:uiPriority w:val="59"/>
    <w:pPr>
      <w:spacing w:line="240" w:lineRule="auto"/>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styleId="10">
    <w:name w:val="Hyperlink"/>
    <w:basedOn w:val="8"/>
    <w:unhideWhenUsed/>
    <w:uiPriority w:val="99"/>
    <w:rPr>
      <w:color w:val="0000FF"/>
      <w:u w:val="single"/>
    </w:rPr>
  </w:style>
  <w:style w:type="character" w:customStyle="1" w:styleId="11">
    <w:name w:val="标题 1 Char"/>
    <w:basedOn w:val="8"/>
    <w:link w:val="2"/>
    <w:uiPriority w:val="9"/>
    <w:rPr>
      <w:b/>
      <w:bCs/>
      <w:kern w:val="44"/>
      <w:sz w:val="44"/>
      <w:szCs w:val="44"/>
    </w:rPr>
  </w:style>
  <w:style w:type="character" w:customStyle="1" w:styleId="12">
    <w:name w:val="页脚 Char"/>
    <w:basedOn w:val="8"/>
    <w:link w:val="3"/>
    <w:uiPriority w:val="0"/>
    <w:rPr>
      <w:rFonts w:eastAsia="宋体" w:cs="Times New Roman"/>
    </w:rPr>
  </w:style>
  <w:style w:type="character" w:customStyle="1" w:styleId="13">
    <w:name w:val="页眉 Char"/>
    <w:basedOn w:val="8"/>
    <w:link w:val="4"/>
    <w:semiHidden/>
    <w:uiPriority w:val="99"/>
    <w:rPr>
      <w:rFonts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3460</Words>
  <Characters>3582</Characters>
  <Lines>28</Lines>
  <Paragraphs>7</Paragraphs>
  <TotalTime>0</TotalTime>
  <ScaleCrop>false</ScaleCrop>
  <LinksUpToDate>false</LinksUpToDate>
  <CharactersWithSpaces>3729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2022-01-04T10:07:00Z</dcterms:created>
  <dc:creator>微软用户</dc:creator>
  <cp:lastModifiedBy>为你倾心久久</cp:lastModifiedBy>
  <cp:lastPrinted>2022-01-04T13:58:00Z</cp:lastPrinted>
  <dcterms:modified xsi:type="dcterms:W3CDTF">2024-03-18T07:05:42Z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95420FC266C544B088CA81EA2DDC3C8B</vt:lpwstr>
  </property>
</Properties>
</file>