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eastAsia" w:ascii="黑体" w:hAnsi="黑体" w:eastAsia="黑体" w:cs="黑体"/>
          <w:color w:val="auto"/>
          <w:sz w:val="44"/>
          <w:szCs w:val="44"/>
          <w:shd w:val="clear" w:color="auto" w:fill="FFFFFF"/>
        </w:rPr>
      </w:pPr>
      <w:bookmarkStart w:id="0" w:name="_GoBack"/>
      <w:r>
        <w:rPr>
          <w:rFonts w:hint="eastAsia" w:ascii="黑体" w:hAnsi="黑体" w:eastAsia="黑体" w:cs="黑体"/>
          <w:color w:val="auto"/>
          <w:sz w:val="44"/>
          <w:szCs w:val="44"/>
        </w:rPr>
        <w:t>重庆市涪陵区人事考试培训中心</w:t>
      </w:r>
      <w:r>
        <w:rPr>
          <w:rFonts w:hint="eastAsia" w:ascii="黑体" w:hAnsi="黑体" w:eastAsia="黑体" w:cs="黑体"/>
          <w:color w:val="auto"/>
          <w:sz w:val="44"/>
          <w:szCs w:val="44"/>
          <w:shd w:val="clear" w:color="auto" w:fill="FFFFFF"/>
        </w:rPr>
        <w:t>2023年度</w:t>
      </w:r>
    </w:p>
    <w:p>
      <w:pPr>
        <w:pStyle w:val="7"/>
        <w:spacing w:before="0" w:beforeAutospacing="0"/>
        <w:jc w:val="center"/>
        <w:rPr>
          <w:rFonts w:hint="eastAsia" w:ascii="黑体" w:hAnsi="黑体" w:eastAsia="黑体" w:cs="黑体"/>
          <w:color w:val="auto"/>
          <w:sz w:val="44"/>
          <w:szCs w:val="44"/>
          <w:shd w:val="clear" w:color="auto" w:fill="FFFFFF"/>
        </w:rPr>
      </w:pPr>
      <w:r>
        <w:rPr>
          <w:rFonts w:hint="eastAsia" w:ascii="黑体" w:hAnsi="黑体" w:eastAsia="黑体" w:cs="黑体"/>
          <w:color w:val="auto"/>
          <w:sz w:val="44"/>
          <w:szCs w:val="44"/>
          <w:shd w:val="clear" w:color="auto" w:fill="FFFFFF"/>
        </w:rPr>
        <w:t>决算公开</w:t>
      </w:r>
    </w:p>
    <w:bookmarkEnd w:id="0"/>
    <w:p>
      <w:pPr>
        <w:pStyle w:val="7"/>
        <w:shd w:val="clear" w:color="auto" w:fill="FFFFFF"/>
        <w:rPr>
          <w:rFonts w:hint="default" w:ascii="黑体" w:hAnsi="黑体" w:eastAsia="黑体" w:cs="黑体"/>
          <w:color w:val="auto"/>
          <w:sz w:val="32"/>
          <w:szCs w:val="32"/>
        </w:rPr>
      </w:pPr>
      <w:r>
        <w:rPr>
          <w:rStyle w:val="11"/>
          <w:rFonts w:ascii="黑体" w:hAnsi="黑体" w:eastAsia="黑体" w:cs="黑体"/>
          <w:color w:val="auto"/>
          <w:sz w:val="32"/>
          <w:szCs w:val="32"/>
          <w:shd w:val="clear" w:color="auto" w:fill="FFFFFF"/>
        </w:rPr>
        <w:t>一、单位基本情况</w:t>
      </w:r>
    </w:p>
    <w:p>
      <w:pPr>
        <w:bidi w:val="0"/>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（一）职能职责</w:t>
      </w:r>
    </w:p>
    <w:p>
      <w:pPr>
        <w:adjustRightInd w:val="0"/>
        <w:spacing w:line="594"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 负责全区公务员和事业单位工作人员的教育培训相关工作。</w:t>
      </w:r>
    </w:p>
    <w:p>
      <w:pPr>
        <w:adjustRightInd w:val="0"/>
        <w:spacing w:line="594"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 负责公务员招录考试工作。</w:t>
      </w:r>
    </w:p>
    <w:p>
      <w:pPr>
        <w:adjustRightInd w:val="0"/>
        <w:spacing w:line="594"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3. 负责事业单位工作人员招聘考试工作。</w:t>
      </w:r>
    </w:p>
    <w:p>
      <w:pPr>
        <w:adjustRightInd w:val="0"/>
        <w:spacing w:line="594"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 负责各类专业技术人员职称考试和执业资格考试工作。</w:t>
      </w:r>
    </w:p>
    <w:p>
      <w:pPr>
        <w:adjustRightInd w:val="0"/>
        <w:spacing w:line="594" w:lineRule="exact"/>
        <w:ind w:firstLine="640" w:firstLineChars="200"/>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 负责全区专业技术人员继续教育管理工作。</w:t>
      </w: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6. 完成区委、区政府和区人力社保局交办的其他工作。</w:t>
      </w:r>
    </w:p>
    <w:p>
      <w:pPr>
        <w:bidi w:val="0"/>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（二）机构设置</w:t>
      </w:r>
    </w:p>
    <w:p>
      <w:pPr>
        <w:adjustRightInd w:val="0"/>
        <w:spacing w:line="594"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重庆市涪陵区人事考试培训中心隶属于重庆市涪陵区人力资源和社会保障局。内设科室3个。在职人员7人。</w:t>
      </w:r>
    </w:p>
    <w:p>
      <w:pPr>
        <w:pStyle w:val="7"/>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二、单位决算情况说明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7"/>
        <w:shd w:val="clear" w:color="auto" w:fill="FFFFFF"/>
        <w:ind w:firstLine="642" w:firstLineChars="200"/>
        <w:rPr>
          <w:rFonts w:hint="eastAsia" w:ascii="仿宋" w:hAnsi="仿宋" w:eastAsia="仿宋" w:cs="仿宋"/>
          <w:color w:val="auto"/>
          <w:sz w:val="32"/>
          <w:szCs w:val="32"/>
          <w:lang w:val="en-US" w:eastAsia="zh-CN" w:bidi="ar-SA"/>
        </w:rPr>
      </w:pPr>
      <w:r>
        <w:rPr>
          <w:rStyle w:val="11"/>
          <w:rFonts w:ascii="方正仿宋_GBK" w:hAnsi="方正仿宋_GBK" w:eastAsia="方正仿宋_GBK" w:cs="方正仿宋_GBK"/>
          <w:color w:val="auto"/>
          <w:sz w:val="32"/>
          <w:szCs w:val="32"/>
          <w:shd w:val="clear" w:color="auto" w:fill="FFFFFF"/>
        </w:rPr>
        <w:t>1.总体情况。</w:t>
      </w:r>
      <w:r>
        <w:rPr>
          <w:rFonts w:hint="eastAsia" w:ascii="仿宋" w:hAnsi="仿宋" w:eastAsia="仿宋" w:cs="仿宋"/>
          <w:color w:val="auto"/>
          <w:sz w:val="32"/>
          <w:szCs w:val="32"/>
          <w:lang w:val="en-US" w:eastAsia="zh-CN" w:bidi="ar-SA"/>
        </w:rPr>
        <w:t>2023年度收入总计149.90万元，支出总计149.90万元。收支较上年决算数增加1.95万元，增长1.32%，主要原因是人员工资增长。</w:t>
      </w:r>
    </w:p>
    <w:p>
      <w:pPr>
        <w:pStyle w:val="7"/>
        <w:snapToGrid w:val="0"/>
        <w:spacing w:before="0" w:beforeAutospacing="0" w:after="0" w:afterAutospacing="0" w:line="600" w:lineRule="exact"/>
        <w:ind w:firstLine="642" w:firstLineChars="200"/>
        <w:jc w:val="both"/>
        <w:rPr>
          <w:rFonts w:hint="default" w:ascii="仿宋" w:hAnsi="仿宋" w:eastAsia="仿宋" w:cs="仿宋"/>
          <w:color w:val="auto"/>
          <w:sz w:val="32"/>
          <w:szCs w:val="32"/>
          <w:lang w:val="en-US" w:eastAsia="zh-CN" w:bidi="ar-SA"/>
        </w:rPr>
      </w:pPr>
      <w:r>
        <w:rPr>
          <w:rStyle w:val="11"/>
          <w:rFonts w:ascii="方正仿宋_GBK" w:hAnsi="方正仿宋_GBK" w:eastAsia="方正仿宋_GBK" w:cs="方正仿宋_GBK"/>
          <w:color w:val="auto"/>
          <w:sz w:val="32"/>
          <w:szCs w:val="32"/>
          <w:shd w:val="clear" w:color="auto" w:fill="FFFFFF"/>
        </w:rPr>
        <w:t>2.收入情况。</w:t>
      </w:r>
      <w:r>
        <w:rPr>
          <w:rFonts w:hint="eastAsia" w:ascii="仿宋" w:hAnsi="仿宋" w:eastAsia="仿宋" w:cs="仿宋"/>
          <w:color w:val="auto"/>
          <w:sz w:val="32"/>
          <w:szCs w:val="32"/>
          <w:lang w:val="en-US" w:eastAsia="zh-CN" w:bidi="ar-SA"/>
        </w:rPr>
        <w:t>2023年度收入合计149.90万元，较上年决算数增加1.95万元，增长1.32%，主要原因是人员工资增长。其中：财政拨款收入149.90万元，占100.00%；事业收入0.00万元，占0.00%；经营收入0.00万元，占0.00%；其他收入0.00万元，占0.00%。此外，使用非财政拨款结余和专用结余0.00万元，年初结转和结余0.00万元。</w:t>
      </w:r>
    </w:p>
    <w:p>
      <w:pPr>
        <w:pStyle w:val="7"/>
        <w:snapToGrid w:val="0"/>
        <w:spacing w:before="0" w:beforeAutospacing="0" w:after="0" w:afterAutospacing="0" w:line="600" w:lineRule="exact"/>
        <w:ind w:firstLine="642" w:firstLineChars="200"/>
        <w:jc w:val="both"/>
        <w:rPr>
          <w:rFonts w:hint="default" w:ascii="仿宋" w:hAnsi="仿宋" w:eastAsia="仿宋" w:cs="仿宋"/>
          <w:color w:val="auto"/>
          <w:sz w:val="32"/>
          <w:szCs w:val="32"/>
          <w:lang w:val="en-US" w:eastAsia="zh-CN" w:bidi="ar-SA"/>
        </w:rPr>
      </w:pPr>
      <w:r>
        <w:rPr>
          <w:rStyle w:val="11"/>
          <w:rFonts w:ascii="方正仿宋_GBK" w:hAnsi="方正仿宋_GBK" w:eastAsia="方正仿宋_GBK" w:cs="方正仿宋_GBK"/>
          <w:color w:val="auto"/>
          <w:sz w:val="32"/>
          <w:szCs w:val="32"/>
          <w:shd w:val="clear" w:color="auto" w:fill="FFFFFF"/>
        </w:rPr>
        <w:t>3.支出情况。</w:t>
      </w:r>
      <w:r>
        <w:rPr>
          <w:rFonts w:hint="eastAsia" w:ascii="仿宋" w:hAnsi="仿宋" w:eastAsia="仿宋" w:cs="仿宋"/>
          <w:color w:val="auto"/>
          <w:sz w:val="32"/>
          <w:szCs w:val="32"/>
          <w:lang w:val="en-US" w:eastAsia="zh-CN" w:bidi="ar-SA"/>
        </w:rPr>
        <w:t>2023年度支出合计149.90万元，较上年决算数增加1.95万元，增长1.32%，主要原因是人员工资增长。其中：基本支出149.90万元，占100.00%；项目支出0.00万元，占0.00%；经营支出0.00万元，占0.00%。此外，结余分配0.00万元。</w:t>
      </w:r>
    </w:p>
    <w:p>
      <w:pPr>
        <w:pStyle w:val="7"/>
        <w:snapToGrid w:val="0"/>
        <w:spacing w:before="0" w:beforeAutospacing="0" w:after="0" w:afterAutospacing="0" w:line="600" w:lineRule="exact"/>
        <w:ind w:firstLine="642" w:firstLineChars="200"/>
        <w:jc w:val="both"/>
        <w:rPr>
          <w:rFonts w:hint="eastAsia" w:ascii="仿宋" w:hAnsi="仿宋" w:eastAsia="仿宋" w:cs="仿宋"/>
          <w:color w:val="auto"/>
          <w:sz w:val="32"/>
          <w:szCs w:val="32"/>
          <w:lang w:val="en-US" w:eastAsia="zh-CN" w:bidi="ar-SA"/>
        </w:rPr>
      </w:pPr>
      <w:r>
        <w:rPr>
          <w:rStyle w:val="11"/>
          <w:rFonts w:ascii="方正仿宋_GBK" w:hAnsi="方正仿宋_GBK" w:eastAsia="方正仿宋_GBK" w:cs="方正仿宋_GBK"/>
          <w:color w:val="auto"/>
          <w:sz w:val="32"/>
          <w:szCs w:val="32"/>
          <w:shd w:val="clear" w:color="auto" w:fill="FFFFFF"/>
        </w:rPr>
        <w:t>4.结转结余情况。</w:t>
      </w:r>
      <w:r>
        <w:rPr>
          <w:rFonts w:hint="eastAsia" w:ascii="仿宋" w:hAnsi="仿宋" w:eastAsia="仿宋" w:cs="仿宋"/>
          <w:color w:val="auto"/>
          <w:sz w:val="32"/>
          <w:szCs w:val="32"/>
          <w:lang w:val="en-US" w:eastAsia="zh-CN" w:bidi="ar-SA"/>
        </w:rPr>
        <w:t>2023年度年末结转和结余0.00万元，较上年决算数无增减，主要原因是按预算法要求无结转结余。</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2023年度财政拨款收、支总计149.90万元。与2022年相比，财政拨款收、支总计各增加1.95万元，增长1.32%。主要原因是人员工资增长。</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2" w:firstLineChars="200"/>
        <w:jc w:val="both"/>
        <w:rPr>
          <w:rFonts w:hint="default" w:ascii="仿宋" w:hAnsi="仿宋" w:eastAsia="仿宋" w:cs="仿宋"/>
          <w:color w:val="auto"/>
          <w:sz w:val="32"/>
          <w:szCs w:val="32"/>
          <w:lang w:val="en-US" w:eastAsia="zh-CN" w:bidi="ar-SA"/>
        </w:rPr>
      </w:pPr>
      <w:r>
        <w:rPr>
          <w:rStyle w:val="11"/>
          <w:rFonts w:ascii="方正仿宋_GBK" w:hAnsi="方正仿宋_GBK" w:eastAsia="方正仿宋_GBK" w:cs="方正仿宋_GBK"/>
          <w:color w:val="auto"/>
          <w:sz w:val="32"/>
          <w:szCs w:val="32"/>
          <w:shd w:val="clear" w:color="auto" w:fill="FFFFFF"/>
        </w:rPr>
        <w:t>1.收入情况。</w:t>
      </w:r>
      <w:r>
        <w:rPr>
          <w:rFonts w:hint="eastAsia" w:ascii="仿宋" w:hAnsi="仿宋" w:eastAsia="仿宋" w:cs="仿宋"/>
          <w:color w:val="auto"/>
          <w:sz w:val="32"/>
          <w:szCs w:val="32"/>
          <w:lang w:val="en-US" w:eastAsia="zh-CN" w:bidi="ar-SA"/>
        </w:rPr>
        <w:t>2023年度一般公共预算财政拨款收入149.90万元，较上年决算数增加1.95万元，增长1.32%。主要原因是人员工资增长。较年初预算数增加3.25万元，增长2.22%。主要原因是人员工资增长及社保基数增长。此外，年初财政拨款结转和结余0.00万元。</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2.支出情况。</w:t>
      </w:r>
      <w:r>
        <w:rPr>
          <w:rFonts w:hint="eastAsia" w:ascii="仿宋" w:hAnsi="仿宋" w:eastAsia="仿宋" w:cs="仿宋"/>
          <w:color w:val="auto"/>
          <w:sz w:val="32"/>
          <w:szCs w:val="32"/>
          <w:lang w:val="en-US" w:eastAsia="zh-CN" w:bidi="ar-SA"/>
        </w:rPr>
        <w:t>2023年度一般公共预算财政拨款支出149.90万元，较上年决算数增加1.95万元，增长1.32%。主要原因是人员工资增长。较年初预算数增加3.25万元，增长2.22%。主要原因是人员工资增长及社保基数增长。</w:t>
      </w:r>
    </w:p>
    <w:p>
      <w:pPr>
        <w:pStyle w:val="7"/>
        <w:snapToGrid w:val="0"/>
        <w:spacing w:before="0" w:beforeAutospacing="0" w:after="0" w:afterAutospacing="0" w:line="600" w:lineRule="exact"/>
        <w:ind w:firstLine="642" w:firstLineChars="200"/>
        <w:jc w:val="both"/>
        <w:rPr>
          <w:rFonts w:hint="eastAsia" w:ascii="仿宋" w:hAnsi="仿宋" w:eastAsia="仿宋" w:cs="仿宋"/>
          <w:color w:val="auto"/>
          <w:sz w:val="32"/>
          <w:szCs w:val="32"/>
          <w:lang w:val="en-US" w:eastAsia="zh-CN" w:bidi="ar-SA"/>
        </w:rPr>
      </w:pPr>
      <w:r>
        <w:rPr>
          <w:rStyle w:val="11"/>
          <w:rFonts w:ascii="方正仿宋_GBK" w:hAnsi="方正仿宋_GBK" w:eastAsia="方正仿宋_GBK" w:cs="方正仿宋_GBK"/>
          <w:color w:val="auto"/>
          <w:sz w:val="32"/>
          <w:szCs w:val="32"/>
          <w:shd w:val="clear" w:color="auto" w:fill="FFFFFF"/>
        </w:rPr>
        <w:t>3.结转结余情况。</w:t>
      </w:r>
      <w:r>
        <w:rPr>
          <w:rFonts w:hint="eastAsia" w:ascii="仿宋" w:hAnsi="仿宋" w:eastAsia="仿宋" w:cs="仿宋"/>
          <w:color w:val="auto"/>
          <w:sz w:val="32"/>
          <w:szCs w:val="32"/>
          <w:lang w:val="en-US" w:eastAsia="zh-CN" w:bidi="ar-SA"/>
        </w:rPr>
        <w:t>2023年度年末一般公共预算财政拨款结转和结余0.00万元，较上年决算数无增减，主要原因是按预算法要求无结转结余。</w:t>
      </w:r>
    </w:p>
    <w:p>
      <w:pPr>
        <w:pStyle w:val="7"/>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auto"/>
          <w:sz w:val="32"/>
          <w:szCs w:val="32"/>
          <w:highlight w:val="cyan"/>
          <w:shd w:val="clear" w:color="auto" w:fill="FFFFFF"/>
        </w:rPr>
      </w:pPr>
      <w:r>
        <w:rPr>
          <w:rStyle w:val="11"/>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（1）社会保障与就业支出136.66万元，占91.17%，较年初预算数增加3.25万元，增长2.44%，主要原因是人员工资增长及社保基数增长。</w:t>
      </w:r>
    </w:p>
    <w:p>
      <w:pPr>
        <w:pStyle w:val="7"/>
        <w:snapToGrid w:val="0"/>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（2）卫生健康支出6.25万元，占4.17%，较年初预算数无增减，主要原因是严格执行年初预算。</w:t>
      </w:r>
    </w:p>
    <w:p>
      <w:pPr>
        <w:pStyle w:val="7"/>
        <w:snapToGrid w:val="0"/>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（3）住房保障支出6.99万元，占4.66%，较年初预算数无增减，主要原因是严格执行年初预算。</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bidi w:val="0"/>
        <w:ind w:firstLine="640" w:firstLineChars="200"/>
        <w:rPr>
          <w:rFonts w:hint="eastAsia" w:ascii="仿宋" w:hAnsi="仿宋" w:eastAsia="仿宋" w:cs="仿宋"/>
          <w:color w:val="auto"/>
          <w:sz w:val="32"/>
          <w:szCs w:val="32"/>
          <w:lang w:val="en-US" w:eastAsia="zh-CN" w:bidi="ar-SA"/>
        </w:rPr>
      </w:pPr>
      <w:r>
        <w:rPr>
          <w:rFonts w:ascii="方正仿宋_GBK" w:hAnsi="方正仿宋_GBK" w:eastAsia="方正仿宋_GBK" w:cs="方正仿宋_GBK"/>
          <w:color w:val="auto"/>
          <w:sz w:val="32"/>
          <w:szCs w:val="32"/>
          <w:shd w:val="clear" w:color="auto" w:fill="FFFFFF"/>
        </w:rPr>
        <w:t> </w:t>
      </w:r>
      <w:r>
        <w:rPr>
          <w:rFonts w:hint="eastAsia" w:ascii="仿宋" w:hAnsi="仿宋" w:eastAsia="仿宋" w:cs="仿宋"/>
          <w:color w:val="auto"/>
          <w:sz w:val="32"/>
          <w:szCs w:val="32"/>
          <w:lang w:val="en-US" w:eastAsia="zh-CN" w:bidi="ar-SA"/>
        </w:rPr>
        <w:t>2023年度一般公共财政拨款基本支出149.90万元。其中：人员经费133.71万元，较上年决算数增加6.65万元，增长5.23%，主要原因是人员工资增长及社保基数增长。人员经费用途主要包括基本工资、津贴补贴、绩效工资、奖金、其他社会保障缴费、机关事业单位基本养老保险缴费、职业年金缴费、职工基本医疗保险缴费、医疗费以及其他工资福利支出。公用经费16.19万元，较上年决算数减少4.70万元，下降22.50%，主要原因是过紧日子，厉行节约，严格控制公用经费。公用经费用途主要包括商品服务支出中办公费、印刷费、水费、电费、邮电费、租赁费、物业管理费、差旅费、会议费、培训费、公务接待费、维修（护）费、工会经费、公务用车运行维护费、劳务费、委托业务费、其他交通费、其他商品服务支出等。</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本单位2023年度无政府性基金预算财政拨款收支。</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本单位2023年度无国有资本经营预算财政拨款支出。</w:t>
      </w:r>
    </w:p>
    <w:p>
      <w:pPr>
        <w:pStyle w:val="7"/>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三、“三公”经费情况说明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pPr>
        <w:pStyle w:val="7"/>
        <w:snapToGrid w:val="0"/>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2023年度三公”经费支出共计0万元，较年初预算数保持一致，主要原因是本单位未安排“三公”经费支出。较上年支出数增加0万元，增长0.0%，主要原因是本单位未安排“三公”经费支出。</w:t>
      </w:r>
    </w:p>
    <w:p>
      <w:pPr>
        <w:pStyle w:val="12"/>
        <w:autoSpaceDE w:val="0"/>
        <w:ind w:left="0" w:leftChars="0" w:firstLine="642" w:firstLineChars="200"/>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2023年度本单位因公出国（境）费用0.00万元，主要是本单位本年度未安排因公出国（境）。费用支出较年初预算数无增减，主要原因是本单位本年度未安排因公出国（境）。较上年支出数无增减，主要原因是本单位本年度未安排因公出国（境）。</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ascii="方正仿宋_GBK" w:hAnsi="方正仿宋_GBK" w:eastAsia="方正仿宋_GBK" w:cs="方正仿宋_GBK"/>
          <w:color w:val="auto"/>
          <w:sz w:val="32"/>
          <w:szCs w:val="32"/>
          <w:shd w:val="clear" w:color="auto" w:fill="FFFFFF"/>
        </w:rPr>
        <w:t> </w:t>
      </w:r>
      <w:r>
        <w:rPr>
          <w:rFonts w:hint="eastAsia" w:ascii="仿宋" w:hAnsi="仿宋" w:eastAsia="仿宋" w:cs="仿宋"/>
          <w:color w:val="auto"/>
          <w:sz w:val="32"/>
          <w:szCs w:val="32"/>
          <w:lang w:val="en-US" w:eastAsia="zh-CN" w:bidi="ar-SA"/>
        </w:rPr>
        <w:t>公务车购置费0.00万元。费用支出较年初预算数无增减，主要原因是本单位本年度未安排公务车购置。较上年支出数无增减，主要原因是本单位本年度未安排公务车购置。</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 公务车运行维护费0.00万元。费用支出较年初预算数无增减，主要原因是本单位无公务车。较上年支出数无增减，主要原因是本单位无公务车。</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 公务接待费0.00万元。费用支出较年初预算数无增减，主要原因是本单位本年度未安排公务接待。较上年支出数无增减，主要原因是本单位本年度未安排公务接待。</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  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黑体" w:hAnsi="黑体" w:eastAsia="黑体" w:cs="黑体"/>
          <w:color w:val="auto"/>
          <w:sz w:val="32"/>
          <w:szCs w:val="32"/>
          <w:shd w:val="clear" w:color="auto" w:fill="FFFFFF"/>
        </w:rPr>
        <w:t>四、其他需要说明的事项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ascii="方正仿宋_GBK" w:hAnsi="方正仿宋_GBK" w:eastAsia="方正仿宋_GBK" w:cs="方正仿宋_GBK"/>
          <w:color w:val="auto"/>
          <w:sz w:val="32"/>
          <w:szCs w:val="32"/>
          <w:shd w:val="clear" w:color="auto" w:fill="FFFFFF"/>
        </w:rPr>
        <w:t xml:space="preserve">  </w:t>
      </w:r>
      <w:r>
        <w:rPr>
          <w:rFonts w:hint="eastAsia" w:ascii="仿宋" w:hAnsi="仿宋" w:eastAsia="仿宋" w:cs="仿宋"/>
          <w:color w:val="auto"/>
          <w:sz w:val="32"/>
          <w:szCs w:val="32"/>
          <w:lang w:val="en-US" w:eastAsia="zh-CN" w:bidi="ar-SA"/>
        </w:rPr>
        <w:t>本年度会议费支出0.00万元，较上年决算数减少1.00万元，下降100.00%，主要原因是主要原因是本单位本年度未安排会议费。本年度培训费支出0.00万元，较上年决算数减少0.50万元，下降100.00%，主要原因是本单位本年度未安排培训费。</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hint="default" w:ascii="仿宋" w:hAnsi="仿宋" w:eastAsia="仿宋" w:cs="仿宋"/>
          <w:color w:val="auto"/>
          <w:sz w:val="32"/>
          <w:szCs w:val="32"/>
          <w:lang w:val="en-US" w:eastAsia="zh-CN" w:bidi="ar-SA"/>
        </w:rPr>
        <w:t>按照部门决算列报口径，我单位不在机关运行经费统计范围之内。</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ascii="方正仿宋_GBK" w:hAnsi="方正仿宋_GBK" w:eastAsia="方正仿宋_GBK" w:cs="方正仿宋_GBK"/>
          <w:color w:val="auto"/>
          <w:sz w:val="32"/>
          <w:szCs w:val="32"/>
          <w:shd w:val="clear" w:color="auto" w:fill="FFFFFF"/>
        </w:rPr>
        <w:t> </w:t>
      </w:r>
      <w:r>
        <w:rPr>
          <w:rFonts w:hint="default" w:ascii="仿宋" w:hAnsi="仿宋" w:eastAsia="仿宋" w:cs="仿宋"/>
          <w:color w:val="auto"/>
          <w:sz w:val="32"/>
          <w:szCs w:val="32"/>
          <w:lang w:val="en-US" w:eastAsia="zh-CN" w:bidi="ar-SA"/>
        </w:rPr>
        <w:t xml:space="preserve"> 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仿宋" w:hAnsi="仿宋" w:eastAsia="仿宋" w:cs="仿宋"/>
          <w:color w:val="auto"/>
          <w:sz w:val="32"/>
          <w:szCs w:val="32"/>
          <w:lang w:val="en-US" w:eastAsia="zh-CN" w:bidi="ar-SA"/>
        </w:rPr>
      </w:pPr>
      <w:r>
        <w:rPr>
          <w:rFonts w:hint="default" w:ascii="仿宋" w:hAnsi="仿宋" w:eastAsia="仿宋" w:cs="仿宋"/>
          <w:color w:val="auto"/>
          <w:sz w:val="32"/>
          <w:szCs w:val="32"/>
          <w:lang w:val="en-US" w:eastAsia="zh-CN" w:bidi="ar-SA"/>
        </w:rPr>
        <w:t>  2023年度我单位未发生政府采购事项，无相关经费支出。</w:t>
      </w:r>
    </w:p>
    <w:p>
      <w:pPr>
        <w:pStyle w:val="7"/>
        <w:numPr>
          <w:ilvl w:val="0"/>
          <w:numId w:val="1"/>
        </w:numPr>
        <w:shd w:val="clear" w:color="auto" w:fill="FFFFFF"/>
        <w:rPr>
          <w:rStyle w:val="11"/>
          <w:rFonts w:hint="default" w:ascii="黑体" w:hAnsi="黑体" w:eastAsia="黑体" w:cs="黑体"/>
          <w:color w:val="auto"/>
          <w:sz w:val="32"/>
          <w:szCs w:val="32"/>
          <w:shd w:val="clear" w:color="auto" w:fill="FFFFFF"/>
        </w:rPr>
      </w:pPr>
      <w:r>
        <w:rPr>
          <w:rStyle w:val="11"/>
          <w:rFonts w:ascii="黑体" w:hAnsi="黑体" w:eastAsia="黑体" w:cs="黑体"/>
          <w:color w:val="auto"/>
          <w:sz w:val="32"/>
          <w:szCs w:val="32"/>
          <w:shd w:val="clear" w:color="auto" w:fill="FFFFFF"/>
        </w:rPr>
        <w:t>预算绩效管理情况说明</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13"/>
        <w:spacing w:before="0" w:beforeAutospacing="0" w:after="0" w:afterAutospacing="0"/>
        <w:ind w:firstLine="560"/>
        <w:rPr>
          <w:rFonts w:ascii="方正仿宋_GBK" w:hAnsi="方正仿宋_GBK" w:eastAsia="方正仿宋_GBK" w:cs="方正仿宋_GBK"/>
          <w:color w:val="auto"/>
          <w:sz w:val="28"/>
          <w:szCs w:val="28"/>
          <w:shd w:val="clear" w:color="auto" w:fill="FFFFFF"/>
        </w:rPr>
      </w:pPr>
      <w:r>
        <w:rPr>
          <w:rFonts w:hint="eastAsia" w:ascii="方正仿宋_GBK" w:hAnsi="方正仿宋_GBK" w:eastAsia="方正仿宋_GBK" w:cs="方正仿宋_GBK"/>
          <w:color w:val="auto"/>
          <w:sz w:val="28"/>
          <w:szCs w:val="28"/>
          <w:shd w:val="clear" w:color="auto" w:fill="FFFFFF"/>
        </w:rPr>
        <w:t>1.项目支出绩效自评汇总表</w:t>
      </w:r>
    </w:p>
    <w:tbl>
      <w:tblPr>
        <w:tblStyle w:val="8"/>
        <w:tblW w:w="7953" w:type="dxa"/>
        <w:tblInd w:w="93" w:type="dxa"/>
        <w:tblLayout w:type="autofit"/>
        <w:tblCellMar>
          <w:top w:w="0" w:type="dxa"/>
          <w:left w:w="108" w:type="dxa"/>
          <w:bottom w:w="0" w:type="dxa"/>
          <w:right w:w="108" w:type="dxa"/>
        </w:tblCellMar>
      </w:tblPr>
      <w:tblGrid>
        <w:gridCol w:w="580"/>
        <w:gridCol w:w="5672"/>
        <w:gridCol w:w="1701"/>
      </w:tblGrid>
      <w:tr>
        <w:tblPrEx>
          <w:tblCellMar>
            <w:top w:w="0" w:type="dxa"/>
            <w:left w:w="108" w:type="dxa"/>
            <w:bottom w:w="0" w:type="dxa"/>
            <w:right w:w="108" w:type="dxa"/>
          </w:tblCellMar>
        </w:tblPrEx>
        <w:trPr>
          <w:trHeight w:val="345" w:hRule="atLeast"/>
        </w:trPr>
        <w:tc>
          <w:tcPr>
            <w:tcW w:w="7953" w:type="dxa"/>
            <w:gridSpan w:val="3"/>
            <w:tcBorders>
              <w:top w:val="nil"/>
              <w:left w:val="nil"/>
              <w:bottom w:val="single" w:color="auto" w:sz="4" w:space="0"/>
              <w:right w:val="nil"/>
            </w:tcBorders>
            <w:shd w:val="clear" w:color="auto" w:fill="auto"/>
            <w:vAlign w:val="center"/>
          </w:tcPr>
          <w:p>
            <w:pPr>
              <w:jc w:val="center"/>
              <w:rPr>
                <w:rFonts w:hint="default" w:ascii="方正仿宋_GBK" w:eastAsia="方正仿宋_GBK" w:cs="宋体"/>
                <w:b/>
                <w:color w:val="auto"/>
                <w:sz w:val="15"/>
                <w:szCs w:val="15"/>
              </w:rPr>
            </w:pP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auto"/>
                <w:sz w:val="15"/>
                <w:szCs w:val="15"/>
              </w:rPr>
            </w:pPr>
            <w:r>
              <w:rPr>
                <w:rFonts w:ascii="方正仿宋_GBK" w:eastAsia="方正仿宋_GBK" w:cs="宋体"/>
                <w:b/>
                <w:color w:val="auto"/>
                <w:sz w:val="15"/>
                <w:szCs w:val="15"/>
              </w:rPr>
              <w:t>序号</w:t>
            </w:r>
          </w:p>
        </w:tc>
        <w:tc>
          <w:tcPr>
            <w:tcW w:w="56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auto"/>
                <w:sz w:val="15"/>
                <w:szCs w:val="15"/>
              </w:rPr>
            </w:pPr>
            <w:r>
              <w:rPr>
                <w:rFonts w:ascii="方正仿宋_GBK" w:eastAsia="方正仿宋_GBK" w:cs="宋体"/>
                <w:b/>
                <w:color w:val="auto"/>
                <w:sz w:val="15"/>
                <w:szCs w:val="15"/>
              </w:rPr>
              <w:t>项目名称</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eastAsia="方正仿宋_GBK" w:cs="宋体"/>
                <w:b/>
                <w:color w:val="auto"/>
                <w:sz w:val="15"/>
                <w:szCs w:val="15"/>
              </w:rPr>
            </w:pPr>
            <w:r>
              <w:rPr>
                <w:rFonts w:ascii="方正仿宋_GBK" w:eastAsia="方正仿宋_GBK" w:cs="宋体"/>
                <w:b/>
                <w:color w:val="auto"/>
                <w:sz w:val="15"/>
                <w:szCs w:val="15"/>
              </w:rPr>
              <w:t>自评得分</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1</w:t>
            </w:r>
          </w:p>
        </w:tc>
        <w:tc>
          <w:tcPr>
            <w:tcW w:w="56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Xx</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2</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w:t>
            </w:r>
          </w:p>
        </w:tc>
      </w:tr>
      <w:tr>
        <w:tblPrEx>
          <w:tblCellMar>
            <w:top w:w="0" w:type="dxa"/>
            <w:left w:w="108" w:type="dxa"/>
            <w:bottom w:w="0" w:type="dxa"/>
            <w:right w:w="108" w:type="dxa"/>
          </w:tblCellMar>
        </w:tblPrEx>
        <w:trPr>
          <w:trHeight w:val="555" w:hRule="atLeast"/>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3</w:t>
            </w:r>
          </w:p>
        </w:tc>
        <w:tc>
          <w:tcPr>
            <w:tcW w:w="56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w:t>
            </w:r>
          </w:p>
        </w:tc>
      </w:tr>
      <w:tr>
        <w:tblPrEx>
          <w:tblCellMar>
            <w:top w:w="0" w:type="dxa"/>
            <w:left w:w="108" w:type="dxa"/>
            <w:bottom w:w="0" w:type="dxa"/>
            <w:right w:w="108" w:type="dxa"/>
          </w:tblCellMar>
        </w:tblPrEx>
        <w:trPr>
          <w:trHeight w:val="555" w:hRule="atLeast"/>
        </w:trPr>
        <w:tc>
          <w:tcPr>
            <w:tcW w:w="580"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4</w:t>
            </w:r>
          </w:p>
        </w:tc>
        <w:tc>
          <w:tcPr>
            <w:tcW w:w="5672" w:type="dxa"/>
            <w:tcBorders>
              <w:top w:val="nil"/>
              <w:left w:val="nil"/>
              <w:bottom w:val="single" w:color="auto" w:sz="4" w:space="0"/>
              <w:right w:val="single" w:color="auto" w:sz="4" w:space="0"/>
            </w:tcBorders>
            <w:shd w:val="clear" w:color="auto" w:fill="auto"/>
            <w:vAlign w:val="center"/>
          </w:tcPr>
          <w:p>
            <w:pPr>
              <w:jc w:val="center"/>
              <w:rPr>
                <w:rFonts w:hint="default" w:ascii="方正仿宋_GBK" w:eastAsia="方正仿宋_GBK" w:cs="宋体"/>
                <w:b/>
                <w:color w:val="auto"/>
                <w:sz w:val="15"/>
                <w:szCs w:val="15"/>
              </w:rPr>
            </w:pPr>
            <w:r>
              <w:rPr>
                <w:rFonts w:ascii="方正仿宋_GBK" w:eastAsia="方正仿宋_GBK" w:cs="宋体"/>
                <w:b/>
                <w:color w:val="auto"/>
                <w:sz w:val="15"/>
                <w:szCs w:val="15"/>
              </w:rPr>
              <w:t>...</w:t>
            </w:r>
          </w:p>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w:t>
            </w:r>
          </w:p>
        </w:tc>
        <w:tc>
          <w:tcPr>
            <w:tcW w:w="1701" w:type="dxa"/>
            <w:tcBorders>
              <w:top w:val="nil"/>
              <w:left w:val="nil"/>
              <w:bottom w:val="single" w:color="auto" w:sz="4" w:space="0"/>
              <w:right w:val="single" w:color="auto" w:sz="4" w:space="0"/>
            </w:tcBorders>
            <w:shd w:val="clear" w:color="auto" w:fill="auto"/>
            <w:noWrap/>
            <w:vAlign w:val="center"/>
          </w:tcPr>
          <w:p>
            <w:pPr>
              <w:jc w:val="center"/>
              <w:rPr>
                <w:rFonts w:hint="default" w:ascii="方正仿宋_GBK" w:hAnsi="Times New Roman" w:eastAsia="方正仿宋_GBK"/>
                <w:b/>
                <w:color w:val="auto"/>
                <w:sz w:val="15"/>
                <w:szCs w:val="15"/>
              </w:rPr>
            </w:pPr>
            <w:r>
              <w:rPr>
                <w:rFonts w:ascii="方正仿宋_GBK" w:hAnsi="Times New Roman" w:eastAsia="方正仿宋_GBK"/>
                <w:b/>
                <w:color w:val="auto"/>
                <w:sz w:val="15"/>
                <w:szCs w:val="15"/>
              </w:rPr>
              <w:t>　</w:t>
            </w:r>
          </w:p>
        </w:tc>
      </w:tr>
    </w:tbl>
    <w:p>
      <w:pPr>
        <w:pStyle w:val="13"/>
        <w:spacing w:before="0" w:beforeAutospacing="0" w:after="0" w:afterAutospacing="0"/>
        <w:ind w:firstLine="560"/>
        <w:rPr>
          <w:rFonts w:hint="eastAsia" w:ascii="方正仿宋_GBK" w:hAnsi="方正仿宋_GBK" w:eastAsia="方正仿宋_GBK" w:cs="方正仿宋_GBK"/>
          <w:color w:val="auto"/>
          <w:sz w:val="28"/>
          <w:szCs w:val="28"/>
          <w:shd w:val="clear" w:color="auto" w:fill="FFFFFF"/>
          <w:lang w:eastAsia="zh-CN"/>
        </w:rPr>
      </w:pPr>
      <w:r>
        <w:rPr>
          <w:rFonts w:hint="eastAsia" w:ascii="仿宋" w:hAnsi="仿宋" w:eastAsia="仿宋" w:cs="仿宋"/>
          <w:color w:val="auto"/>
          <w:sz w:val="32"/>
          <w:szCs w:val="32"/>
          <w:lang w:val="en-US" w:eastAsia="zh-CN" w:bidi="ar-SA"/>
        </w:rPr>
        <w:t>本单位本年度无项目支出。</w:t>
      </w:r>
    </w:p>
    <w:p>
      <w:pPr>
        <w:pStyle w:val="13"/>
        <w:spacing w:before="0" w:beforeAutospacing="0" w:after="0" w:afterAutospacing="0"/>
        <w:ind w:firstLine="560"/>
        <w:rPr>
          <w:rStyle w:val="14"/>
          <w:rFonts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28"/>
          <w:szCs w:val="28"/>
          <w:shd w:val="clear" w:color="auto" w:fill="FFFFFF"/>
        </w:rPr>
        <w:t>2.项目支出绩效自评表</w:t>
      </w:r>
    </w:p>
    <w:tbl>
      <w:tblPr>
        <w:tblStyle w:val="8"/>
        <w:tblW w:w="7954" w:type="dxa"/>
        <w:tblInd w:w="92" w:type="dxa"/>
        <w:tblLayout w:type="autofit"/>
        <w:tblCellMar>
          <w:top w:w="0" w:type="dxa"/>
          <w:left w:w="108" w:type="dxa"/>
          <w:bottom w:w="0" w:type="dxa"/>
          <w:right w:w="108" w:type="dxa"/>
        </w:tblCellMar>
      </w:tblPr>
      <w:tblGrid>
        <w:gridCol w:w="583"/>
        <w:gridCol w:w="453"/>
        <w:gridCol w:w="256"/>
        <w:gridCol w:w="709"/>
        <w:gridCol w:w="71"/>
        <w:gridCol w:w="518"/>
        <w:gridCol w:w="687"/>
        <w:gridCol w:w="651"/>
        <w:gridCol w:w="199"/>
        <w:gridCol w:w="319"/>
        <w:gridCol w:w="673"/>
        <w:gridCol w:w="363"/>
        <w:gridCol w:w="346"/>
        <w:gridCol w:w="709"/>
        <w:gridCol w:w="709"/>
        <w:gridCol w:w="708"/>
      </w:tblGrid>
      <w:tr>
        <w:tblPrEx>
          <w:tblCellMar>
            <w:top w:w="0" w:type="dxa"/>
            <w:left w:w="108" w:type="dxa"/>
            <w:bottom w:w="0" w:type="dxa"/>
            <w:right w:w="108" w:type="dxa"/>
          </w:tblCellMar>
        </w:tblPrEx>
        <w:trPr>
          <w:trHeight w:val="540" w:hRule="atLeast"/>
        </w:trPr>
        <w:tc>
          <w:tcPr>
            <w:tcW w:w="10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项目名称：</w:t>
            </w:r>
          </w:p>
        </w:tc>
        <w:tc>
          <w:tcPr>
            <w:tcW w:w="1554"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color w:val="auto"/>
                <w:sz w:val="18"/>
                <w:szCs w:val="18"/>
              </w:rPr>
            </w:pPr>
            <w:r>
              <w:rPr>
                <w:rFonts w:cs="宋体"/>
                <w:color w:val="auto"/>
                <w:sz w:val="18"/>
                <w:szCs w:val="18"/>
              </w:rPr>
              <w:t>　</w:t>
            </w:r>
          </w:p>
        </w:tc>
        <w:tc>
          <w:tcPr>
            <w:tcW w:w="1338"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执行率得分：</w:t>
            </w:r>
          </w:p>
        </w:tc>
        <w:tc>
          <w:tcPr>
            <w:tcW w:w="518" w:type="dxa"/>
            <w:gridSpan w:val="2"/>
            <w:tcBorders>
              <w:top w:val="single" w:color="auto" w:sz="4" w:space="0"/>
              <w:left w:val="nil"/>
              <w:bottom w:val="single" w:color="auto" w:sz="4" w:space="0"/>
              <w:right w:val="single" w:color="auto" w:sz="4" w:space="0"/>
            </w:tcBorders>
            <w:shd w:val="clear" w:color="auto" w:fill="auto"/>
            <w:vAlign w:val="center"/>
          </w:tcPr>
          <w:p>
            <w:pPr>
              <w:jc w:val="right"/>
              <w:rPr>
                <w:rFonts w:hint="default" w:cs="宋体"/>
                <w:b/>
                <w:bCs/>
                <w:color w:val="auto"/>
                <w:sz w:val="18"/>
                <w:szCs w:val="18"/>
              </w:rPr>
            </w:pPr>
            <w:r>
              <w:rPr>
                <w:rFonts w:cs="宋体"/>
                <w:b/>
                <w:bCs/>
                <w:color w:val="auto"/>
                <w:sz w:val="18"/>
                <w:szCs w:val="18"/>
              </w:rPr>
              <w:t>　</w:t>
            </w:r>
          </w:p>
        </w:tc>
        <w:tc>
          <w:tcPr>
            <w:tcW w:w="103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自评总分：</w:t>
            </w:r>
          </w:p>
        </w:tc>
        <w:tc>
          <w:tcPr>
            <w:tcW w:w="2472" w:type="dxa"/>
            <w:gridSpan w:val="4"/>
            <w:tcBorders>
              <w:top w:val="single" w:color="auto" w:sz="4" w:space="0"/>
              <w:left w:val="nil"/>
              <w:bottom w:val="single" w:color="auto" w:sz="4" w:space="0"/>
              <w:right w:val="single" w:color="auto" w:sz="4" w:space="0"/>
            </w:tcBorders>
            <w:shd w:val="clear" w:color="auto" w:fill="auto"/>
            <w:vAlign w:val="center"/>
          </w:tcPr>
          <w:p>
            <w:pPr>
              <w:rPr>
                <w:rFonts w:hint="default" w:cs="宋体"/>
                <w:b/>
                <w:bCs/>
                <w:color w:val="auto"/>
                <w:sz w:val="18"/>
                <w:szCs w:val="18"/>
              </w:rPr>
            </w:pPr>
            <w:r>
              <w:rPr>
                <w:rFonts w:cs="宋体"/>
                <w:b/>
                <w:bCs/>
                <w:color w:val="auto"/>
                <w:sz w:val="18"/>
                <w:szCs w:val="18"/>
              </w:rPr>
              <w:t>　</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auto"/>
                <w:sz w:val="18"/>
                <w:szCs w:val="18"/>
              </w:rPr>
            </w:pPr>
            <w:r>
              <w:rPr>
                <w:rFonts w:ascii="微软雅黑" w:hAnsi="微软雅黑" w:eastAsia="微软雅黑" w:cs="宋体"/>
                <w:b/>
                <w:bCs/>
                <w:color w:val="auto"/>
                <w:sz w:val="18"/>
                <w:szCs w:val="18"/>
              </w:rPr>
              <w:t>绩效目标</w:t>
            </w:r>
          </w:p>
        </w:tc>
      </w:tr>
      <w:tr>
        <w:tblPrEx>
          <w:tblCellMar>
            <w:top w:w="0" w:type="dxa"/>
            <w:left w:w="108" w:type="dxa"/>
            <w:bottom w:w="0" w:type="dxa"/>
            <w:right w:w="108" w:type="dxa"/>
          </w:tblCellMar>
        </w:tblPrEx>
        <w:trPr>
          <w:trHeight w:val="43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年初绩效目标</w:t>
            </w:r>
          </w:p>
        </w:tc>
        <w:tc>
          <w:tcPr>
            <w:tcW w:w="2374" w:type="dxa"/>
            <w:gridSpan w:val="5"/>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全年（调整）绩效目标</w:t>
            </w:r>
          </w:p>
        </w:tc>
        <w:tc>
          <w:tcPr>
            <w:tcW w:w="3508"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全年目标实际完成情况</w:t>
            </w:r>
          </w:p>
        </w:tc>
      </w:tr>
      <w:tr>
        <w:tblPrEx>
          <w:tblCellMar>
            <w:top w:w="0" w:type="dxa"/>
            <w:left w:w="108" w:type="dxa"/>
            <w:bottom w:w="0" w:type="dxa"/>
            <w:right w:w="108" w:type="dxa"/>
          </w:tblCellMar>
        </w:tblPrEx>
        <w:trPr>
          <w:trHeight w:val="975" w:hRule="atLeast"/>
        </w:trPr>
        <w:tc>
          <w:tcPr>
            <w:tcW w:w="2072" w:type="dxa"/>
            <w:gridSpan w:val="5"/>
            <w:tcBorders>
              <w:top w:val="single" w:color="auto" w:sz="4" w:space="0"/>
              <w:left w:val="single" w:color="auto" w:sz="4" w:space="0"/>
              <w:bottom w:val="single" w:color="auto" w:sz="4" w:space="0"/>
              <w:right w:val="single" w:color="auto" w:sz="4" w:space="0"/>
            </w:tcBorders>
            <w:shd w:val="clear" w:color="auto" w:fill="auto"/>
          </w:tcPr>
          <w:p>
            <w:pPr>
              <w:rPr>
                <w:rFonts w:hint="default" w:cs="宋体"/>
                <w:color w:val="auto"/>
                <w:sz w:val="18"/>
                <w:szCs w:val="18"/>
              </w:rPr>
            </w:pPr>
            <w:r>
              <w:rPr>
                <w:rFonts w:cs="宋体"/>
                <w:color w:val="auto"/>
                <w:sz w:val="18"/>
                <w:szCs w:val="18"/>
              </w:rPr>
              <w:t>　</w:t>
            </w:r>
          </w:p>
        </w:tc>
        <w:tc>
          <w:tcPr>
            <w:tcW w:w="2374" w:type="dxa"/>
            <w:gridSpan w:val="5"/>
            <w:tcBorders>
              <w:top w:val="single" w:color="auto" w:sz="4" w:space="0"/>
              <w:left w:val="nil"/>
              <w:bottom w:val="single" w:color="auto" w:sz="4" w:space="0"/>
              <w:right w:val="single" w:color="auto" w:sz="4" w:space="0"/>
            </w:tcBorders>
            <w:shd w:val="clear" w:color="auto" w:fill="auto"/>
          </w:tcPr>
          <w:p>
            <w:pPr>
              <w:rPr>
                <w:rFonts w:hint="default" w:cs="宋体"/>
                <w:color w:val="auto"/>
                <w:sz w:val="18"/>
                <w:szCs w:val="18"/>
              </w:rPr>
            </w:pPr>
            <w:r>
              <w:rPr>
                <w:rFonts w:cs="宋体"/>
                <w:color w:val="auto"/>
                <w:sz w:val="18"/>
                <w:szCs w:val="18"/>
              </w:rPr>
              <w:t>　</w:t>
            </w:r>
          </w:p>
        </w:tc>
        <w:tc>
          <w:tcPr>
            <w:tcW w:w="3508" w:type="dxa"/>
            <w:gridSpan w:val="6"/>
            <w:tcBorders>
              <w:top w:val="single" w:color="auto" w:sz="4" w:space="0"/>
              <w:left w:val="nil"/>
              <w:bottom w:val="single" w:color="auto" w:sz="4" w:space="0"/>
              <w:right w:val="single" w:color="auto" w:sz="4" w:space="0"/>
            </w:tcBorders>
            <w:shd w:val="clear" w:color="auto" w:fill="auto"/>
          </w:tcPr>
          <w:p>
            <w:pPr>
              <w:rPr>
                <w:rFonts w:hint="default" w:cs="宋体"/>
                <w:color w:val="auto"/>
                <w:sz w:val="18"/>
                <w:szCs w:val="18"/>
              </w:rPr>
            </w:pPr>
            <w:r>
              <w:rPr>
                <w:rFonts w:cs="宋体"/>
                <w:color w:val="auto"/>
                <w:sz w:val="18"/>
                <w:szCs w:val="18"/>
              </w:rPr>
              <w:t>　</w:t>
            </w:r>
          </w:p>
        </w:tc>
      </w:tr>
      <w:tr>
        <w:tblPrEx>
          <w:tblCellMar>
            <w:top w:w="0" w:type="dxa"/>
            <w:left w:w="108" w:type="dxa"/>
            <w:bottom w:w="0" w:type="dxa"/>
            <w:right w:w="108" w:type="dxa"/>
          </w:tblCellMar>
        </w:tblPrEx>
        <w:trPr>
          <w:trHeight w:val="435" w:hRule="atLeast"/>
        </w:trPr>
        <w:tc>
          <w:tcPr>
            <w:tcW w:w="7954"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微软雅黑" w:hAnsi="微软雅黑" w:eastAsia="微软雅黑" w:cs="宋体"/>
                <w:b/>
                <w:bCs/>
                <w:color w:val="auto"/>
                <w:sz w:val="18"/>
                <w:szCs w:val="18"/>
              </w:rPr>
            </w:pPr>
            <w:r>
              <w:rPr>
                <w:rFonts w:ascii="微软雅黑" w:hAnsi="微软雅黑" w:eastAsia="微软雅黑" w:cs="宋体"/>
                <w:b/>
                <w:bCs/>
                <w:color w:val="auto"/>
                <w:sz w:val="18"/>
                <w:szCs w:val="18"/>
              </w:rPr>
              <w:t>绩效指标</w:t>
            </w:r>
          </w:p>
        </w:tc>
      </w:tr>
      <w:tr>
        <w:tblPrEx>
          <w:tblCellMar>
            <w:top w:w="0" w:type="dxa"/>
            <w:left w:w="108" w:type="dxa"/>
            <w:bottom w:w="0" w:type="dxa"/>
            <w:right w:w="108" w:type="dxa"/>
          </w:tblCellMar>
        </w:tblPrEx>
        <w:trPr>
          <w:trHeight w:val="108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指标名称</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计量单位</w:t>
            </w:r>
          </w:p>
        </w:tc>
        <w:tc>
          <w:tcPr>
            <w:tcW w:w="70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指标性质</w:t>
            </w:r>
          </w:p>
        </w:tc>
        <w:tc>
          <w:tcPr>
            <w:tcW w:w="589"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指标值</w:t>
            </w:r>
          </w:p>
        </w:tc>
        <w:tc>
          <w:tcPr>
            <w:tcW w:w="687"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全年完成值</w:t>
            </w:r>
          </w:p>
        </w:tc>
        <w:tc>
          <w:tcPr>
            <w:tcW w:w="850"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偏离度（%）</w:t>
            </w:r>
          </w:p>
        </w:tc>
        <w:tc>
          <w:tcPr>
            <w:tcW w:w="992"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得分系数（%）</w:t>
            </w:r>
          </w:p>
        </w:tc>
        <w:tc>
          <w:tcPr>
            <w:tcW w:w="709" w:type="dxa"/>
            <w:gridSpan w:val="2"/>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指标权重</w:t>
            </w:r>
          </w:p>
        </w:tc>
        <w:tc>
          <w:tcPr>
            <w:tcW w:w="70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指标得分</w:t>
            </w:r>
          </w:p>
        </w:tc>
        <w:tc>
          <w:tcPr>
            <w:tcW w:w="709"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是否核心指标</w:t>
            </w:r>
          </w:p>
        </w:tc>
        <w:tc>
          <w:tcPr>
            <w:tcW w:w="708"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auto"/>
                <w:sz w:val="18"/>
                <w:szCs w:val="18"/>
              </w:rPr>
            </w:pPr>
            <w:r>
              <w:rPr>
                <w:rFonts w:cs="宋体"/>
                <w:b/>
                <w:bCs/>
                <w:color w:val="auto"/>
                <w:sz w:val="18"/>
                <w:szCs w:val="18"/>
              </w:rPr>
              <w:t>说明</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r>
      <w:tr>
        <w:tblPrEx>
          <w:tblCellMar>
            <w:top w:w="0" w:type="dxa"/>
            <w:left w:w="108" w:type="dxa"/>
            <w:bottom w:w="0" w:type="dxa"/>
            <w:right w:w="108" w:type="dxa"/>
          </w:tblCellMar>
        </w:tblPrEx>
        <w:trPr>
          <w:trHeight w:val="43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58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687" w:type="dxa"/>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850"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992"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gridSpan w:val="2"/>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jc w:val="right"/>
              <w:rPr>
                <w:rFonts w:hint="default" w:cs="宋体"/>
                <w:color w:val="auto"/>
                <w:sz w:val="18"/>
                <w:szCs w:val="18"/>
              </w:rPr>
            </w:pPr>
            <w:r>
              <w:rPr>
                <w:rFonts w:cs="宋体"/>
                <w:color w:val="auto"/>
                <w:sz w:val="18"/>
                <w:szCs w:val="18"/>
              </w:rPr>
              <w:t>　</w:t>
            </w:r>
          </w:p>
        </w:tc>
        <w:tc>
          <w:tcPr>
            <w:tcW w:w="709"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c>
          <w:tcPr>
            <w:tcW w:w="708" w:type="dxa"/>
            <w:tcBorders>
              <w:top w:val="nil"/>
              <w:left w:val="nil"/>
              <w:bottom w:val="single" w:color="auto" w:sz="4" w:space="0"/>
              <w:right w:val="single" w:color="auto" w:sz="4" w:space="0"/>
            </w:tcBorders>
            <w:shd w:val="clear" w:color="auto" w:fill="auto"/>
            <w:vAlign w:val="center"/>
          </w:tcPr>
          <w:p>
            <w:pPr>
              <w:rPr>
                <w:rFonts w:hint="default" w:cs="宋体"/>
                <w:color w:val="auto"/>
                <w:sz w:val="18"/>
                <w:szCs w:val="18"/>
              </w:rPr>
            </w:pPr>
            <w:r>
              <w:rPr>
                <w:rFonts w:cs="宋体"/>
                <w:color w:val="auto"/>
                <w:sz w:val="18"/>
                <w:szCs w:val="18"/>
              </w:rPr>
              <w:t>　</w:t>
            </w:r>
          </w:p>
        </w:tc>
      </w:tr>
    </w:tbl>
    <w:p>
      <w:pPr>
        <w:pStyle w:val="13"/>
        <w:spacing w:before="0" w:beforeAutospacing="0" w:after="0" w:afterAutospacing="0"/>
        <w:ind w:firstLine="560"/>
        <w:rPr>
          <w:rFonts w:hint="eastAsia" w:ascii="方正仿宋_GBK" w:hAnsi="方正仿宋_GBK" w:eastAsia="方正仿宋_GBK" w:cs="方正仿宋_GBK"/>
          <w:color w:val="auto"/>
          <w:sz w:val="28"/>
          <w:szCs w:val="28"/>
          <w:shd w:val="clear" w:color="auto" w:fill="FFFFFF"/>
          <w:lang w:eastAsia="zh-CN"/>
        </w:rPr>
      </w:pPr>
      <w:r>
        <w:rPr>
          <w:rFonts w:hint="eastAsia" w:ascii="仿宋" w:hAnsi="仿宋" w:eastAsia="仿宋" w:cs="仿宋"/>
          <w:color w:val="auto"/>
          <w:sz w:val="32"/>
          <w:szCs w:val="32"/>
          <w:lang w:val="en-US" w:eastAsia="zh-CN" w:bidi="ar-SA"/>
        </w:rPr>
        <w:t>本单位本年度无项目支出。</w:t>
      </w:r>
    </w:p>
    <w:p>
      <w:pPr>
        <w:pStyle w:val="12"/>
        <w:autoSpaceDE w:val="0"/>
        <w:ind w:firstLine="643"/>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2"/>
        <w:autoSpaceDE w:val="0"/>
        <w:ind w:firstLine="643"/>
        <w:rPr>
          <w:rFonts w:hint="eastAsia" w:ascii="仿宋" w:hAnsi="仿宋" w:eastAsia="仿宋" w:cs="仿宋"/>
          <w:color w:val="auto"/>
          <w:sz w:val="32"/>
          <w:szCs w:val="32"/>
          <w:lang w:val="en-US" w:eastAsia="zh-CN" w:bidi="ar-SA"/>
        </w:rPr>
      </w:pPr>
      <w:r>
        <w:rPr>
          <w:rFonts w:hint="eastAsia" w:ascii="仿宋" w:hAnsi="仿宋" w:eastAsia="仿宋" w:cs="仿宋"/>
          <w:color w:val="auto"/>
          <w:sz w:val="32"/>
          <w:szCs w:val="32"/>
          <w:lang w:val="en-US" w:eastAsia="zh-CN" w:bidi="ar-SA"/>
        </w:rPr>
        <w:t>本单位没有委托第三方开展绩效评价。</w:t>
      </w:r>
    </w:p>
    <w:p>
      <w:pPr>
        <w:pStyle w:val="12"/>
        <w:autoSpaceDE w:val="0"/>
        <w:ind w:firstLine="0" w:firstLineChars="0"/>
        <w:rPr>
          <w:rFonts w:ascii="楷体" w:hAnsi="楷体" w:eastAsia="楷体" w:cs="楷体"/>
          <w:b/>
          <w:bCs/>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 xml:space="preserve">   </w:t>
      </w:r>
      <w:r>
        <w:rPr>
          <w:rFonts w:hint="eastAsia" w:ascii="楷体" w:hAnsi="楷体" w:eastAsia="楷体" w:cs="楷体"/>
          <w:b/>
          <w:bCs/>
          <w:color w:val="auto"/>
          <w:sz w:val="32"/>
          <w:szCs w:val="32"/>
          <w:shd w:val="clear" w:color="auto" w:fill="FFFFFF"/>
        </w:rPr>
        <w:t>（三）财政绩效评价情况</w:t>
      </w:r>
    </w:p>
    <w:p>
      <w:pPr>
        <w:pStyle w:val="12"/>
        <w:autoSpaceDE w:val="0"/>
        <w:ind w:firstLine="643"/>
        <w:rPr>
          <w:rFonts w:ascii="方正仿宋_GBK" w:hAnsi="方正仿宋_GBK" w:eastAsia="方正仿宋_GBK" w:cs="方正仿宋_GBK"/>
          <w:color w:val="auto"/>
          <w:sz w:val="32"/>
          <w:szCs w:val="32"/>
          <w:shd w:val="clear" w:color="auto" w:fill="FFFFFF"/>
        </w:rPr>
      </w:pPr>
      <w:r>
        <w:rPr>
          <w:rFonts w:hint="eastAsia" w:ascii="仿宋" w:hAnsi="仿宋" w:eastAsia="仿宋" w:cs="仿宋"/>
          <w:color w:val="auto"/>
          <w:sz w:val="32"/>
          <w:szCs w:val="32"/>
          <w:lang w:val="en-US" w:eastAsia="zh-CN" w:bidi="ar-SA"/>
        </w:rPr>
        <w:t>区财政局未委托第三方对我单位开展绩效评价。</w:t>
      </w:r>
    </w:p>
    <w:p>
      <w:pPr>
        <w:pStyle w:val="7"/>
        <w:shd w:val="clear" w:color="auto" w:fill="FFFFFF"/>
        <w:rPr>
          <w:rStyle w:val="11"/>
          <w:rFonts w:hint="default" w:ascii="方正仿宋_GBK" w:hAnsi="方正仿宋_GBK" w:eastAsia="方正仿宋_GBK" w:cs="方正仿宋_GBK"/>
          <w:color w:val="auto"/>
          <w:sz w:val="32"/>
          <w:szCs w:val="32"/>
          <w:shd w:val="clear" w:color="auto" w:fill="FFFFFF"/>
        </w:rPr>
      </w:pPr>
      <w:r>
        <w:rPr>
          <w:rStyle w:val="11"/>
          <w:rFonts w:ascii="方正仿宋_GBK" w:hAnsi="方正仿宋_GBK" w:eastAsia="方正仿宋_GBK" w:cs="方正仿宋_GBK"/>
          <w:color w:val="auto"/>
          <w:sz w:val="32"/>
          <w:szCs w:val="32"/>
          <w:shd w:val="clear" w:color="auto" w:fill="FFFFFF"/>
        </w:rPr>
        <w:t xml:space="preserve">  </w:t>
      </w:r>
      <w:r>
        <w:rPr>
          <w:rStyle w:val="11"/>
          <w:rFonts w:ascii="黑体" w:hAnsi="黑体" w:eastAsia="黑体" w:cs="黑体"/>
          <w:color w:val="auto"/>
          <w:sz w:val="32"/>
          <w:szCs w:val="32"/>
          <w:shd w:val="clear" w:color="auto" w:fill="FFFFFF"/>
        </w:rPr>
        <w:t>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hint="eastAsia" w:ascii="仿宋" w:hAnsi="仿宋" w:eastAsia="仿宋" w:cs="仿宋"/>
          <w:color w:val="auto"/>
          <w:sz w:val="30"/>
          <w:szCs w:val="30"/>
          <w:lang w:val="en-US" w:eastAsia="zh-CN" w:bidi="ar-SA"/>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仿宋" w:hAnsi="仿宋" w:eastAsia="仿宋" w:cs="仿宋"/>
          <w:color w:val="auto"/>
          <w:sz w:val="30"/>
          <w:szCs w:val="30"/>
          <w:lang w:val="en-US" w:eastAsia="zh-CN" w:bidi="ar-SA"/>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方正仿宋_GBK" w:hAnsi="方正仿宋_GBK" w:eastAsia="方正仿宋_GBK" w:cs="方正仿宋_GBK"/>
          <w:color w:val="auto"/>
          <w:sz w:val="32"/>
          <w:szCs w:val="32"/>
        </w:rPr>
      </w:pPr>
      <w:r>
        <w:rPr>
          <w:rStyle w:val="11"/>
          <w:rFonts w:ascii="方正仿宋_GBK" w:hAnsi="方正仿宋_GBK" w:eastAsia="方正仿宋_GBK" w:cs="方正仿宋_GBK"/>
          <w:color w:val="auto"/>
          <w:sz w:val="32"/>
          <w:szCs w:val="32"/>
          <w:shd w:val="clear" w:color="auto" w:fill="FFFFFF"/>
        </w:rPr>
        <w:t> </w:t>
      </w:r>
      <w:r>
        <w:rPr>
          <w:rStyle w:val="11"/>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default" w:ascii="方正仿宋_GBK" w:hAnsi="方正仿宋_GBK" w:eastAsia="方正仿宋_GBK" w:cs="方正仿宋_GBK"/>
          <w:color w:val="auto"/>
          <w:sz w:val="32"/>
          <w:szCs w:val="32"/>
        </w:rPr>
      </w:pPr>
      <w:r>
        <w:rPr>
          <w:rStyle w:val="11"/>
          <w:rFonts w:ascii="楷体" w:hAnsi="楷体" w:eastAsia="楷体" w:cs="楷体"/>
          <w:color w:val="auto"/>
          <w:sz w:val="32"/>
          <w:szCs w:val="32"/>
          <w:shd w:val="clear" w:color="auto" w:fill="FFFFFF"/>
        </w:rPr>
        <w:t>（十六）对个人和家庭的补助（支出经济分类科目类级）</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Fonts w:hint="eastAsia" w:ascii="仿宋" w:hAnsi="仿宋" w:eastAsia="仿宋" w:cs="仿宋"/>
          <w:color w:val="auto"/>
          <w:sz w:val="30"/>
          <w:szCs w:val="30"/>
          <w:lang w:val="en-US" w:eastAsia="zh-CN" w:bidi="ar-SA"/>
        </w:rPr>
      </w:pPr>
      <w:r>
        <w:rPr>
          <w:rStyle w:val="11"/>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hint="eastAsia" w:ascii="仿宋" w:hAnsi="仿宋" w:eastAsia="仿宋" w:cs="仿宋"/>
          <w:color w:val="auto"/>
          <w:sz w:val="30"/>
          <w:szCs w:val="30"/>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42" w:firstLineChars="200"/>
        <w:jc w:val="both"/>
        <w:rPr>
          <w:rStyle w:val="11"/>
          <w:rFonts w:hint="default" w:ascii="方正仿宋_GBK" w:hAnsi="方正仿宋_GBK" w:eastAsia="方正仿宋_GBK" w:cs="方正仿宋_GBK"/>
          <w:color w:val="auto"/>
          <w:sz w:val="32"/>
          <w:szCs w:val="32"/>
          <w:shd w:val="clear" w:color="auto" w:fill="FFFFFF"/>
        </w:rPr>
      </w:pPr>
      <w:r>
        <w:rPr>
          <w:rStyle w:val="11"/>
          <w:rFonts w:ascii="黑体" w:hAnsi="黑体" w:eastAsia="黑体" w:cs="黑体"/>
          <w:color w:val="auto"/>
          <w:sz w:val="32"/>
          <w:szCs w:val="32"/>
          <w:shd w:val="clear" w:color="auto" w:fill="FFFFFF"/>
        </w:rPr>
        <w:t>七、决算公开联系方式及信息反馈渠道</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00" w:firstLineChars="200"/>
        <w:jc w:val="both"/>
        <w:rPr>
          <w:rFonts w:hint="eastAsia" w:ascii="仿宋" w:hAnsi="仿宋" w:eastAsia="仿宋" w:cs="仿宋"/>
          <w:color w:val="auto"/>
          <w:sz w:val="30"/>
          <w:szCs w:val="30"/>
          <w:lang w:val="en-US" w:eastAsia="zh-CN" w:bidi="ar-SA"/>
        </w:rPr>
      </w:pPr>
      <w:r>
        <w:rPr>
          <w:rFonts w:hint="eastAsia" w:ascii="仿宋" w:hAnsi="仿宋" w:eastAsia="仿宋" w:cs="仿宋"/>
          <w:color w:val="auto"/>
          <w:sz w:val="30"/>
          <w:szCs w:val="30"/>
          <w:lang w:val="en-US" w:eastAsia="zh-CN" w:bidi="ar-SA"/>
        </w:rPr>
        <w:t>本单位决算公开信息反馈和联系方式：周小强 023-72225195</w:t>
      </w:r>
    </w:p>
    <w:p>
      <w:pPr>
        <w:pStyle w:val="7"/>
        <w:keepNext w:val="0"/>
        <w:keepLines w:val="0"/>
        <w:pageBreakBefore w:val="0"/>
        <w:kinsoku/>
        <w:wordWrap/>
        <w:overflowPunct/>
        <w:topLinePunct w:val="0"/>
        <w:autoSpaceDN/>
        <w:bidi w:val="0"/>
        <w:adjustRightInd/>
        <w:snapToGrid w:val="0"/>
        <w:spacing w:before="0" w:beforeAutospacing="0" w:after="0" w:afterAutospacing="0" w:line="500" w:lineRule="exact"/>
        <w:ind w:firstLine="600" w:firstLineChars="200"/>
        <w:jc w:val="both"/>
        <w:rPr>
          <w:rFonts w:hint="eastAsia" w:ascii="仿宋" w:hAnsi="仿宋" w:eastAsia="仿宋" w:cs="仿宋"/>
          <w:color w:val="auto"/>
          <w:sz w:val="30"/>
          <w:szCs w:val="30"/>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color w:val="auto"/>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公开01表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公开单位：</w:t>
            </w:r>
            <w:r>
              <w:rPr>
                <w:color w:val="auto"/>
                <w:sz w:val="20"/>
                <w:u w:color="auto"/>
              </w:rPr>
              <w:t>重庆市涪陵区人事考试培训中心</w:t>
            </w:r>
          </w:p>
        </w:tc>
        <w:tc>
          <w:tcPr>
            <w:tcW w:w="655"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auto"/>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auto"/>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项目</w:t>
            </w:r>
          </w:p>
        </w:tc>
        <w:tc>
          <w:tcPr>
            <w:tcW w:w="6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功能分类科目</w:t>
            </w:r>
          </w:p>
        </w:tc>
        <w:tc>
          <w:tcPr>
            <w:tcW w:w="111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149.90</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136.66</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6.25</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6.99</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149.90</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149.90</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149.90</w:t>
            </w:r>
            <w:r>
              <w:rPr>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auto"/>
                <w:sz w:val="20"/>
                <w:szCs w:val="20"/>
              </w:rPr>
            </w:pPr>
            <w:r>
              <w:rPr>
                <w:rFonts w:cs="宋体"/>
                <w:color w:val="auto"/>
                <w:sz w:val="20"/>
                <w:szCs w:val="20"/>
              </w:rPr>
              <w:t>149.90</w:t>
            </w:r>
            <w:r>
              <w:rPr>
                <w:color w:val="auto"/>
                <w:sz w:val="20"/>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收入决算表</w:t>
            </w:r>
          </w:p>
        </w:tc>
      </w:tr>
      <w:tr>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公开单位：</w:t>
            </w:r>
            <w:r>
              <w:rPr>
                <w:color w:val="auto"/>
                <w:sz w:val="20"/>
                <w:u w:color="auto"/>
              </w:rPr>
              <w:t>重庆市涪陵区人事考试培训中心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公开02表</w:t>
            </w:r>
          </w:p>
        </w:tc>
      </w:tr>
      <w:tr>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3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3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149.90</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149.90</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136.66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136.66</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122.67</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122.67</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122.67</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122.67</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13.98</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13.98</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9.32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9.32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6.25</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6.25</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6.99</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6.99</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ind w:left="600" w:hanging="600" w:hangingChars="3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0"/>
          <w:szCs w:val="20"/>
        </w:rPr>
      </w:pPr>
      <w:r>
        <w:rPr>
          <w:rFonts w:cs="宋体"/>
          <w:color w:val="auto"/>
          <w:sz w:val="20"/>
          <w:szCs w:val="20"/>
        </w:rPr>
        <w:br w:type="page"/>
      </w:r>
    </w:p>
    <w:tbl>
      <w:tblPr>
        <w:tblStyle w:val="8"/>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支出决算表</w:t>
            </w:r>
          </w:p>
        </w:tc>
      </w:tr>
      <w:tr>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 xml:space="preserve">重庆市涪陵区人事考试培训中心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公开03表</w:t>
            </w:r>
          </w:p>
        </w:tc>
      </w:tr>
      <w:tr>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90"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1090"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149.90</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149.90</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136.66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136.66</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122.67</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122.67</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122.67</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122.67</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13.98</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13.98</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9.32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9.32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4.66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6.25</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6.25</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6.25</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b/>
                <w:color w:val="auto"/>
                <w:sz w:val="20"/>
                <w:szCs w:val="20"/>
              </w:rPr>
              <w:t>6.99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6.99</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rFonts w:cs="宋体"/>
                <w:color w:val="auto"/>
                <w:sz w:val="20"/>
                <w:szCs w:val="20"/>
              </w:rPr>
              <w:t>6.99</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auto"/>
                <w:sz w:val="20"/>
                <w:szCs w:val="20"/>
              </w:rPr>
            </w:pPr>
            <w:r>
              <w:rPr>
                <w:color w:val="auto"/>
                <w:sz w:val="20"/>
                <w:u w:color="auto"/>
              </w:rPr>
              <w:t xml:space="preserve"> </w:t>
            </w:r>
          </w:p>
        </w:tc>
      </w:tr>
    </w:tbl>
    <w:p>
      <w:pPr>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p>
      <w:pPr>
        <w:rPr>
          <w:rFonts w:hint="default" w:cs="宋体"/>
          <w:color w:val="auto"/>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 xml:space="preserve">公开单位： </w:t>
            </w:r>
            <w:r>
              <w:rPr>
                <w:color w:val="auto"/>
                <w:sz w:val="20"/>
                <w:u w:color="auto"/>
              </w:rPr>
              <w:t>重庆市涪陵区人事考试培训中心</w:t>
            </w: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rFonts w:cs="宋体"/>
                <w:color w:val="auto"/>
                <w:sz w:val="20"/>
                <w:szCs w:val="20"/>
              </w:rPr>
              <w:t>公开04表</w:t>
            </w:r>
          </w:p>
        </w:tc>
      </w:tr>
      <w:tr>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功能分类科目</w:t>
            </w:r>
          </w:p>
        </w:tc>
        <w:tc>
          <w:tcPr>
            <w:tcW w:w="238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149.90</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136.66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136.66</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6.25</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6.99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6.99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149.90</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149.90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149.90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149.90</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149.90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149.90</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bl>
    <w:p>
      <w:pPr>
        <w:spacing w:line="240" w:lineRule="exact"/>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重庆市涪陵区人事考试培训中心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公开05表</w:t>
            </w:r>
          </w:p>
        </w:tc>
      </w:tr>
      <w:tr>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149.90</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bCs/>
                <w:color w:val="auto"/>
                <w:sz w:val="20"/>
                <w:szCs w:val="20"/>
              </w:rPr>
              <w:t>149.90</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136.66</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136.66</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122.67</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122.67</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122.67</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122.67</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13.98</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13.98</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9.32</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9.32</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4.66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4.66</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6.25</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6.25</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6.25</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6.25</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6.25</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6.25</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6.99</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b/>
                <w:color w:val="auto"/>
                <w:sz w:val="20"/>
                <w:szCs w:val="20"/>
              </w:rPr>
              <w:t>6.99</w:t>
            </w:r>
            <w:r>
              <w:rPr>
                <w:b/>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auto"/>
                <w:sz w:val="20"/>
                <w:szCs w:val="20"/>
              </w:rPr>
            </w:pPr>
            <w:r>
              <w:rPr>
                <w:rFonts w:cs="宋体"/>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6.99</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rFonts w:cs="宋体"/>
                <w:color w:val="auto"/>
                <w:sz w:val="20"/>
                <w:szCs w:val="20"/>
              </w:rPr>
              <w:t>6.99</w:t>
            </w:r>
            <w:r>
              <w:rPr>
                <w:color w:val="auto"/>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color w:val="auto"/>
                <w:sz w:val="20"/>
                <w:u w:color="auto"/>
              </w:rPr>
              <w:t xml:space="preserve"> </w:t>
            </w:r>
          </w:p>
        </w:tc>
      </w:tr>
    </w:tbl>
    <w:p>
      <w:pPr>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ind w:firstLine="630" w:firstLineChars="300"/>
        <w:rPr>
          <w:rFonts w:hint="default" w:cs="宋体"/>
          <w:color w:val="auto"/>
          <w:sz w:val="21"/>
          <w:szCs w:val="21"/>
        </w:rPr>
      </w:pPr>
      <w:r>
        <w:rPr>
          <w:rFonts w:cs="宋体"/>
          <w:color w:val="auto"/>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auto"/>
                <w:sz w:val="18"/>
                <w:szCs w:val="18"/>
              </w:rPr>
            </w:pPr>
            <w:r>
              <w:rPr>
                <w:rFonts w:cs="宋体"/>
                <w:color w:val="auto"/>
                <w:sz w:val="20"/>
                <w:szCs w:val="20"/>
              </w:rPr>
              <w:t xml:space="preserve">公开单位： </w:t>
            </w:r>
            <w:r>
              <w:rPr>
                <w:color w:val="auto"/>
                <w:sz w:val="20"/>
                <w:u w:color="auto"/>
              </w:rPr>
              <w:t>重庆市涪陵区人事考试培训中心</w:t>
            </w: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公开06表</w:t>
            </w:r>
          </w:p>
        </w:tc>
      </w:tr>
      <w:tr>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c>
          <w:tcPr>
            <w:tcW w:w="61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133.71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16.19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30.43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3.85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1.09</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73.01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0.63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9.32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1.27</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4.66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4.65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4.95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2.17</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2.17</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0.36</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6.99</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1.09</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1.53</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1.17</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0.46</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0.11</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auto"/>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auto"/>
                <w:sz w:val="18"/>
                <w:szCs w:val="18"/>
              </w:rPr>
            </w:pPr>
            <w:r>
              <w:rPr>
                <w:rFonts w:cs="宋体"/>
                <w:color w:val="auto"/>
                <w:sz w:val="18"/>
                <w:szCs w:val="18"/>
              </w:rPr>
              <w:t>133.71</w:t>
            </w:r>
            <w:r>
              <w:rPr>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auto"/>
                <w:sz w:val="18"/>
                <w:szCs w:val="18"/>
              </w:rPr>
            </w:pPr>
            <w:r>
              <w:rPr>
                <w:rFonts w:cs="宋体"/>
                <w:b/>
                <w:color w:val="auto"/>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auto"/>
                <w:sz w:val="18"/>
                <w:szCs w:val="18"/>
              </w:rPr>
            </w:pPr>
            <w:r>
              <w:rPr>
                <w:rFonts w:cs="宋体"/>
                <w:color w:val="auto"/>
                <w:sz w:val="18"/>
                <w:szCs w:val="18"/>
              </w:rPr>
              <w:t>16.19</w:t>
            </w:r>
            <w:r>
              <w:rPr>
                <w:color w:val="auto"/>
                <w:sz w:val="18"/>
                <w:u w:color="auto"/>
              </w:rPr>
              <w:t xml:space="preserve"> </w:t>
            </w:r>
          </w:p>
        </w:tc>
      </w:tr>
    </w:tbl>
    <w:p>
      <w:pPr>
        <w:spacing w:line="280" w:lineRule="exact"/>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重庆市涪陵区人事考试培训中心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公开07表</w:t>
            </w:r>
          </w:p>
        </w:tc>
      </w:tr>
      <w:tr>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cs="宋体"/>
          <w:color w:val="auto"/>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auto"/>
                <w:sz w:val="20"/>
                <w:szCs w:val="20"/>
              </w:rPr>
            </w:pPr>
            <w:r>
              <w:rPr>
                <w:rFonts w:cs="宋体"/>
                <w:color w:val="auto"/>
                <w:sz w:val="20"/>
                <w:szCs w:val="20"/>
              </w:rPr>
              <w:t xml:space="preserve">公开单位： </w:t>
            </w:r>
            <w:r>
              <w:rPr>
                <w:color w:val="auto"/>
                <w:sz w:val="20"/>
                <w:u w:color="auto"/>
              </w:rPr>
              <w:t>重庆市涪陵区人事考试培训中心</w:t>
            </w: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公开08表</w:t>
            </w:r>
          </w:p>
        </w:tc>
      </w:tr>
      <w:tr>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auto"/>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c>
          <w:tcPr>
            <w:tcW w:w="1130"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auto"/>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auto"/>
                <w:sz w:val="20"/>
                <w:szCs w:val="20"/>
              </w:rPr>
            </w:pPr>
            <w:r>
              <w:rPr>
                <w:b/>
                <w:color w:val="auto"/>
                <w:sz w:val="20"/>
                <w:u w:color="auto"/>
              </w:rPr>
              <w:t xml:space="preserve"> </w:t>
            </w:r>
          </w:p>
        </w:tc>
      </w:tr>
    </w:tbl>
    <w:p>
      <w:pPr>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p>
    <w:p>
      <w:pPr>
        <w:rPr>
          <w:rFonts w:hint="default" w:cs="宋体"/>
          <w:color w:val="auto"/>
          <w:sz w:val="21"/>
          <w:szCs w:val="21"/>
        </w:rPr>
      </w:pPr>
      <w:r>
        <w:rPr>
          <w:rFonts w:hint="default" w:cs="宋体"/>
          <w:color w:val="auto"/>
          <w:sz w:val="21"/>
          <w:szCs w:val="21"/>
        </w:rPr>
        <w:br w:type="page"/>
      </w:r>
    </w:p>
    <w:tbl>
      <w:tblPr>
        <w:tblStyle w:val="8"/>
        <w:tblW w:w="5000" w:type="pct"/>
        <w:tblInd w:w="0" w:type="dxa"/>
        <w:tblLayout w:type="fixed"/>
        <w:tblCellMar>
          <w:top w:w="0" w:type="dxa"/>
          <w:left w:w="0" w:type="dxa"/>
          <w:bottom w:w="0" w:type="dxa"/>
          <w:right w:w="0" w:type="dxa"/>
        </w:tblCellMar>
      </w:tblPr>
      <w:tblGrid>
        <w:gridCol w:w="4167"/>
        <w:gridCol w:w="2236"/>
        <w:gridCol w:w="2184"/>
        <w:gridCol w:w="4660"/>
        <w:gridCol w:w="2131"/>
      </w:tblGrid>
      <w:tr>
        <w:tblPrEx>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auto"/>
                <w:sz w:val="32"/>
                <w:szCs w:val="32"/>
              </w:rPr>
            </w:pPr>
            <w:r>
              <w:rPr>
                <w:rFonts w:cs="宋体"/>
                <w:b/>
                <w:color w:val="auto"/>
                <w:sz w:val="32"/>
                <w:szCs w:val="32"/>
              </w:rPr>
              <w:t>机构运行信息表</w:t>
            </w:r>
          </w:p>
        </w:tc>
      </w:tr>
      <w:tr>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公开09表</w:t>
            </w:r>
          </w:p>
        </w:tc>
      </w:tr>
      <w:tr>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auto"/>
                <w:sz w:val="20"/>
                <w:szCs w:val="20"/>
              </w:rPr>
            </w:pPr>
            <w:r>
              <w:rPr>
                <w:rFonts w:cs="宋体"/>
                <w:color w:val="auto"/>
                <w:sz w:val="20"/>
                <w:szCs w:val="20"/>
              </w:rPr>
              <w:t xml:space="preserve">公开单位： </w:t>
            </w:r>
            <w:r>
              <w:rPr>
                <w:color w:val="auto"/>
                <w:sz w:val="20"/>
                <w:u w:color="auto"/>
              </w:rPr>
              <w:t>重庆市涪陵区人事考试培训中心</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auto"/>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auto"/>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auto"/>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auto"/>
                <w:sz w:val="20"/>
                <w:szCs w:val="20"/>
              </w:rPr>
            </w:pPr>
            <w:r>
              <w:rPr>
                <w:rFonts w:cs="宋体"/>
                <w:color w:val="auto"/>
                <w:sz w:val="20"/>
                <w:szCs w:val="20"/>
              </w:rPr>
              <w:t>单位：万元</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rPr>
            </w:pPr>
          </w:p>
        </w:tc>
      </w:tr>
      <w:tr>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auto"/>
                <w:sz w:val="20"/>
                <w:szCs w:val="20"/>
              </w:rPr>
            </w:pPr>
            <w:r>
              <w:rPr>
                <w:rFonts w:cs="宋体"/>
                <w:color w:val="auto"/>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auto"/>
                <w:sz w:val="20"/>
                <w:szCs w:val="20"/>
              </w:rPr>
            </w:pPr>
            <w:r>
              <w:rPr>
                <w:rFonts w:cs="宋体"/>
                <w:color w:val="auto"/>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auto"/>
                <w:sz w:val="20"/>
                <w:szCs w:val="20"/>
              </w:rPr>
            </w:pPr>
            <w:r>
              <w:rPr>
                <w:color w:val="auto"/>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auto"/>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auto"/>
                <w:sz w:val="20"/>
                <w:szCs w:val="20"/>
              </w:rPr>
            </w:pPr>
          </w:p>
        </w:tc>
      </w:tr>
    </w:tbl>
    <w:p>
      <w:pPr>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YTQxMWRkYjhjYjc2YTIyZjBkZTk3NGFjZDA4MmIifQ=="/>
  </w:docVars>
  <w:rsids>
    <w:rsidRoot w:val="00B03CCD"/>
    <w:rsid w:val="00270E53"/>
    <w:rsid w:val="002B254B"/>
    <w:rsid w:val="004A597F"/>
    <w:rsid w:val="00550ABE"/>
    <w:rsid w:val="00770383"/>
    <w:rsid w:val="007819D4"/>
    <w:rsid w:val="007B419D"/>
    <w:rsid w:val="00853209"/>
    <w:rsid w:val="009B67B8"/>
    <w:rsid w:val="009D2B67"/>
    <w:rsid w:val="00B03CCD"/>
    <w:rsid w:val="00B05EC2"/>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327A5D"/>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FE2A60"/>
    <w:rsid w:val="6A6C7940"/>
    <w:rsid w:val="6AAD2300"/>
    <w:rsid w:val="6B272D7F"/>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7BA9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paragraph" w:styleId="17">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7792</Words>
  <Characters>9132</Characters>
  <Lines>193</Lines>
  <Paragraphs>54</Paragraphs>
  <TotalTime>9</TotalTime>
  <ScaleCrop>false</ScaleCrop>
  <LinksUpToDate>false</LinksUpToDate>
  <CharactersWithSpaces>10170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2024-11-01T11:10:24Z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