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方正小标宋_GBK" w:eastAsia="方正小标宋_GBK"/>
          <w:color w:val="333333"/>
          <w:sz w:val="40"/>
          <w:szCs w:val="40"/>
          <w:shd w:val="clear" w:color="auto" w:fill="FFFFFF"/>
        </w:rPr>
      </w:pPr>
      <w:r>
        <w:rPr>
          <w:rFonts w:ascii="方正小标宋_GBK" w:eastAsia="方正小标宋_GBK" w:hint="eastAsia"/>
          <w:color w:val="333333"/>
          <w:sz w:val="40"/>
          <w:szCs w:val="40"/>
          <w:shd w:val="clear" w:color="auto" w:fill="FFFFFF"/>
        </w:rPr>
        <w:t>重庆市涪陵区总河长202</w:t>
      </w:r>
      <w:r>
        <w:rPr>
          <w:rFonts w:ascii="方正小标宋_GBK" w:eastAsia="方正小标宋_GBK"/>
          <w:color w:val="333333"/>
          <w:sz w:val="40"/>
          <w:szCs w:val="40"/>
          <w:shd w:val="clear" w:color="auto" w:fill="FFFFFF"/>
        </w:rPr>
        <w:t>3</w:t>
      </w:r>
      <w:r>
        <w:rPr>
          <w:rFonts w:ascii="方正小标宋_GBK" w:eastAsia="方正小标宋_GBK" w:hint="eastAsia"/>
          <w:color w:val="333333"/>
          <w:sz w:val="40"/>
          <w:szCs w:val="40"/>
          <w:shd w:val="clear" w:color="auto" w:fill="FFFFFF"/>
        </w:rPr>
        <w:t>年度履职情况公示表</w:t>
      </w:r>
    </w:p>
    <w:p>
      <w:pPr>
        <w:rPr>
          <w:rFonts w:ascii="方正小标宋_GBK" w:eastAsia="方正小标宋_GBK"/>
          <w:sz w:val="18"/>
          <w:szCs w:val="18"/>
        </w:rPr>
      </w:pPr>
    </w:p>
    <w:tbl>
      <w:tblPr>
        <w:tblpPr w:leftFromText="180" w:rightFromText="180" w:vertAnchor="text" w:horzAnchor="page" w:tblpX="1734" w:tblpY="31"/>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95"/>
        <w:gridCol w:w="1260"/>
        <w:gridCol w:w="6366"/>
      </w:tblGrid>
      <w:tr>
        <w:trPr>
          <w:tblHeader/>
        </w:trPr>
        <w:tc>
          <w:tcPr>
            <w:tcW w:w="895" w:type="dxa"/>
            <w:tcBorders>
              <w:tl2br w:val="nil"/>
              <w:tr2bl w:val="nil"/>
            </w:tcBorders>
          </w:tcPr>
          <w:p>
            <w:pPr>
              <w:jc w:val="center"/>
              <w:rPr>
                <w:rFonts w:ascii="方正黑体_GBK" w:eastAsia="方正黑体_GBK"/>
              </w:rPr>
            </w:pPr>
            <w:r>
              <w:rPr>
                <w:rFonts w:ascii="方正黑体_GBK" w:eastAsia="方正黑体_GBK" w:hint="eastAsia"/>
              </w:rPr>
              <w:t>姓名</w:t>
            </w:r>
          </w:p>
        </w:tc>
        <w:tc>
          <w:tcPr>
            <w:tcW w:w="1260" w:type="dxa"/>
            <w:tcBorders>
              <w:tl2br w:val="nil"/>
              <w:tr2bl w:val="nil"/>
            </w:tcBorders>
          </w:tcPr>
          <w:p>
            <w:pPr>
              <w:jc w:val="center"/>
              <w:rPr>
                <w:rFonts w:ascii="方正黑体_GBK" w:eastAsia="方正黑体_GBK"/>
              </w:rPr>
            </w:pPr>
            <w:r>
              <w:rPr>
                <w:rFonts w:ascii="方正黑体_GBK" w:eastAsia="方正黑体_GBK" w:hint="eastAsia"/>
              </w:rPr>
              <w:t>职务</w:t>
            </w:r>
          </w:p>
        </w:tc>
        <w:tc>
          <w:tcPr>
            <w:tcW w:w="6366" w:type="dxa"/>
            <w:tcBorders>
              <w:tl2br w:val="nil"/>
              <w:tr2bl w:val="nil"/>
            </w:tcBorders>
          </w:tcPr>
          <w:p>
            <w:pPr>
              <w:jc w:val="center"/>
              <w:rPr>
                <w:rFonts w:ascii="方正黑体_GBK" w:eastAsia="方正黑体_GBK"/>
              </w:rPr>
            </w:pPr>
            <w:r>
              <w:rPr>
                <w:rFonts w:ascii="方正黑体_GBK" w:eastAsia="方正黑体_GBK" w:hint="eastAsia"/>
              </w:rPr>
              <w:t>履职情况</w:t>
            </w:r>
          </w:p>
        </w:tc>
      </w:tr>
      <w:tr>
        <w:trPr>
          <w:trHeight w:val="1457"/>
        </w:trPr>
        <w:tc>
          <w:tcPr>
            <w:tcW w:w="895"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cs="方正仿宋_GBK" w:hint="eastAsia"/>
                <w:sz w:val="24"/>
                <w:szCs w:val="24"/>
              </w:rPr>
              <w:t>王志杰</w:t>
            </w:r>
          </w:p>
        </w:tc>
        <w:tc>
          <w:tcPr>
            <w:tcW w:w="1260"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cs="方正仿宋_GBK" w:hint="eastAsia"/>
                <w:sz w:val="24"/>
                <w:szCs w:val="24"/>
              </w:rPr>
              <w:t>区委书记、区总河长</w:t>
            </w: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1月18日，主持召开中共第六届重庆市涪陵区委常委会第54次会议，研究全区生态环境保护工作，强调要全面落实河（湖）长制，抓实长江“十年禁渔”，持续推进长江生态环境保护修复，坚决筑牢长江上游重要生态屏障。</w:t>
            </w:r>
          </w:p>
        </w:tc>
      </w:tr>
      <w:tr>
        <w:trPr>
          <w:trHeight w:val="178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w:t>
            </w:r>
            <w:r>
              <w:rPr>
                <w:rFonts w:ascii="Times New Roman" w:eastAsia="方正仿宋_GBK" w:hAnsi="Times New Roman" w:hint="eastAsia"/>
                <w:sz w:val="24"/>
                <w:szCs w:val="24"/>
              </w:rPr>
              <w:t>3月21日，在第三十一届“世界水日”和第三十六届“中国水周”即将到来之际，带队巡查长江涪陵段</w:t>
            </w:r>
            <w:r>
              <w:rPr>
                <w:rFonts w:ascii="Times New Roman" w:eastAsia="方正仿宋_GBK" w:hAnsi="Times New Roman"/>
                <w:sz w:val="24"/>
                <w:szCs w:val="24"/>
              </w:rPr>
              <w:t>，强调</w:t>
            </w:r>
            <w:r>
              <w:rPr>
                <w:rFonts w:ascii="Times New Roman" w:eastAsia="方正仿宋_GBK" w:hAnsi="Times New Roman" w:hint="eastAsia"/>
                <w:sz w:val="24"/>
                <w:szCs w:val="24"/>
              </w:rPr>
              <w:t>要统筹推进山水林田湖草沙一体化保护与修复，加快北山林相、中化涪陵老厂区生态、</w:t>
            </w:r>
            <w:r>
              <w:rPr>
                <w:rFonts w:ascii="Times New Roman" w:eastAsia="方正仿宋_GBK" w:hAnsi="Times New Roman"/>
                <w:sz w:val="24"/>
                <w:szCs w:val="24"/>
              </w:rPr>
              <w:t>上桥</w:t>
            </w:r>
            <w:r>
              <w:rPr>
                <w:rFonts w:ascii="Times New Roman" w:eastAsia="方正仿宋_GBK" w:hAnsi="Times New Roman" w:hint="eastAsia"/>
                <w:sz w:val="24"/>
                <w:szCs w:val="24"/>
              </w:rPr>
              <w:t>河水环境等修复进度，严格落实长江“十年禁渔”，坚决守护好“一江碧水、两岸青山”</w:t>
            </w:r>
            <w:r>
              <w:rPr>
                <w:rFonts w:ascii="Times New Roman" w:eastAsia="方正仿宋_GBK" w:hAnsi="Times New Roman"/>
                <w:sz w:val="24"/>
                <w:szCs w:val="24"/>
              </w:rPr>
              <w:t>。</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2023年3月26日，调研慧谷湖生态修复情况，强调要深入推进环湖生态修复，激发人民群众参与河湖治理的自觉性、主动性，着力提升河湖生态环境质量。</w:t>
            </w:r>
          </w:p>
        </w:tc>
      </w:tr>
      <w:tr>
        <w:trPr>
          <w:trHeight w:val="1082"/>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2023年4月28日，主持召开中共第六届重庆市涪陵区委常委会第65次会议，研究全市防汛能力提升现场会和全市防汛抗旱工作会议精神贯彻落实工作。</w:t>
            </w:r>
          </w:p>
        </w:tc>
      </w:tr>
      <w:tr>
        <w:trPr>
          <w:trHeight w:val="721"/>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sz w:val="24"/>
                <w:szCs w:val="24"/>
              </w:rPr>
              <w:t>023年</w:t>
            </w:r>
            <w:r>
              <w:rPr>
                <w:rFonts w:ascii="Times New Roman" w:eastAsia="方正仿宋_GBK" w:hAnsi="Times New Roman" w:hint="eastAsia"/>
                <w:sz w:val="24"/>
                <w:szCs w:val="24"/>
              </w:rPr>
              <w:t>5月9日，调研慧谷湖</w:t>
            </w:r>
            <w:r>
              <w:rPr>
                <w:rFonts w:ascii="Times New Roman" w:eastAsia="方正仿宋_GBK" w:hAnsi="Times New Roman"/>
                <w:sz w:val="24"/>
                <w:szCs w:val="24"/>
              </w:rPr>
              <w:t>建设</w:t>
            </w:r>
            <w:r>
              <w:rPr>
                <w:rFonts w:ascii="Times New Roman" w:eastAsia="方正仿宋_GBK" w:hAnsi="Times New Roman" w:hint="eastAsia"/>
                <w:sz w:val="24"/>
                <w:szCs w:val="24"/>
              </w:rPr>
              <w:t>情况，强调要强化环湖生态修复，挖掘河湖文化底蕴，推进智慧水务建设</w:t>
            </w:r>
            <w:r>
              <w:rPr>
                <w:rFonts w:ascii="Times New Roman" w:eastAsia="方正仿宋_GBK" w:hAnsi="Times New Roman"/>
                <w:sz w:val="24"/>
                <w:szCs w:val="24"/>
              </w:rPr>
              <w:t>。</w:t>
            </w:r>
          </w:p>
        </w:tc>
      </w:tr>
      <w:tr>
        <w:trPr>
          <w:trHeight w:val="1082"/>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2023年6月1日，调研慧谷湖水质及岸线建设情况，强调要持续提升河（湖）长制工作质效，推进系统治理、整体治理不断取得新成效。</w:t>
            </w:r>
          </w:p>
        </w:tc>
      </w:tr>
      <w:tr>
        <w:trPr>
          <w:trHeight w:val="70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2023年6月12日，带队开展巡河、巡林活动，乘船察看长江水位水质，了解汛期长江安全度汛工作情况。</w:t>
            </w:r>
          </w:p>
        </w:tc>
      </w:tr>
      <w:tr>
        <w:trPr>
          <w:trHeight w:val="722"/>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2023年7月5日，前往马鞍街道、崇义街道巡河，检查督导防汛备汛和地灾防治工作。</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2023年7月5日，主持召开涪陵区防汛救灾工作调度会议，强调要重点加强对病险水库、高位山坪塘、山洪危险区等风险点的巡查值守，强化水利工程调度，加强清单化管理，动态及时应对处置。</w:t>
            </w:r>
          </w:p>
        </w:tc>
      </w:tr>
      <w:tr>
        <w:trPr>
          <w:trHeight w:val="190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2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7月12日，前往恒昇大业科技公司项目现场，调研全生命周期安全绿色智慧矿山产业创新和数字赋能工作，强调要坚定不移走好生态优先、绿色发展之路，把矿区矿产开发、生态修复和转型发展统筹起来，有序将石漠化地和矿坑改造提升为连片耕地、林地，巩固提升乌江沿线生态环境质量。</w:t>
            </w:r>
          </w:p>
        </w:tc>
      </w:tr>
      <w:tr>
        <w:trPr>
          <w:trHeight w:val="1429"/>
        </w:trPr>
        <w:tc>
          <w:tcPr>
            <w:tcW w:w="895"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cs="方正仿宋_GBK" w:hint="eastAsia"/>
                <w:sz w:val="24"/>
                <w:szCs w:val="24"/>
              </w:rPr>
              <w:t>王志杰</w:t>
            </w:r>
          </w:p>
        </w:tc>
        <w:tc>
          <w:tcPr>
            <w:tcW w:w="1260"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cs="方正仿宋_GBK" w:hint="eastAsia"/>
                <w:sz w:val="24"/>
                <w:szCs w:val="24"/>
              </w:rPr>
              <w:t>区委书记、区总河长</w:t>
            </w: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2023年7月14日，主持召开中共第六届重庆市涪陵区委常委会第76次会议，研究防汛救灾工作，强调要强化中小河流洪水、中小水库除险，防范消除各类汛期可能出现的隐患问题。</w:t>
            </w:r>
          </w:p>
        </w:tc>
      </w:tr>
      <w:tr>
        <w:trPr>
          <w:trHeight w:val="728"/>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2023年8月8日，调研慧谷湖建设</w:t>
            </w:r>
            <w:r>
              <w:rPr>
                <w:rFonts w:ascii="Times New Roman" w:eastAsia="方正仿宋_GBK" w:hAnsi="Times New Roman" w:hint="eastAsia"/>
                <w:sz w:val="24"/>
                <w:szCs w:val="24"/>
              </w:rPr>
              <w:t>情况，</w:t>
            </w:r>
            <w:r>
              <w:rPr>
                <w:rFonts w:ascii="Times New Roman" w:eastAsia="方正仿宋_GBK" w:hAnsi="Times New Roman"/>
                <w:sz w:val="24"/>
                <w:szCs w:val="24"/>
              </w:rPr>
              <w:t>强调要</w:t>
            </w:r>
            <w:r>
              <w:rPr>
                <w:rFonts w:ascii="Times New Roman" w:eastAsia="方正仿宋_GBK" w:hAnsi="Times New Roman" w:hint="eastAsia"/>
                <w:sz w:val="24"/>
                <w:szCs w:val="24"/>
              </w:rPr>
              <w:t>整体打造慧谷湖、涞滩河，推动城市品质再提升。</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2023年8月16日，美丽重庆建设大会召开，在接受重庆新闻联播采访时表示，要</w:t>
            </w:r>
            <w:r>
              <w:rPr>
                <w:rFonts w:ascii="Times New Roman" w:eastAsia="方正仿宋_GBK" w:hAnsi="Times New Roman" w:hint="eastAsia"/>
                <w:sz w:val="24"/>
                <w:szCs w:val="24"/>
              </w:rPr>
              <w:t>按照大会部署的“四个显著提升”的目标，七个方面的重点工作任务，努力在美丽重庆建设中走在前、做示范</w:t>
            </w:r>
            <w:r>
              <w:rPr>
                <w:rFonts w:ascii="Times New Roman" w:eastAsia="方正仿宋_GBK" w:hAnsi="Times New Roman"/>
                <w:sz w:val="24"/>
                <w:szCs w:val="24"/>
              </w:rPr>
              <w:t>。</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2023年8月17日，在接受重庆日报采访时表示，</w:t>
            </w:r>
            <w:r>
              <w:rPr>
                <w:rFonts w:ascii="Times New Roman" w:eastAsia="方正仿宋_GBK" w:hAnsi="Times New Roman" w:hint="eastAsia"/>
                <w:sz w:val="24"/>
                <w:szCs w:val="24"/>
              </w:rPr>
              <w:t>要</w:t>
            </w:r>
            <w:r>
              <w:rPr>
                <w:rFonts w:ascii="Times New Roman" w:eastAsia="方正仿宋_GBK" w:hAnsi="Times New Roman"/>
                <w:sz w:val="24"/>
                <w:szCs w:val="24"/>
              </w:rPr>
              <w:t>以更高站位、更宽视野、更大力度来谋划和推进新征程生态环境保护工作，谱写涪陵绿色发展新篇章。</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2023年8月31日，在接受人民日报采访时表示，打好污染防治攻坚战关系人民群众切身利益，是建设美丽中国的关键举措。</w:t>
            </w:r>
          </w:p>
        </w:tc>
      </w:tr>
      <w:tr>
        <w:trPr>
          <w:trHeight w:val="250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2023年9月14日，</w:t>
            </w:r>
            <w:r>
              <w:rPr>
                <w:rFonts w:ascii="Times New Roman" w:eastAsia="方正仿宋_GBK" w:hAnsi="Times New Roman" w:hint="eastAsia"/>
                <w:sz w:val="24"/>
                <w:szCs w:val="24"/>
              </w:rPr>
              <w:t>在美丽</w:t>
            </w:r>
            <w:r>
              <w:rPr>
                <w:rFonts w:ascii="Times New Roman" w:eastAsia="方正仿宋_GBK" w:hAnsi="Times New Roman"/>
                <w:sz w:val="24"/>
                <w:szCs w:val="24"/>
              </w:rPr>
              <w:t>涪陵</w:t>
            </w:r>
            <w:r>
              <w:rPr>
                <w:rFonts w:ascii="Times New Roman" w:eastAsia="方正仿宋_GBK" w:hAnsi="Times New Roman" w:hint="eastAsia"/>
                <w:sz w:val="24"/>
                <w:szCs w:val="24"/>
              </w:rPr>
              <w:t>建设大会上强调，</w:t>
            </w:r>
            <w:r>
              <w:rPr>
                <w:rFonts w:ascii="Times New Roman" w:eastAsia="方正仿宋_GBK" w:hAnsi="Times New Roman"/>
                <w:sz w:val="24"/>
                <w:szCs w:val="24"/>
              </w:rPr>
              <w:t>要深学笃用习近平生态文明思想，认真学习贯彻习近平总书记在全国生态环境保护大会上的重要讲话和关于首个全国生态日的重要指示精神，落实美丽重庆建设大会安排部署，谋划美丽涪陵建设的目标举措，努力在美丽重庆建设中走在前、作示范，奋力打造人与自然和谐共生现代化的市域范例涪陵样板。</w:t>
            </w:r>
          </w:p>
        </w:tc>
      </w:tr>
      <w:tr>
        <w:trPr>
          <w:trHeight w:val="773"/>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2023年9月28日，</w:t>
            </w:r>
            <w:r>
              <w:rPr>
                <w:rFonts w:ascii="Times New Roman" w:eastAsia="方正仿宋_GBK" w:hAnsi="Times New Roman" w:hint="eastAsia"/>
                <w:sz w:val="24"/>
                <w:szCs w:val="24"/>
              </w:rPr>
              <w:t>带队巡查长江涪陵段</w:t>
            </w:r>
            <w:r>
              <w:rPr>
                <w:rFonts w:ascii="Times New Roman" w:eastAsia="方正仿宋_GBK" w:hAnsi="Times New Roman"/>
                <w:sz w:val="24"/>
                <w:szCs w:val="24"/>
              </w:rPr>
              <w:t>，察看长江水质、水域清漂和岸线保护等情况。</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hint="eastAsia"/>
                <w:sz w:val="24"/>
                <w:szCs w:val="24"/>
              </w:rPr>
              <w:t>2023年10月12日，调研慧谷湖幸福河湖建设情况，强调要做好环湖生态建设各项工作，“一湖（河）一策”高质量建设具有涪陵辨识度的幸福河湖。</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2023年10月27日，</w:t>
            </w:r>
            <w:r>
              <w:rPr>
                <w:rFonts w:ascii="Times New Roman" w:eastAsia="方正仿宋_GBK" w:hAnsi="Times New Roman" w:hint="eastAsia"/>
                <w:sz w:val="24"/>
                <w:szCs w:val="24"/>
              </w:rPr>
              <w:t>带队巡查长江涪陵段</w:t>
            </w:r>
            <w:r>
              <w:rPr>
                <w:rFonts w:ascii="Times New Roman" w:eastAsia="方正仿宋_GBK" w:hAnsi="Times New Roman"/>
                <w:sz w:val="24"/>
                <w:szCs w:val="24"/>
              </w:rPr>
              <w:t>，强调</w:t>
            </w:r>
            <w:r>
              <w:rPr>
                <w:rFonts w:ascii="Times New Roman" w:eastAsia="方正仿宋_GBK" w:hAnsi="Times New Roman" w:hint="eastAsia"/>
                <w:sz w:val="24"/>
                <w:szCs w:val="24"/>
              </w:rPr>
              <w:t>要认真落实全市总河长令，“一河一长”“一河一策”“一河一档”推进生活污水、生活垃圾、农业面源污染等整治，努力实现河库“河畅、水清、岸绿、景美”</w:t>
            </w:r>
            <w:r>
              <w:rPr>
                <w:rFonts w:ascii="Times New Roman" w:eastAsia="方正仿宋_GBK" w:hAnsi="Times New Roman"/>
                <w:sz w:val="24"/>
                <w:szCs w:val="24"/>
              </w:rPr>
              <w:t>。</w:t>
            </w:r>
          </w:p>
        </w:tc>
      </w:tr>
      <w:tr>
        <w:trPr>
          <w:trHeight w:val="70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2023年11月24日，</w:t>
            </w:r>
            <w:r>
              <w:rPr>
                <w:rFonts w:ascii="Times New Roman" w:eastAsia="方正仿宋_GBK" w:hAnsi="Times New Roman" w:hint="eastAsia"/>
                <w:sz w:val="24"/>
                <w:szCs w:val="24"/>
              </w:rPr>
              <w:t>参加</w:t>
            </w:r>
            <w:r>
              <w:rPr>
                <w:rFonts w:ascii="Times New Roman" w:eastAsia="方正仿宋_GBK" w:hAnsi="Times New Roman"/>
                <w:sz w:val="24"/>
                <w:szCs w:val="24"/>
              </w:rPr>
              <w:t>九三学社重庆市委在涪陵区开展长江生态环境保护民主监督调研活动。</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2023年12月13日，带队开展巡河、巡林工作，听取慧谷湖创建幸福河湖情况汇报，强调要突出区域特点、流域特色，坚持清单化、项目化推进，强化慧谷湖环湖生态建设。</w:t>
            </w:r>
          </w:p>
        </w:tc>
      </w:tr>
      <w:tr>
        <w:trPr>
          <w:trHeight w:val="723"/>
        </w:trPr>
        <w:tc>
          <w:tcPr>
            <w:tcW w:w="895"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cs="方正仿宋_GBK"/>
                <w:sz w:val="24"/>
                <w:szCs w:val="24"/>
              </w:rPr>
              <w:t>刘忠</w:t>
            </w:r>
          </w:p>
        </w:tc>
        <w:tc>
          <w:tcPr>
            <w:tcW w:w="1260" w:type="dxa"/>
            <w:vMerge w:val="restart"/>
            <w:tcBorders>
              <w:tl2br w:val="nil"/>
              <w:tr2bl w:val="nil"/>
            </w:tcBorders>
            <w:vAlign w:val="center"/>
          </w:tcPr>
          <w:p>
            <w:pPr>
              <w:spacing w:line="360" w:lineRule="exact"/>
              <w:jc w:val="center"/>
              <w:rPr>
                <w:rFonts w:ascii="方正仿宋_GBK" w:eastAsia="方正仿宋_GBK" w:cs="方正仿宋_GBK"/>
                <w:sz w:val="24"/>
                <w:szCs w:val="24"/>
              </w:rPr>
            </w:pPr>
            <w:r>
              <w:rPr>
                <w:rFonts w:ascii="方正仿宋_GBK" w:eastAsia="方正仿宋_GBK" w:hint="eastAsia"/>
                <w:sz w:val="24"/>
                <w:szCs w:val="24"/>
              </w:rPr>
              <w:t>区委副书记、区政府区长、区总河长</w:t>
            </w: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lang w:val="en-US" w:eastAsia="zh-CN"/>
              </w:rPr>
            </w:pPr>
            <w:r>
              <w:rPr>
                <w:rFonts w:ascii="Times New Roman" w:eastAsia="方正仿宋_GBK" w:hAnsi="Times New Roman"/>
                <w:sz w:val="24"/>
                <w:szCs w:val="24"/>
              </w:rPr>
              <w:t>2023年3月3日，巡查乌江涪陵段，调研白涛街道潘家坝污水处理厂三期项目建设工程。</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2023年</w:t>
            </w:r>
            <w:r>
              <w:rPr>
                <w:rFonts w:ascii="Times New Roman" w:eastAsia="方正仿宋_GBK" w:cs="Times New Roman" w:hAnsi="Times New Roman"/>
                <w:kern w:val="2"/>
                <w:sz w:val="24"/>
                <w:szCs w:val="24"/>
                <w:lang w:val="en-US" w:eastAsia="zh-CN" w:bidi="ar-SA"/>
              </w:rPr>
              <w:t>3月27日，主持召开区第六届人民政府第36次常务会议，听取了2022年全区河长制工作情况的汇报，安排部署下一阶段重点工作。</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2023年4月10日，主持召开</w:t>
            </w:r>
            <w:r>
              <w:rPr>
                <w:rFonts w:ascii="Times New Roman" w:eastAsia="方正仿宋_GBK" w:cs="Times New Roman" w:hAnsi="Times New Roman"/>
                <w:kern w:val="2"/>
                <w:sz w:val="24"/>
                <w:szCs w:val="24"/>
                <w:lang w:val="en-US" w:eastAsia="zh-CN" w:bidi="ar-SA"/>
              </w:rPr>
              <w:t>区第六届人民政府第37次常务会议，听取</w:t>
            </w:r>
            <w:r>
              <w:rPr>
                <w:rFonts w:ascii="Times New Roman" w:eastAsia="方正仿宋_GBK" w:hAnsi="Times New Roman"/>
                <w:sz w:val="24"/>
                <w:szCs w:val="24"/>
              </w:rPr>
              <w:t>2023年度一季度生态环境保护工作情况，研究部署有关工作。</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2023年5月26日，到江东街道乌江一级支流开展巡河，并调研防汛备汛和抗旱保供水情况，要求协同抓好防汛抗旱各项工作，牢牢守住安全底线。</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2023年6月21日，</w:t>
            </w:r>
            <w:r>
              <w:rPr>
                <w:rFonts w:ascii="Times New Roman" w:eastAsia="方正仿宋_GBK" w:cs="Times New Roman" w:hAnsi="Times New Roman"/>
                <w:kern w:val="2"/>
                <w:sz w:val="24"/>
                <w:szCs w:val="24"/>
                <w:lang w:val="en-US" w:eastAsia="zh-CN" w:bidi="ar-SA"/>
              </w:rPr>
              <w:t>主持召开区第六届人民政府第44次常务会议，传达学习贯彻全市水利高质量发展三年行动动员会议精神，研究部署贯彻落实工作。</w:t>
            </w:r>
          </w:p>
        </w:tc>
      </w:tr>
      <w:tr>
        <w:trPr>
          <w:trHeight w:val="178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2023年7月6日，</w:t>
            </w:r>
            <w:r>
              <w:rPr>
                <w:rFonts w:ascii="Times New Roman" w:eastAsia="方正仿宋_GBK" w:cs="Times New Roman" w:hAnsi="Times New Roman"/>
                <w:kern w:val="2"/>
                <w:sz w:val="24"/>
                <w:szCs w:val="24"/>
                <w:lang w:val="en-US" w:eastAsia="zh-CN" w:bidi="ar-SA"/>
              </w:rPr>
              <w:t>主持召开区第六届人民政府第45次常务会议，集中观看2022年全市生态环境警示片，传达学习全市生态环境问题整改整治工作推进会议精神，听取2023年上半年全区生态环境保护工作情况汇报，安排部署有关工作。</w:t>
            </w:r>
            <w:bookmarkStart w:id="0" w:name="_GoBack"/>
            <w:bookmarkEnd w:id="0"/>
          </w:p>
        </w:tc>
      </w:tr>
      <w:tr>
        <w:trPr>
          <w:trHeight w:val="723"/>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2023年9月14日，主持召开</w:t>
            </w:r>
            <w:r>
              <w:rPr>
                <w:rFonts w:ascii="Times New Roman" w:eastAsia="方正仿宋_GBK" w:hAnsi="Times New Roman" w:hint="eastAsia"/>
                <w:sz w:val="24"/>
                <w:szCs w:val="24"/>
              </w:rPr>
              <w:t>美丽</w:t>
            </w:r>
            <w:r>
              <w:rPr>
                <w:rFonts w:ascii="Times New Roman" w:eastAsia="方正仿宋_GBK" w:hAnsi="Times New Roman"/>
                <w:sz w:val="24"/>
                <w:szCs w:val="24"/>
              </w:rPr>
              <w:t>涪陵</w:t>
            </w:r>
            <w:r>
              <w:rPr>
                <w:rFonts w:ascii="Times New Roman" w:eastAsia="方正仿宋_GBK" w:hAnsi="Times New Roman" w:hint="eastAsia"/>
                <w:sz w:val="24"/>
                <w:szCs w:val="24"/>
              </w:rPr>
              <w:t>建设大会暨2023年</w:t>
            </w:r>
            <w:r>
              <w:rPr>
                <w:rFonts w:ascii="Times New Roman" w:eastAsia="方正仿宋_GBK" w:hAnsi="Times New Roman"/>
                <w:sz w:val="24"/>
                <w:szCs w:val="24"/>
              </w:rPr>
              <w:t>区</w:t>
            </w:r>
            <w:r>
              <w:rPr>
                <w:rFonts w:ascii="Times New Roman" w:eastAsia="方正仿宋_GBK" w:hAnsi="Times New Roman" w:hint="eastAsia"/>
                <w:sz w:val="24"/>
                <w:szCs w:val="24"/>
              </w:rPr>
              <w:t>级总河长会</w:t>
            </w:r>
            <w:r>
              <w:rPr>
                <w:rFonts w:ascii="Times New Roman" w:eastAsia="方正仿宋_GBK" w:hAnsi="Times New Roman"/>
                <w:sz w:val="24"/>
                <w:szCs w:val="24"/>
              </w:rPr>
              <w:t>。</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lang w:val="en-US" w:eastAsia="zh-CN"/>
              </w:rPr>
            </w:pPr>
            <w:r>
              <w:rPr>
                <w:rFonts w:ascii="Times New Roman" w:eastAsia="方正仿宋_GBK" w:hAnsi="Times New Roman"/>
                <w:sz w:val="24"/>
                <w:szCs w:val="24"/>
              </w:rPr>
              <w:t>2023年9月26日，到乌江开展巡河工作，并检查乌江沿线非煤矿山生态修复情况，强调</w:t>
            </w:r>
            <w:r>
              <w:rPr>
                <w:rFonts w:ascii="Times New Roman" w:eastAsia="方正仿宋_GBK" w:hAnsi="Times New Roman" w:hint="eastAsia"/>
                <w:sz w:val="24"/>
                <w:szCs w:val="24"/>
              </w:rPr>
              <w:t>要持之以恒抓好河长制工作，精准落实“一河一策”，做到查河管河治河要实，不断提升水环境治理能力和水平，持续改善全区河库水生态。</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2023年9月27日，</w:t>
            </w:r>
            <w:r>
              <w:rPr>
                <w:rFonts w:ascii="Times New Roman" w:eastAsia="方正仿宋_GBK" w:cs="Times New Roman" w:hAnsi="Times New Roman"/>
                <w:kern w:val="2"/>
                <w:sz w:val="24"/>
                <w:szCs w:val="24"/>
                <w:lang w:val="en-US" w:eastAsia="zh-CN" w:bidi="ar-SA"/>
              </w:rPr>
              <w:t>主持召开区第六届人民政府第51次常务会议，听取了关于开展珍溪镇洪澳商贸物流中转场违法建构筑物拆（清）除工作情况的汇报，安排部署有关工作。</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2023年10月19日，陪同水利部副部长刘伟平、三峡司司长阮利民，市水利局局长江夏，副局长任丽娟、谢飞，调研白鹤梁水下博物馆。</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2023年11月7日至9日，前往临港经济区、白涛新材料科技城、高新区调研部分重点项目推进情况，强调要严把工程质量关和施工安全关，做到人员到位、工作到位、责任到位，确保项目早建成、早见效。</w:t>
            </w:r>
          </w:p>
        </w:tc>
      </w:tr>
      <w:tr>
        <w:trPr>
          <w:trHeight w:val="106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2023年11月8日，</w:t>
            </w:r>
            <w:r>
              <w:rPr>
                <w:rFonts w:ascii="Times New Roman" w:eastAsia="方正仿宋_GBK" w:cs="Times New Roman" w:hAnsi="Times New Roman"/>
                <w:kern w:val="2"/>
                <w:sz w:val="24"/>
                <w:szCs w:val="24"/>
                <w:lang w:val="en-US" w:eastAsia="zh-CN" w:bidi="ar-SA"/>
              </w:rPr>
              <w:t>主持召开区第六届人民政府第54次常务会议，</w:t>
            </w:r>
            <w:r>
              <w:rPr>
                <w:rFonts w:ascii="Times New Roman" w:eastAsia="方正仿宋_GBK" w:cs="Times New Roman" w:hAnsi="Times New Roman" w:hint="eastAsia"/>
                <w:kern w:val="2"/>
                <w:sz w:val="24"/>
                <w:szCs w:val="24"/>
                <w:lang w:val="en-US" w:eastAsia="zh-CN" w:bidi="ar-SA"/>
              </w:rPr>
              <w:t>传达学习贯彻全市“无废城市”建设推进大会精神，研究部署有关工作</w:t>
            </w:r>
            <w:r>
              <w:rPr>
                <w:rFonts w:ascii="Times New Roman" w:eastAsia="方正仿宋_GBK" w:cs="Times New Roman" w:hAnsi="Times New Roman"/>
                <w:kern w:val="2"/>
                <w:sz w:val="24"/>
                <w:szCs w:val="24"/>
                <w:lang w:val="en-US" w:eastAsia="zh-CN" w:bidi="ar-SA"/>
              </w:rPr>
              <w:t>。会议强调</w:t>
            </w:r>
            <w:r>
              <w:rPr>
                <w:rFonts w:ascii="Times New Roman" w:eastAsia="方正仿宋_GBK" w:cs="Times New Roman" w:hAnsi="Times New Roman" w:hint="eastAsia"/>
                <w:kern w:val="2"/>
                <w:sz w:val="24"/>
                <w:szCs w:val="24"/>
                <w:lang w:val="en-US" w:eastAsia="zh-CN" w:bidi="ar-SA"/>
              </w:rPr>
              <w:t>建设“无废城市”是打好污染防治攻坚战、建设美丽中国的内在要求，也是推动城市绿色低碳发展的有力抓手。</w:t>
            </w:r>
          </w:p>
        </w:tc>
      </w:tr>
      <w:tr>
        <w:trPr>
          <w:trHeight w:val="1429"/>
        </w:trPr>
        <w:tc>
          <w:tcPr>
            <w:tcW w:w="895" w:type="dxa"/>
            <w:vMerge/>
            <w:tcBorders>
              <w:tl2br w:val="nil"/>
              <w:tr2bl w:val="nil"/>
            </w:tcBorders>
            <w:vAlign w:val="center"/>
          </w:tcPr>
          <w:p/>
        </w:tc>
        <w:tc>
          <w:tcPr>
            <w:tcW w:w="1260" w:type="dxa"/>
            <w:vMerge/>
            <w:tcBorders>
              <w:tl2br w:val="nil"/>
              <w:tr2bl w:val="nil"/>
            </w:tcBorders>
            <w:vAlign w:val="center"/>
          </w:tcPr>
          <w:p/>
        </w:tc>
        <w:tc>
          <w:tcPr>
            <w:tcW w:w="6366" w:type="dxa"/>
            <w:tcBorders>
              <w:tl2br w:val="nil"/>
              <w:tr2bl w:val="nil"/>
            </w:tcBorders>
          </w:tcPr>
          <w:p>
            <w:pPr>
              <w:keepNext w:val="0"/>
              <w:keepLines w:val="0"/>
              <w:pageBreakBefore w:val="0"/>
              <w:widowControl w:val="0"/>
              <w:kinsoku/>
              <w:wordWrap/>
              <w:overflowPunct/>
              <w:topLinePunct w:val="0"/>
              <w:autoSpaceDE/>
              <w:autoSpaceDN/>
              <w:adjustRightInd/>
              <w:snapToGrid/>
              <w:spacing w:line="360" w:lineRule="exact"/>
              <w:jc w:val="left"/>
              <w:rPr>
                <w:rFonts w:ascii="Times New Roman" w:eastAsia="方正仿宋_GBK" w:hAnsi="Times New Roman"/>
                <w:sz w:val="24"/>
                <w:szCs w:val="24"/>
              </w:rPr>
            </w:pPr>
            <w:r>
              <w:rPr>
                <w:rFonts w:ascii="Times New Roman" w:eastAsia="方正仿宋_GBK" w:hAnsi="Times New Roman"/>
                <w:sz w:val="24"/>
                <w:szCs w:val="24"/>
              </w:rPr>
              <w:t>2023年</w:t>
            </w:r>
            <w:r>
              <w:rPr>
                <w:rFonts w:ascii="Times New Roman" w:eastAsia="方正仿宋_GBK" w:hAnsi="Times New Roman" w:hint="eastAsia"/>
                <w:sz w:val="24"/>
                <w:szCs w:val="24"/>
              </w:rPr>
              <w:t>12月11日，率队前往乌江涪陵段开展巡河检查，要求对乌江岸线整治行动进行“回头看”，扩大成果、守住成果、加强宣传，加强基层河长巡查频次，将河道“四乱”现象消除在萌芽状态。</w:t>
            </w:r>
          </w:p>
        </w:tc>
      </w:tr>
    </w:tbl>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4</Pages>
  <Words>2539</Words>
  <Characters>2701</Characters>
  <Lines>134</Lines>
  <Paragraphs>44</Paragraphs>
  <CharactersWithSpaces>2701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USR</dc:creator>
  <cp:lastModifiedBy>USR</cp:lastModifiedBy>
  <cp:revision>1</cp:revision>
  <dcterms:created xsi:type="dcterms:W3CDTF">2024-01-11T03:03:15Z</dcterms:created>
  <dcterms:modified xsi:type="dcterms:W3CDTF">2024-01-11T03:07:54Z</dcterms:modified>
</cp:coreProperties>
</file>