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eastAsia="方正小标宋_GBK"/>
          <w:bCs/>
          <w:sz w:val="44"/>
          <w:szCs w:val="44"/>
        </w:rPr>
      </w:pPr>
      <w:bookmarkStart w:id="0" w:name="wgnr"/>
      <w:bookmarkStart w:id="3" w:name="_GoBack"/>
      <w:bookmarkEnd w:id="3"/>
    </w:p>
    <w:p>
      <w:pPr>
        <w:spacing w:line="240" w:lineRule="exact"/>
        <w:jc w:val="center"/>
        <w:rPr>
          <w:rFonts w:hint="eastAsia" w:ascii="方正小标宋_GBK" w:eastAsia="方正小标宋_GBK"/>
          <w:sz w:val="44"/>
          <w:szCs w:val="44"/>
        </w:rPr>
      </w:pPr>
    </w:p>
    <w:p>
      <w:pPr>
        <w:spacing w:line="6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重庆市涪陵区生态环境局</w:t>
      </w:r>
    </w:p>
    <w:p>
      <w:pPr>
        <w:spacing w:line="600" w:lineRule="exact"/>
        <w:jc w:val="center"/>
        <w:rPr>
          <w:rFonts w:hint="eastAsia" w:ascii="方正小标宋_GBK" w:hAnsi="华文中宋" w:eastAsia="方正小标宋_GBK"/>
          <w:bCs/>
          <w:sz w:val="44"/>
          <w:szCs w:val="44"/>
        </w:rPr>
      </w:pPr>
      <w:r>
        <w:rPr>
          <w:rFonts w:hint="eastAsia" w:ascii="方正小标宋_GBK" w:hAnsi="华文中宋" w:eastAsia="方正小标宋_GBK"/>
          <w:bCs/>
          <w:sz w:val="44"/>
          <w:szCs w:val="44"/>
        </w:rPr>
        <w:t>关于印发重庆市涪陵区加强生态环境</w:t>
      </w:r>
    </w:p>
    <w:p>
      <w:pPr>
        <w:spacing w:line="6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监督执法正面清单管理工作方案的通知</w:t>
      </w:r>
    </w:p>
    <w:p>
      <w:pPr>
        <w:jc w:val="center"/>
        <w:rPr>
          <w:rFonts w:hint="eastAsia" w:ascii="方正仿宋_GBK" w:eastAsia="方正仿宋_GBK"/>
        </w:rPr>
      </w:pPr>
      <w:r>
        <w:rPr>
          <w:rFonts w:hint="eastAsia" w:ascii="方正仿宋_GBK" w:eastAsia="方正仿宋_GBK"/>
        </w:rPr>
        <w:t>涪环发〔2021〕64号</w:t>
      </w:r>
    </w:p>
    <w:p>
      <w:pPr>
        <w:spacing w:line="600" w:lineRule="exact"/>
        <w:jc w:val="center"/>
        <w:rPr>
          <w:rFonts w:hint="eastAsia"/>
          <w:bCs/>
        </w:rPr>
      </w:pPr>
    </w:p>
    <w:p>
      <w:pPr>
        <w:spacing w:line="594" w:lineRule="exact"/>
        <w:rPr>
          <w:rFonts w:hint="eastAsia" w:ascii="方正仿宋_GBK" w:eastAsia="方正仿宋_GBK" w:cs="方正仿宋_GBK"/>
          <w:shd w:val="clear" w:color="auto" w:fill="FFFFFF"/>
        </w:rPr>
      </w:pPr>
      <w:r>
        <w:rPr>
          <w:rFonts w:hint="eastAsia" w:ascii="方正仿宋_GBK" w:eastAsia="方正仿宋_GBK" w:cs="方正仿宋_GBK"/>
        </w:rPr>
        <w:t>涪陵新城区，各工业园区安环所（环保科），各乡镇（街道）规建环保办（服务中心），局属相关科室、执法支队、监测中心、页岩气研发中心</w:t>
      </w:r>
      <w:r>
        <w:rPr>
          <w:rFonts w:hint="eastAsia" w:ascii="方正仿宋_GBK" w:eastAsia="方正仿宋_GBK" w:cs="方正仿宋_GBK"/>
          <w:shd w:val="clear" w:color="auto" w:fill="FFFFFF"/>
        </w:rPr>
        <w:t>：</w:t>
      </w:r>
    </w:p>
    <w:p>
      <w:pPr>
        <w:adjustRightInd w:val="0"/>
        <w:snapToGrid w:val="0"/>
        <w:spacing w:line="600" w:lineRule="exact"/>
        <w:ind w:firstLine="640"/>
        <w:rPr>
          <w:rFonts w:hint="eastAsia" w:ascii="方正仿宋_GBK" w:eastAsia="方正仿宋_GBK"/>
          <w:szCs w:val="32"/>
        </w:rPr>
      </w:pPr>
      <w:r>
        <w:rPr>
          <w:rFonts w:hint="eastAsia" w:ascii="方正仿宋_GBK" w:eastAsia="方正仿宋_GBK"/>
          <w:szCs w:val="32"/>
        </w:rPr>
        <w:t>为深入落实《生态环境部办公厅关于加强生态环境监督执法正面清单管理推动差异化执法监管的指</w:t>
      </w:r>
      <w:r>
        <w:rPr>
          <w:rFonts w:hint="eastAsia" w:ascii="方正仿宋_GBK" w:eastAsia="方正仿宋_GBK"/>
          <w:spacing w:val="6"/>
          <w:szCs w:val="32"/>
        </w:rPr>
        <w:t>导意见》（环</w:t>
      </w:r>
      <w:r>
        <w:rPr>
          <w:rFonts w:hint="eastAsia" w:ascii="方正仿宋_GBK" w:eastAsia="方正仿宋_GBK"/>
          <w:szCs w:val="32"/>
        </w:rPr>
        <w:t>办执法〔2021〕10号）、《重庆市加强生态环境监督执法正面清单管理工作方案》（</w:t>
      </w:r>
      <w:bookmarkStart w:id="1" w:name="gwz"/>
      <w:r>
        <w:rPr>
          <w:rFonts w:hint="eastAsia" w:ascii="方正仿宋_GBK" w:eastAsia="方正仿宋_GBK"/>
          <w:szCs w:val="32"/>
        </w:rPr>
        <w:t>渝环规</w:t>
      </w:r>
      <w:bookmarkEnd w:id="1"/>
      <w:r>
        <w:rPr>
          <w:rFonts w:hint="eastAsia" w:ascii="方正仿宋_GBK" w:eastAsia="方正仿宋_GBK"/>
          <w:szCs w:val="32"/>
        </w:rPr>
        <w:t>〔</w:t>
      </w:r>
      <w:bookmarkStart w:id="2" w:name="gwnh"/>
      <w:r>
        <w:rPr>
          <w:rFonts w:hint="eastAsia" w:ascii="方正仿宋_GBK" w:eastAsia="方正仿宋_GBK"/>
          <w:szCs w:val="32"/>
        </w:rPr>
        <w:t>2021</w:t>
      </w:r>
      <w:bookmarkEnd w:id="2"/>
      <w:r>
        <w:rPr>
          <w:rFonts w:hint="eastAsia" w:ascii="方正仿宋_GBK" w:eastAsia="方正仿宋_GBK"/>
          <w:szCs w:val="32"/>
        </w:rPr>
        <w:t>〕5号）的工作要求，结合工作实际，区生态环境局制定了《重庆市涪陵区加强生态环境监督执法正面清单管理工作方案》，现印发给你们，请认真遵照执行。</w:t>
      </w:r>
    </w:p>
    <w:p>
      <w:pPr>
        <w:adjustRightInd w:val="0"/>
        <w:snapToGrid w:val="0"/>
        <w:spacing w:line="600" w:lineRule="exact"/>
        <w:ind w:firstLine="640"/>
        <w:rPr>
          <w:rFonts w:hint="eastAsia" w:ascii="方正仿宋_GBK" w:eastAsia="方正仿宋_GBK"/>
          <w:bCs/>
        </w:rPr>
      </w:pPr>
    </w:p>
    <w:p>
      <w:pPr>
        <w:adjustRightInd w:val="0"/>
        <w:snapToGrid w:val="0"/>
        <w:spacing w:line="600" w:lineRule="exact"/>
        <w:ind w:firstLine="640"/>
        <w:rPr>
          <w:rFonts w:hint="eastAsia" w:ascii="方正仿宋_GBK" w:eastAsia="方正仿宋_GBK"/>
          <w:bCs/>
        </w:rPr>
      </w:pPr>
    </w:p>
    <w:p>
      <w:pPr>
        <w:adjustRightInd w:val="0"/>
        <w:snapToGrid w:val="0"/>
        <w:spacing w:line="600" w:lineRule="exact"/>
        <w:ind w:firstLine="640"/>
        <w:rPr>
          <w:rFonts w:hint="eastAsia" w:ascii="方正仿宋_GBK" w:eastAsia="方正仿宋_GBK"/>
          <w:bCs/>
        </w:rPr>
      </w:pPr>
      <w:r>
        <w:rPr>
          <w:rFonts w:hint="eastAsia" w:ascii="方正仿宋_GBK" w:eastAsia="方正仿宋_GBK"/>
          <w:bCs/>
        </w:rPr>
        <w:t xml:space="preserve">                         重庆市</w:t>
      </w:r>
      <w:r>
        <w:rPr>
          <w:rFonts w:hint="eastAsia" w:ascii="方正仿宋_GBK" w:eastAsia="方正仿宋_GBK"/>
          <w:bCs/>
          <w:lang/>
        </w:rPr>
        <w:pict>
          <v:shape id="_x0000_s1034" o:spid="_x0000_s1034" o:spt="201" type="#_x0000_t201" style="position:absolute;left:0pt;margin-left:260.6pt;margin-top:212.45pt;height:119.25pt;width:119.25pt;mso-position-vertical-relative:page;z-index:-251658240;mso-width-relative:page;mso-height-relative:page;" o:ole="t" filled="f" stroked="f" coordsize="21600,21600">
            <v:path/>
            <v:fill on="f" focussize="0,0"/>
            <v:stroke on="f"/>
            <v:imagedata r:id="rId9" o:title=""/>
            <o:lock v:ext="edit"/>
          </v:shape>
          <w:control r:id="rId8" w:name="SignatureCtrl1" w:shapeid="_x0000_s1034"/>
        </w:pict>
      </w:r>
      <w:r>
        <w:rPr>
          <w:rFonts w:hint="eastAsia" w:ascii="方正仿宋_GBK" w:eastAsia="方正仿宋_GBK"/>
          <w:bCs/>
        </w:rPr>
        <w:t>涪陵区生态环境局</w:t>
      </w:r>
    </w:p>
    <w:p>
      <w:pPr>
        <w:spacing w:line="600" w:lineRule="exact"/>
        <w:jc w:val="center"/>
        <w:rPr>
          <w:rFonts w:hint="eastAsia" w:ascii="方正仿宋_GBK" w:eastAsia="方正仿宋_GBK"/>
          <w:bCs/>
        </w:rPr>
      </w:pPr>
      <w:r>
        <w:rPr>
          <w:rFonts w:hint="eastAsia" w:ascii="方正仿宋_GBK" w:eastAsia="方正仿宋_GBK"/>
          <w:bCs/>
        </w:rPr>
        <w:t xml:space="preserve">                         2021年9月23日</w:t>
      </w:r>
    </w:p>
    <w:p>
      <w:pPr>
        <w:spacing w:line="600" w:lineRule="exact"/>
        <w:jc w:val="left"/>
        <w:rPr>
          <w:rFonts w:hint="eastAsia" w:ascii="方正仿宋_GBK" w:eastAsia="方正仿宋_GBK"/>
          <w:bCs/>
        </w:rPr>
      </w:pPr>
      <w:r>
        <w:rPr>
          <w:rFonts w:hint="eastAsia" w:ascii="方正仿宋_GBK" w:eastAsia="方正仿宋_GBK"/>
          <w:bCs/>
        </w:rPr>
        <w:t xml:space="preserve">    （此件公开发布）</w:t>
      </w:r>
    </w:p>
    <w:p>
      <w:pPr>
        <w:spacing w:line="600" w:lineRule="exact"/>
        <w:jc w:val="center"/>
        <w:rPr>
          <w:rFonts w:hint="eastAsia" w:ascii="方正小标宋_GBK" w:hAnsi="华文中宋" w:eastAsia="方正小标宋_GBK"/>
          <w:bCs/>
          <w:sz w:val="44"/>
          <w:szCs w:val="44"/>
        </w:rPr>
      </w:pPr>
      <w:r>
        <w:rPr>
          <w:rFonts w:hint="eastAsia" w:ascii="方正仿宋_GBK" w:eastAsia="方正仿宋_GBK"/>
          <w:bCs/>
        </w:rPr>
        <w:br w:type="page"/>
      </w:r>
      <w:r>
        <w:rPr>
          <w:rFonts w:hint="eastAsia" w:ascii="方正小标宋_GBK" w:hAnsi="华文中宋" w:eastAsia="方正小标宋_GBK"/>
          <w:bCs/>
          <w:sz w:val="44"/>
          <w:szCs w:val="44"/>
        </w:rPr>
        <w:t>重庆市涪陵区加强生态环境</w:t>
      </w:r>
    </w:p>
    <w:p>
      <w:pPr>
        <w:spacing w:line="6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监督执法正面清单管理工作方案</w:t>
      </w:r>
    </w:p>
    <w:p>
      <w:pPr>
        <w:spacing w:line="600" w:lineRule="exact"/>
        <w:jc w:val="center"/>
        <w:rPr>
          <w:rFonts w:hint="eastAsia"/>
        </w:rPr>
      </w:pPr>
    </w:p>
    <w:p>
      <w:pPr>
        <w:adjustRightInd w:val="0"/>
        <w:snapToGrid w:val="0"/>
        <w:spacing w:line="600" w:lineRule="exact"/>
        <w:ind w:firstLine="640"/>
        <w:rPr>
          <w:rFonts w:hint="eastAsia" w:ascii="方正仿宋_GBK" w:eastAsia="方正仿宋_GBK"/>
          <w:szCs w:val="32"/>
        </w:rPr>
      </w:pPr>
      <w:r>
        <w:rPr>
          <w:rFonts w:hint="eastAsia" w:ascii="方正仿宋_GBK" w:eastAsia="方正仿宋_GBK"/>
          <w:szCs w:val="32"/>
        </w:rPr>
        <w:t>为深入落实《生态环境部办公厅关于加强生态环境监督执法正面清单管理推动差异化执法监管的指</w:t>
      </w:r>
      <w:r>
        <w:rPr>
          <w:rFonts w:hint="eastAsia" w:ascii="方正仿宋_GBK" w:eastAsia="方正仿宋_GBK"/>
          <w:spacing w:val="6"/>
          <w:szCs w:val="32"/>
        </w:rPr>
        <w:t>导意见》（环</w:t>
      </w:r>
      <w:r>
        <w:rPr>
          <w:rFonts w:hint="eastAsia" w:ascii="方正仿宋_GBK" w:eastAsia="方正仿宋_GBK"/>
          <w:szCs w:val="32"/>
        </w:rPr>
        <w:t>办执法〔2021〕10号）、《重庆市加强生态环境监督执法正面清单管理工作方案》（渝环规〔2021〕5号）的工作要求，结合工作实际，制定本方案。</w:t>
      </w:r>
    </w:p>
    <w:p>
      <w:pPr>
        <w:adjustRightInd w:val="0"/>
        <w:snapToGrid w:val="0"/>
        <w:spacing w:line="600" w:lineRule="exact"/>
        <w:ind w:firstLine="632" w:firstLineChars="200"/>
        <w:rPr>
          <w:rFonts w:hint="eastAsia" w:ascii="方正黑体_GBK" w:eastAsia="方正黑体_GBK"/>
          <w:szCs w:val="32"/>
        </w:rPr>
      </w:pPr>
      <w:r>
        <w:rPr>
          <w:rFonts w:hint="eastAsia" w:ascii="方正黑体_GBK" w:eastAsia="方正黑体_GBK"/>
          <w:szCs w:val="32"/>
        </w:rPr>
        <w:t>一、工作目标</w:t>
      </w:r>
    </w:p>
    <w:p>
      <w:pPr>
        <w:adjustRightInd w:val="0"/>
        <w:snapToGrid w:val="0"/>
        <w:spacing w:line="600" w:lineRule="exact"/>
        <w:ind w:firstLine="632"/>
        <w:rPr>
          <w:rFonts w:hint="eastAsia" w:ascii="方正仿宋_GBK" w:eastAsia="方正仿宋_GBK"/>
          <w:szCs w:val="32"/>
        </w:rPr>
      </w:pPr>
      <w:r>
        <w:rPr>
          <w:rFonts w:hint="eastAsia" w:ascii="方正仿宋_GBK" w:eastAsia="方正仿宋_GBK"/>
          <w:szCs w:val="32"/>
        </w:rPr>
        <w:t>以引导企业自觉守法与加强监管执法并重、严格规范执法与精准帮扶相结合、统一监管标准与差异化监管措施相结合为原则，坚持生态环境保护工作方向不变、力度不减，突出精准治污、科学治污、依法治污，将实施正面清单制度作为支持服务做好“六稳”工作、落实“六保”任务的重要举措，不断深化“放管服”改革，加强事中事后监管，持续优化法治环境。通过深入实施正面清单制度，进一步优化执法方式，提高执法效能，鼓励环境守法，严惩环境违法。积极推行非现场执法方式，采取差异化监管措施，提升生态环境监管执法精细化水平，实现对守法企业无事不扰，对违法企业利剑高悬。</w:t>
      </w:r>
    </w:p>
    <w:p>
      <w:pPr>
        <w:adjustRightInd w:val="0"/>
        <w:snapToGrid w:val="0"/>
        <w:spacing w:line="600" w:lineRule="exact"/>
        <w:ind w:firstLine="632" w:firstLineChars="200"/>
        <w:rPr>
          <w:rFonts w:hint="eastAsia" w:ascii="方正黑体_GBK" w:eastAsia="方正黑体_GBK"/>
          <w:szCs w:val="32"/>
        </w:rPr>
      </w:pPr>
      <w:r>
        <w:rPr>
          <w:rFonts w:hint="eastAsia" w:ascii="方正黑体_GBK" w:eastAsia="方正黑体_GBK"/>
          <w:szCs w:val="32"/>
        </w:rPr>
        <w:t>二、组织领导</w:t>
      </w:r>
    </w:p>
    <w:p>
      <w:pPr>
        <w:adjustRightInd w:val="0"/>
        <w:snapToGrid w:val="0"/>
        <w:spacing w:line="600" w:lineRule="exact"/>
        <w:ind w:firstLine="640"/>
        <w:rPr>
          <w:rFonts w:hint="eastAsia" w:ascii="方正仿宋_GBK" w:eastAsia="方正仿宋_GBK"/>
          <w:szCs w:val="32"/>
        </w:rPr>
      </w:pPr>
      <w:r>
        <w:rPr>
          <w:rFonts w:hint="eastAsia" w:ascii="方正仿宋_GBK" w:eastAsia="方正仿宋_GBK"/>
          <w:szCs w:val="32"/>
        </w:rPr>
        <w:t>区生态环境局成立实施监督执法正面清单工作领导小组，由张均龙局长任组长，各副局长、支队长、监测站站长任副组长，相关科室负责人为成员。领导小组下设办公室在行政执法支队，具体负责全区实施监督执法正面清单工作，推动监督执法正面清单管理制度落地。</w:t>
      </w:r>
    </w:p>
    <w:p>
      <w:pPr>
        <w:adjustRightInd w:val="0"/>
        <w:snapToGrid w:val="0"/>
        <w:spacing w:line="600" w:lineRule="exact"/>
        <w:ind w:firstLine="640"/>
        <w:rPr>
          <w:rFonts w:hint="eastAsia" w:ascii="方正黑体_GBK" w:eastAsia="方正黑体_GBK"/>
          <w:szCs w:val="32"/>
        </w:rPr>
      </w:pPr>
      <w:r>
        <w:rPr>
          <w:rFonts w:hint="eastAsia" w:ascii="方正黑体_GBK" w:eastAsia="方正黑体_GBK"/>
          <w:szCs w:val="32"/>
        </w:rPr>
        <w:t>三、工作措施</w:t>
      </w:r>
    </w:p>
    <w:p>
      <w:pPr>
        <w:adjustRightInd w:val="0"/>
        <w:snapToGrid w:val="0"/>
        <w:spacing w:line="600" w:lineRule="exact"/>
        <w:ind w:firstLine="640"/>
        <w:rPr>
          <w:rFonts w:hint="eastAsia" w:ascii="方正楷体_GBK" w:eastAsia="方正楷体_GBK"/>
          <w:szCs w:val="32"/>
        </w:rPr>
      </w:pPr>
      <w:r>
        <w:rPr>
          <w:rFonts w:hint="eastAsia" w:ascii="方正楷体_GBK" w:eastAsia="方正楷体_GBK"/>
          <w:szCs w:val="32"/>
        </w:rPr>
        <w:t>（一）建立正面清单企业台账。</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按照生态环境部及重庆市生态环境局相关文件要求，结合涪陵区实际情况，将具备以下条件的企业纳入监督执法正面清单：一是疫情防控急需的医疗卫生、物资生产企业，由国家和当地党委政府、疫情防控指挥部的认定、认可的；二是民生保障重点行业企业或与民生保障密切相关的，或者污染排放量小、环境风险低、吸纳就业能力强的，近1年内已经进行过现场执法检查且无环境违法记录的；三是重大工程项目或重点领域企业，近1年内已经进行过现场执法检查且无严重环境违法记录，或已按要求安装在线监控设备且正常运行，并与生态环境部门联网的；四是已经安装在线监控，在线监控设备与生态环境部门联网，且稳定运行，环境信用良好，近1年内无环境违法记录，且在线监控数据稳定达标的其他企业；五是企业环境信用评价结果为环保诚信企业。</w:t>
      </w:r>
    </w:p>
    <w:p>
      <w:pPr>
        <w:adjustRightInd w:val="0"/>
        <w:snapToGrid w:val="0"/>
        <w:spacing w:line="600" w:lineRule="exact"/>
        <w:ind w:firstLine="640"/>
        <w:rPr>
          <w:rFonts w:hint="eastAsia" w:ascii="方正楷体_GBK" w:eastAsia="方正楷体_GBK"/>
          <w:szCs w:val="32"/>
        </w:rPr>
      </w:pPr>
      <w:r>
        <w:rPr>
          <w:rFonts w:hint="eastAsia" w:ascii="方正楷体_GBK" w:eastAsia="方正楷体_GBK"/>
          <w:szCs w:val="32"/>
        </w:rPr>
        <w:t>（二）强化管理执法措施。</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1. 规范清单纳入、公开程序。编制修订正面清单企业名单过程中，积极听取相关部门、行业协会和社会组织意见，并进行复核。正面清单企业名单发布或调整之前，向社会公示，主动接受社会监督，将正面清单企业的名称、所在地、统一社会信用代码、所属行业、排污许可证编号（排污登记编号）、正面清单有效期等信息应向社会公开，并公布投诉举报途径。</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2.</w:t>
      </w:r>
      <w:r>
        <w:rPr>
          <w:rFonts w:hint="eastAsia" w:ascii="方正仿宋_GBK" w:eastAsia="方正仿宋_GBK"/>
          <w:b/>
          <w:szCs w:val="32"/>
        </w:rPr>
        <w:t xml:space="preserve"> </w:t>
      </w:r>
      <w:r>
        <w:rPr>
          <w:rFonts w:hint="eastAsia" w:ascii="方正仿宋_GBK" w:eastAsia="方正仿宋_GBK"/>
          <w:szCs w:val="32"/>
        </w:rPr>
        <w:t>实施清单动态管理。对不再符合纳入条件的企业及时移出正面清单企业名单。对存在恶意偷排、篡改台账记录、逃避监管等严重环境违法行为的，不得再次纳入。正面清单有效期原则为3年，在有效期内，组织对清单内企</w:t>
      </w:r>
      <w:r>
        <w:rPr>
          <w:rFonts w:hint="eastAsia" w:ascii="方正仿宋_GBK" w:eastAsia="方正仿宋_GBK"/>
          <w:spacing w:val="-6"/>
          <w:szCs w:val="32"/>
        </w:rPr>
        <w:t>业进行一次“体检式”现场帮扶，督促企业提高环境管理水平。</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3. 统筹衔接、随机抽查。做好正面清单与环保信用评价、排污许可管理、污染天气应对等制度统筹衔接。正面清单企业纳入“双随机、一公开”污染源日常监察随机抽查系统，并列入执法计划。在移动执法等信息系统中设置正面清单工作选项，实现非现场执法检查过程、减免行政处罚情况的全过程留痕和可回溯管理。</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对正面清单前3类、第5类企业，在清单实行期间被“双随机、一公开”工作中随机抽到的，可免于现场执法检查；对正面清单第4类企业，在清单实行期间，可将其作为“双随机、一公开”一般监管对象实施监管，减少抽查频次。对未纳入清单的企业，严格按照“双随机、一公开”监管工作要求，开展日常执法工作。对因管理不善导致超标排放且未主动报告、或存在其他恶意违法行为而被移出正面清单的企业，将列入“双随机、一公开”特殊监管对象，并向社会公开。</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4. 减少现场执法检查次数，健全非现场执法方式。结合“双随机、一公开”工作，切实减少各类现场调研指导和执法检查次数。对正面清单企业原则上不主动进行现场调研指导，正面清单企业被列入各类环保专项行动、专项检查范围或在“双随机、一公开”工作中随机抽中的，以非现场方式为主开展执法检查（环境风险隐患排查整治工作除外）。</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依照相关程序规范进行非现场执法，对正面清单企业实行差异化监管措施：（1）对与疫情防控物资生产、民生保障重点行业或与民生保障密切相关的、污染排放量小、吸纳就业能力强的、涉及重大工程和重点领域的管理规范、环境绩效水平高、环保诚信的企业，以非现场方式为主开展执法检查。（2）对已经安装在线监控并与生态环境部联网的企业，将在线监控数据作为监管的重要依据，落实专人负责监控平台的日常检查，发现异常情况及时处理，开展非现场检查，监督企业正常运行治污设施，坚持监管执法工作方向不变，力度不减。</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5. 规范现场执法检查程序。对群众投诉举报、媒体曝光、上级交办、在线监测数据异常或超标等非现场执法检查发现问题或线索后，经企业先行自查并提交书面报告和相关证明材料，经审核后仍需赴现场调查核实的及其他确需赴现场调查核实的正面清单企业启动现场执法检查。</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对正面清单企业现场执法检查应经本级执法机构负责同志同意，推行清单式现场执法检查。通过使用移动执法系统，减少不必要的检查和重复性资料提供，充分发挥 “12369”环保热线与属地管理交办的作用，不断规范执法检查程序。</w:t>
      </w:r>
    </w:p>
    <w:p>
      <w:pPr>
        <w:adjustRightInd w:val="0"/>
        <w:snapToGrid w:val="0"/>
        <w:spacing w:line="594" w:lineRule="exact"/>
        <w:ind w:firstLine="632" w:firstLineChars="200"/>
        <w:rPr>
          <w:rFonts w:hint="eastAsia" w:ascii="方正仿宋_GBK" w:eastAsia="方正仿宋_GBK"/>
          <w:szCs w:val="32"/>
        </w:rPr>
      </w:pPr>
      <w:r>
        <w:rPr>
          <w:rFonts w:hint="eastAsia" w:ascii="方正仿宋_GBK" w:eastAsia="方正仿宋_GBK"/>
          <w:szCs w:val="32"/>
        </w:rPr>
        <w:t>6. 严格落实企业主体责任。鼓励环境守法，及时听取企业诉求，梳理相关行业企业违法风险点，明确监管执法要求，采取生态环境普法培训、法律宣传单送法入企、专项指导帮扶等方式加强普法宣传，增强企业行为预期。根据企业需求，加强帮扶指导，及时提醒预警，引导专业机构为企业提供精细化环境管理服务，帮助企业提升环境风险管理能力。</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7. 规范行使行政处罚自由裁量权。严格依照法定权限和程序执法。审慎采取查封、扣押和限制生产、停产整治措施。正面清单企业涉嫌因非主观过错导致的违法行为，主动报告并采取有效措施及时消除的；发现的环境风险隐患及时报告并妥善处理，未造成危害结果的；初次环境违法且危害后果轻微并及时改正的；法律法规规定的其他符合免于处罚情形等环境违法行为，可以依法不予行政处罚。</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科学合理配置执法资源，对损害人民群众环境权益、影响生态环境质量和污染防治攻坚战推进的重大环境问题、偷排偷放、恶意排污、拒不整改、监测数据弄虚作假，以及涉疫情医疗废物、医疗废水，侵害群众健康、群众反映强烈、严重污染环境的环境违法犯罪行为，要坚决依法从严从重处罚，涉嫌犯罪的要依法移送公安机关，公开曝光。</w:t>
      </w:r>
    </w:p>
    <w:p>
      <w:pPr>
        <w:adjustRightInd w:val="0"/>
        <w:snapToGrid w:val="0"/>
        <w:spacing w:line="600" w:lineRule="exact"/>
        <w:ind w:firstLine="632" w:firstLineChars="200"/>
        <w:rPr>
          <w:rFonts w:hint="eastAsia" w:ascii="方正黑体_GBK" w:eastAsia="方正黑体_GBK"/>
          <w:szCs w:val="32"/>
        </w:rPr>
      </w:pPr>
      <w:r>
        <w:rPr>
          <w:rFonts w:hint="eastAsia" w:ascii="方正黑体_GBK" w:eastAsia="方正黑体_GBK"/>
          <w:szCs w:val="32"/>
        </w:rPr>
        <w:t>四、工作要求</w:t>
      </w:r>
    </w:p>
    <w:p>
      <w:pPr>
        <w:adjustRightInd w:val="0"/>
        <w:snapToGrid w:val="0"/>
        <w:spacing w:line="600" w:lineRule="exact"/>
        <w:ind w:firstLine="632" w:firstLineChars="200"/>
        <w:rPr>
          <w:rFonts w:hint="eastAsia" w:ascii="方正楷体_GBK" w:eastAsia="方正楷体_GBK"/>
          <w:szCs w:val="32"/>
        </w:rPr>
      </w:pPr>
      <w:r>
        <w:rPr>
          <w:rFonts w:hint="eastAsia" w:ascii="方正楷体_GBK" w:eastAsia="方正楷体_GBK"/>
          <w:szCs w:val="32"/>
        </w:rPr>
        <w:t>（一）强化信息报送。</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各单位、乡镇</w:t>
      </w:r>
      <w:r>
        <w:rPr>
          <w:rFonts w:hint="eastAsia" w:ascii="方正仿宋_GBK" w:eastAsia="方正仿宋_GBK" w:cs="方正仿宋_GBK"/>
        </w:rPr>
        <w:t>（街道）、园区</w:t>
      </w:r>
      <w:r>
        <w:rPr>
          <w:rFonts w:hint="eastAsia" w:ascii="方正仿宋_GBK" w:eastAsia="方正仿宋_GBK"/>
          <w:szCs w:val="32"/>
        </w:rPr>
        <w:t xml:space="preserve">于每季度末月20日前将《落实监督执法正面清单工作情况表》（附件1）季度数据、关于落实正面清单工作中的亮点、成效稿件和依法履职查处的重大违法典型案例，提交联系人汇总上报。于2021年11月30日前，报送落实正面清单年度工作总结和《落实监督执法正面清单工作情况表》（附件1）年度数据。 </w:t>
      </w:r>
    </w:p>
    <w:p>
      <w:pPr>
        <w:adjustRightInd w:val="0"/>
        <w:snapToGrid w:val="0"/>
        <w:spacing w:line="600" w:lineRule="exact"/>
        <w:ind w:firstLine="632" w:firstLineChars="200"/>
        <w:rPr>
          <w:rFonts w:ascii="方正楷体_GBK" w:eastAsia="方正楷体_GBK"/>
          <w:szCs w:val="32"/>
        </w:rPr>
      </w:pPr>
      <w:r>
        <w:rPr>
          <w:rFonts w:hint="eastAsia" w:ascii="方正楷体_GBK" w:eastAsia="方正楷体_GBK"/>
          <w:szCs w:val="32"/>
        </w:rPr>
        <w:t>（二）强化宣传引导。</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各单位要将执法与普法、执法与服务相结合，大力开展“送法入企”活动，充分利用电话、短信、微信等方式加大宣传，协同做好环境保护法律法规宣贯和监督执法正面清单的宣传工作，营造生态环境守法氛围，增强守法经营企业的获得感。指导帮助企业加强环境管理，开展环境安全隐患排查，落实各项污染防治措施，确保污染防治设施和在线监控设施正常稳定运行，污染物达标排放，打赢污染防治攻坚战。</w:t>
      </w:r>
    </w:p>
    <w:p>
      <w:pPr>
        <w:adjustRightInd w:val="0"/>
        <w:snapToGrid w:val="0"/>
        <w:spacing w:line="600" w:lineRule="exact"/>
        <w:ind w:firstLine="632" w:firstLineChars="200"/>
        <w:rPr>
          <w:rFonts w:hint="eastAsia" w:ascii="方正仿宋_GBK" w:eastAsia="方正仿宋_GBK"/>
          <w:szCs w:val="32"/>
        </w:rPr>
      </w:pPr>
      <w:r>
        <w:rPr>
          <w:rFonts w:hint="eastAsia" w:ascii="方正仿宋_GBK" w:eastAsia="方正仿宋_GBK"/>
          <w:szCs w:val="32"/>
        </w:rPr>
        <w:t>联系人：左小丽；联系电话：72899945；电子邮箱：280900271@qq.com。</w:t>
      </w:r>
    </w:p>
    <w:p>
      <w:pPr>
        <w:adjustRightInd w:val="0"/>
        <w:snapToGrid w:val="0"/>
        <w:spacing w:line="600" w:lineRule="exact"/>
        <w:ind w:firstLine="632" w:firstLineChars="200"/>
        <w:rPr>
          <w:rFonts w:hint="eastAsia" w:ascii="方正仿宋_GBK" w:eastAsia="方正仿宋_GBK"/>
          <w:szCs w:val="32"/>
        </w:rPr>
      </w:pPr>
    </w:p>
    <w:p>
      <w:pPr>
        <w:spacing w:line="600" w:lineRule="exact"/>
        <w:jc w:val="center"/>
        <w:outlineLvl w:val="0"/>
        <w:rPr>
          <w:rFonts w:hint="eastAsia" w:ascii="方正仿宋_GBK" w:eastAsia="方正仿宋_GBK"/>
          <w:sz w:val="36"/>
          <w:szCs w:val="36"/>
        </w:rPr>
      </w:pPr>
      <w:r>
        <w:rPr>
          <w:rFonts w:hint="eastAsia" w:ascii="方正仿宋_GBK" w:eastAsia="方正仿宋_GBK"/>
          <w:szCs w:val="32"/>
        </w:rPr>
        <w:t>附件: 1.重庆市涪陵区生态环保领域监督执法正面清单</w:t>
      </w:r>
    </w:p>
    <w:p>
      <w:pPr>
        <w:adjustRightInd w:val="0"/>
        <w:snapToGrid w:val="0"/>
        <w:spacing w:line="600" w:lineRule="exact"/>
        <w:ind w:firstLine="1571" w:firstLineChars="497"/>
        <w:rPr>
          <w:rFonts w:hint="eastAsia" w:ascii="方正仿宋_GBK" w:eastAsia="方正仿宋_GBK"/>
          <w:szCs w:val="32"/>
        </w:rPr>
      </w:pPr>
      <w:r>
        <w:rPr>
          <w:rFonts w:hint="eastAsia" w:ascii="方正仿宋_GBK" w:eastAsia="方正仿宋_GBK"/>
          <w:szCs w:val="32"/>
        </w:rPr>
        <w:t>2.落实监督执法正面清单工作情况表</w:t>
      </w:r>
    </w:p>
    <w:p>
      <w:pPr>
        <w:adjustRightInd w:val="0"/>
        <w:snapToGrid w:val="0"/>
        <w:spacing w:line="600" w:lineRule="exact"/>
        <w:ind w:firstLine="1577" w:firstLineChars="499"/>
        <w:rPr>
          <w:rFonts w:hint="eastAsia" w:ascii="方正仿宋_GBK" w:eastAsia="方正仿宋_GBK"/>
          <w:szCs w:val="32"/>
        </w:rPr>
      </w:pPr>
      <w:r>
        <w:rPr>
          <w:rFonts w:hint="eastAsia" w:ascii="方正仿宋_GBK" w:eastAsia="方正仿宋_GBK"/>
          <w:szCs w:val="32"/>
        </w:rPr>
        <w:t>3.监督执法正面清单企业列表</w:t>
      </w:r>
    </w:p>
    <w:p>
      <w:pPr>
        <w:widowControl/>
        <w:spacing w:line="600" w:lineRule="exact"/>
        <w:jc w:val="left"/>
        <w:rPr>
          <w:rFonts w:hint="eastAsia" w:ascii="方正仿宋_GBK" w:eastAsia="方正仿宋_GBK"/>
          <w:szCs w:val="32"/>
        </w:rPr>
        <w:sectPr>
          <w:footerReference r:id="rId3" w:type="default"/>
          <w:footerReference r:id="rId4" w:type="even"/>
          <w:pgSz w:w="11907" w:h="16840"/>
          <w:pgMar w:top="2098" w:right="1474" w:bottom="1985" w:left="1588" w:header="851" w:footer="1474" w:gutter="0"/>
          <w:pgNumType w:fmt="numberInDash"/>
          <w:cols w:space="720" w:num="1"/>
          <w:docGrid w:type="linesAndChars" w:linePitch="579" w:charSpace="-842"/>
        </w:sectPr>
      </w:pPr>
    </w:p>
    <w:p>
      <w:pPr>
        <w:widowControl/>
        <w:spacing w:line="600" w:lineRule="exact"/>
        <w:jc w:val="left"/>
        <w:rPr>
          <w:rFonts w:ascii="方正黑体_GBK" w:hAnsi="Calibri" w:eastAsia="方正黑体_GBK"/>
          <w:szCs w:val="32"/>
        </w:rPr>
      </w:pPr>
      <w:r>
        <w:rPr>
          <w:rFonts w:hint="eastAsia" w:ascii="方正黑体_GBK" w:hAnsi="Calibri" w:eastAsia="方正黑体_GBK"/>
          <w:szCs w:val="32"/>
        </w:rPr>
        <w:t>附件1</w:t>
      </w:r>
    </w:p>
    <w:p>
      <w:pPr>
        <w:spacing w:line="600" w:lineRule="exact"/>
        <w:jc w:val="center"/>
        <w:outlineLvl w:val="0"/>
        <w:rPr>
          <w:rFonts w:ascii="方正小标宋_GBK" w:hAnsi="Calibri" w:eastAsia="方正小标宋_GBK"/>
          <w:sz w:val="36"/>
          <w:szCs w:val="36"/>
        </w:rPr>
      </w:pPr>
      <w:r>
        <w:rPr>
          <w:rFonts w:hint="eastAsia" w:ascii="方正小标宋_GBK" w:hAnsi="Calibri" w:eastAsia="方正小标宋_GBK"/>
          <w:sz w:val="36"/>
          <w:szCs w:val="36"/>
        </w:rPr>
        <w:t>涪陵区生态环保领域监督执法正面清单</w:t>
      </w:r>
    </w:p>
    <w:p>
      <w:pPr>
        <w:snapToGrid w:val="0"/>
        <w:spacing w:line="600" w:lineRule="exact"/>
        <w:jc w:val="center"/>
        <w:rPr>
          <w:rFonts w:ascii="Calibri" w:hAnsi="Calibri"/>
          <w:szCs w:val="32"/>
        </w:rPr>
      </w:pPr>
      <w:r>
        <w:rPr>
          <w:rFonts w:ascii="Calibri" w:hAnsi="Calibri"/>
          <w:szCs w:val="32"/>
        </w:rPr>
        <w:t xml:space="preserve"> </w:t>
      </w:r>
    </w:p>
    <w:tbl>
      <w:tblPr>
        <w:tblStyle w:val="7"/>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9"/>
        <w:gridCol w:w="1418"/>
        <w:gridCol w:w="2857"/>
        <w:gridCol w:w="289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1"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类别</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行业</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纳入条件</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Calibri" w:eastAsia="方正仿宋_GBK"/>
                <w:sz w:val="24"/>
              </w:rPr>
            </w:pPr>
            <w:r>
              <w:rPr>
                <w:rFonts w:hint="eastAsia" w:ascii="方正仿宋_GBK" w:hAnsi="Calibri" w:eastAsia="方正仿宋_GBK"/>
                <w:sz w:val="24"/>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疫情防控急需的医疗卫生、物资生产企业(1类)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口罩、防护服、消毒液、医药、医疗设备等医疗卫生、物资生产企业</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由国家和地方党委政府、疫情防控指挥部认定、认可的，可纳入清单</w:t>
            </w:r>
          </w:p>
        </w:tc>
        <w:tc>
          <w:tcPr>
            <w:tcW w:w="17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以非现场执法的方式为主开展执法监管（环境风险隐患排查整治工作除外），除投诉举报、媒体曝光、上级交办、在线监测数据异常或超标问题或线索经审核后仍需现场调查核实等情形外，一般不进行现场执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367" w:hRule="atLeast"/>
          <w:jc w:val="center"/>
        </w:trPr>
        <w:tc>
          <w:tcPr>
            <w:tcW w:w="63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Calibri" w:eastAsia="方正仿宋_GBK"/>
                <w:sz w:val="24"/>
              </w:rPr>
            </w:pPr>
            <w:r>
              <w:rPr>
                <w:rFonts w:hint="eastAsia" w:ascii="方正仿宋_GBK" w:hAnsi="Calibri" w:eastAsia="方正仿宋_GBK"/>
                <w:sz w:val="24"/>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民生保障重点行业企业或与民生保障密切相关的企业（2类）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畜禽养殖、屠宰及肉类加工、农副食品加工、食品制造、电力、燃气与民生保障直接相关的企业</w:t>
            </w:r>
          </w:p>
        </w:tc>
        <w:tc>
          <w:tcPr>
            <w:tcW w:w="28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近一年内已经进行过现场执法检查且无环境违法记录的企业，可纳入清单</w:t>
            </w:r>
          </w:p>
        </w:tc>
        <w:tc>
          <w:tcPr>
            <w:tcW w:w="17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813" w:hRule="atLeast"/>
          <w:jc w:val="center"/>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Calibri" w:eastAsia="方正仿宋_GBK"/>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污染排放小、环境风险低、吸纳就业能力强的企业（2类）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计算机、通信电子、机械加工等污染小的技术密集型和劳动密集型行业企业，以及餐饮、娱乐、洗浴、汽车销售和维修等服务业企业</w:t>
            </w:r>
          </w:p>
        </w:tc>
        <w:tc>
          <w:tcPr>
            <w:tcW w:w="289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c>
          <w:tcPr>
            <w:tcW w:w="17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40" w:hRule="atLeast"/>
          <w:jc w:val="center"/>
        </w:trPr>
        <w:tc>
          <w:tcPr>
            <w:tcW w:w="639"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Calibri" w:eastAsia="方正仿宋_GBK"/>
                <w:sz w:val="24"/>
              </w:rPr>
            </w:pPr>
            <w:r>
              <w:rPr>
                <w:rFonts w:hint="eastAsia" w:ascii="方正仿宋_GBK" w:hAnsi="Calibri" w:eastAsia="方正仿宋_GBK"/>
                <w:sz w:val="24"/>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重大工程项目（3类）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交通基建、水利工程等国家或地方重大项目</w:t>
            </w:r>
          </w:p>
        </w:tc>
        <w:tc>
          <w:tcPr>
            <w:tcW w:w="28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近一年内已经进行过现场执法检查且无严重环境违法记录，或按要求安装在线监控设备且正常运行，并与生态环境部门联网的企业，可纳入清单</w:t>
            </w:r>
          </w:p>
        </w:tc>
        <w:tc>
          <w:tcPr>
            <w:tcW w:w="17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07" w:hRule="atLeast"/>
          <w:jc w:val="center"/>
        </w:trPr>
        <w:tc>
          <w:tcPr>
            <w:tcW w:w="6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Calibri" w:eastAsia="方正仿宋_GBK"/>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重点领域企业（3类）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汽车制造，铁路、船舶、航空航天、电力装备制造等领域企业</w:t>
            </w:r>
          </w:p>
        </w:tc>
        <w:tc>
          <w:tcPr>
            <w:tcW w:w="289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c>
          <w:tcPr>
            <w:tcW w:w="175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859"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Calibri" w:eastAsia="方正仿宋_GBK"/>
                <w:sz w:val="24"/>
              </w:rPr>
            </w:pPr>
            <w:r>
              <w:rPr>
                <w:rFonts w:hint="eastAsia" w:ascii="方正仿宋_GBK" w:hAnsi="Calibri" w:eastAsia="方正仿宋_GBK"/>
                <w:sz w:val="24"/>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已经安装在线监控的其他企业（4类）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在线监控设备与生态环境部门联网，且稳定运行的企业</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稳定运行、环境信用良好，近一年内无环境违法记录，且在线监控数据稳定达标的企业，可不将其作为“双随机、一公开”重点监管对象</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将在线监控数据作为监管的重要依据，以非现场执法的方式开展执法监管为主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265"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hint="eastAsia" w:ascii="方正仿宋_GBK" w:hAnsi="Calibri" w:eastAsia="方正仿宋_GBK"/>
                <w:sz w:val="24"/>
              </w:rPr>
            </w:pPr>
            <w:r>
              <w:rPr>
                <w:rFonts w:hint="eastAsia" w:ascii="方正仿宋_GBK" w:hAnsi="Calibri" w:eastAsia="方正仿宋_GBK"/>
                <w:sz w:val="24"/>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环保诚信企业（5类）</w:t>
            </w:r>
          </w:p>
        </w:tc>
        <w:tc>
          <w:tcPr>
            <w:tcW w:w="28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企业环境信用评价结果为环保诚信的企业</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企业环境信用评价结果为环保诚信的企业 ，可纳入清单</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仿宋_GBK" w:eastAsia="方正仿宋_GBK"/>
                <w:sz w:val="24"/>
              </w:rPr>
            </w:pPr>
            <w:r>
              <w:rPr>
                <w:rFonts w:hint="eastAsia" w:ascii="方正仿宋_GBK" w:eastAsia="方正仿宋_GBK"/>
                <w:sz w:val="24"/>
              </w:rPr>
              <w:t>以非现场执法的方式开展执法监管为主</w:t>
            </w:r>
          </w:p>
        </w:tc>
      </w:tr>
    </w:tbl>
    <w:p>
      <w:pPr>
        <w:widowControl/>
        <w:jc w:val="left"/>
        <w:rPr>
          <w:rFonts w:ascii="方正黑体_GBK" w:eastAsia="方正黑体_GBK"/>
          <w:szCs w:val="32"/>
        </w:rPr>
        <w:sectPr>
          <w:pgSz w:w="11907" w:h="16840"/>
          <w:pgMar w:top="2098" w:right="1474" w:bottom="1985" w:left="1588" w:header="851" w:footer="1474" w:gutter="0"/>
          <w:pgNumType w:fmt="numberInDash"/>
          <w:cols w:space="720" w:num="1"/>
          <w:docGrid w:type="linesAndChars" w:linePitch="579" w:charSpace="-842"/>
        </w:sectPr>
      </w:pPr>
    </w:p>
    <w:p>
      <w:pPr>
        <w:widowControl/>
        <w:spacing w:line="600" w:lineRule="exact"/>
        <w:jc w:val="left"/>
        <w:rPr>
          <w:rFonts w:hint="eastAsia" w:ascii="方正黑体_GBK" w:eastAsia="方正黑体_GBK"/>
          <w:szCs w:val="32"/>
        </w:rPr>
      </w:pPr>
      <w:r>
        <w:rPr>
          <w:rFonts w:hint="eastAsia" w:ascii="方正黑体_GBK" w:eastAsia="方正黑体_GBK"/>
          <w:szCs w:val="32"/>
        </w:rPr>
        <w:t>附件2</w:t>
      </w:r>
    </w:p>
    <w:p>
      <w:pPr>
        <w:widowControl/>
        <w:spacing w:line="600" w:lineRule="exact"/>
        <w:jc w:val="left"/>
        <w:rPr>
          <w:rFonts w:eastAsia="方正仿宋_GBK"/>
          <w:szCs w:val="32"/>
        </w:rPr>
      </w:pPr>
    </w:p>
    <w:p>
      <w:pPr>
        <w:snapToGrid w:val="0"/>
        <w:spacing w:after="289" w:afterLines="50"/>
        <w:jc w:val="center"/>
        <w:rPr>
          <w:rFonts w:eastAsia="方正小标宋简体"/>
          <w:sz w:val="36"/>
          <w:szCs w:val="36"/>
        </w:rPr>
      </w:pPr>
      <w:r>
        <w:rPr>
          <w:rFonts w:hint="eastAsia" w:eastAsia="方正小标宋_GBK" w:cs="方正小标宋_GBK"/>
          <w:sz w:val="36"/>
          <w:szCs w:val="36"/>
        </w:rPr>
        <w:t>落实监督执法正面清单工作情况表</w:t>
      </w:r>
    </w:p>
    <w:p>
      <w:pPr>
        <w:spacing w:line="400" w:lineRule="exact"/>
        <w:ind w:left="-73" w:leftChars="-67" w:hanging="141" w:hangingChars="59"/>
        <w:jc w:val="left"/>
        <w:rPr>
          <w:sz w:val="24"/>
          <w:szCs w:val="22"/>
        </w:rPr>
      </w:pPr>
      <w:r>
        <w:rPr>
          <w:rFonts w:hint="eastAsia" w:eastAsia="方正仿宋_GBK" w:cs="方正仿宋_GBK"/>
          <w:sz w:val="24"/>
          <w:szCs w:val="22"/>
        </w:rPr>
        <w:t>填报单位：                       填报时间：                       联系人：                  电  话：</w:t>
      </w:r>
      <w:r>
        <w:rPr>
          <w:sz w:val="24"/>
          <w:szCs w:val="22"/>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50"/>
        <w:gridCol w:w="1276"/>
        <w:gridCol w:w="1276"/>
        <w:gridCol w:w="829"/>
        <w:gridCol w:w="830"/>
        <w:gridCol w:w="829"/>
        <w:gridCol w:w="830"/>
        <w:gridCol w:w="1016"/>
        <w:gridCol w:w="1134"/>
        <w:gridCol w:w="992"/>
        <w:gridCol w:w="992"/>
        <w:gridCol w:w="111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823"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地市</w:t>
            </w:r>
          </w:p>
        </w:tc>
        <w:tc>
          <w:tcPr>
            <w:tcW w:w="850"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纳入清单企业数量（个）</w:t>
            </w:r>
          </w:p>
        </w:tc>
        <w:tc>
          <w:tcPr>
            <w:tcW w:w="1276"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配套、细化措施（发文）数量（件）</w:t>
            </w:r>
          </w:p>
        </w:tc>
        <w:tc>
          <w:tcPr>
            <w:tcW w:w="1276"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对清单内企业开展现场监管执法次数（次）</w:t>
            </w:r>
          </w:p>
        </w:tc>
        <w:tc>
          <w:tcPr>
            <w:tcW w:w="3318" w:type="dxa"/>
            <w:gridSpan w:val="4"/>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清单内企业非现场检查次数（家次）</w:t>
            </w:r>
          </w:p>
        </w:tc>
        <w:tc>
          <w:tcPr>
            <w:tcW w:w="1016"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通过非现场方式发现问题数量（个）</w:t>
            </w:r>
          </w:p>
        </w:tc>
        <w:tc>
          <w:tcPr>
            <w:tcW w:w="1134" w:type="dxa"/>
            <w:vMerge w:val="restart"/>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清单内企业环境违法立案处罚数量（件）</w:t>
            </w:r>
          </w:p>
        </w:tc>
        <w:tc>
          <w:tcPr>
            <w:tcW w:w="1984" w:type="dxa"/>
            <w:gridSpan w:val="2"/>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减免处罚次数（次）</w:t>
            </w:r>
          </w:p>
        </w:tc>
        <w:tc>
          <w:tcPr>
            <w:tcW w:w="2670" w:type="dxa"/>
            <w:gridSpan w:val="3"/>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执法部门服务企业次数</w:t>
            </w:r>
          </w:p>
          <w:p>
            <w:pPr>
              <w:spacing w:line="320" w:lineRule="exact"/>
              <w:jc w:val="center"/>
              <w:rPr>
                <w:rFonts w:hint="eastAsia" w:ascii="方正黑体_GBK" w:eastAsia="方正黑体_GBK"/>
                <w:sz w:val="24"/>
              </w:rPr>
            </w:pPr>
            <w:r>
              <w:rPr>
                <w:rFonts w:hint="eastAsia" w:ascii="方正黑体_GBK" w:eastAsia="方正黑体_GBK"/>
                <w:sz w:val="24"/>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23" w:type="dxa"/>
            <w:vMerge w:val="continue"/>
            <w:noWrap w:val="0"/>
            <w:vAlign w:val="center"/>
          </w:tcPr>
          <w:p>
            <w:pPr>
              <w:spacing w:line="320" w:lineRule="exact"/>
              <w:jc w:val="center"/>
              <w:rPr>
                <w:rFonts w:hint="eastAsia" w:ascii="方正黑体_GBK" w:eastAsia="方正黑体_GBK"/>
                <w:sz w:val="24"/>
              </w:rPr>
            </w:pPr>
          </w:p>
        </w:tc>
        <w:tc>
          <w:tcPr>
            <w:tcW w:w="850" w:type="dxa"/>
            <w:vMerge w:val="continue"/>
            <w:noWrap w:val="0"/>
            <w:vAlign w:val="center"/>
          </w:tcPr>
          <w:p>
            <w:pPr>
              <w:spacing w:line="320" w:lineRule="exact"/>
              <w:jc w:val="center"/>
              <w:rPr>
                <w:rFonts w:hint="eastAsia" w:ascii="方正黑体_GBK" w:eastAsia="方正黑体_GBK"/>
                <w:sz w:val="24"/>
              </w:rPr>
            </w:pPr>
          </w:p>
        </w:tc>
        <w:tc>
          <w:tcPr>
            <w:tcW w:w="1276" w:type="dxa"/>
            <w:vMerge w:val="continue"/>
            <w:noWrap w:val="0"/>
            <w:vAlign w:val="center"/>
          </w:tcPr>
          <w:p>
            <w:pPr>
              <w:spacing w:line="320" w:lineRule="exact"/>
              <w:jc w:val="center"/>
              <w:rPr>
                <w:rFonts w:hint="eastAsia" w:ascii="方正黑体_GBK" w:eastAsia="方正黑体_GBK"/>
                <w:sz w:val="24"/>
              </w:rPr>
            </w:pPr>
          </w:p>
        </w:tc>
        <w:tc>
          <w:tcPr>
            <w:tcW w:w="1276" w:type="dxa"/>
            <w:vMerge w:val="continue"/>
            <w:noWrap w:val="0"/>
            <w:vAlign w:val="top"/>
          </w:tcPr>
          <w:p>
            <w:pPr>
              <w:spacing w:line="320" w:lineRule="exact"/>
              <w:jc w:val="center"/>
              <w:rPr>
                <w:rFonts w:hint="eastAsia" w:ascii="方正黑体_GBK" w:eastAsia="方正黑体_GBK"/>
                <w:sz w:val="24"/>
              </w:rPr>
            </w:pPr>
          </w:p>
        </w:tc>
        <w:tc>
          <w:tcPr>
            <w:tcW w:w="829"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在线监控、视频监控</w:t>
            </w:r>
          </w:p>
        </w:tc>
        <w:tc>
          <w:tcPr>
            <w:tcW w:w="830"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遥感、无人机</w:t>
            </w:r>
          </w:p>
        </w:tc>
        <w:tc>
          <w:tcPr>
            <w:tcW w:w="829"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用电、用能监控</w:t>
            </w:r>
          </w:p>
        </w:tc>
        <w:tc>
          <w:tcPr>
            <w:tcW w:w="830"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其他方式</w:t>
            </w:r>
          </w:p>
        </w:tc>
        <w:tc>
          <w:tcPr>
            <w:tcW w:w="1016" w:type="dxa"/>
            <w:vMerge w:val="continue"/>
            <w:noWrap w:val="0"/>
            <w:vAlign w:val="center"/>
          </w:tcPr>
          <w:p>
            <w:pPr>
              <w:spacing w:line="320" w:lineRule="exact"/>
              <w:jc w:val="center"/>
              <w:rPr>
                <w:rFonts w:hint="eastAsia" w:ascii="方正黑体_GBK" w:eastAsia="方正黑体_GBK"/>
                <w:sz w:val="24"/>
              </w:rPr>
            </w:pPr>
          </w:p>
        </w:tc>
        <w:tc>
          <w:tcPr>
            <w:tcW w:w="1134" w:type="dxa"/>
            <w:vMerge w:val="continue"/>
            <w:noWrap w:val="0"/>
            <w:vAlign w:val="center"/>
          </w:tcPr>
          <w:p>
            <w:pPr>
              <w:spacing w:line="320" w:lineRule="exact"/>
              <w:jc w:val="center"/>
              <w:rPr>
                <w:rFonts w:hint="eastAsia" w:ascii="方正黑体_GBK" w:eastAsia="方正黑体_GBK"/>
                <w:sz w:val="24"/>
              </w:rPr>
            </w:pPr>
          </w:p>
        </w:tc>
        <w:tc>
          <w:tcPr>
            <w:tcW w:w="992"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清单内企业</w:t>
            </w:r>
          </w:p>
        </w:tc>
        <w:tc>
          <w:tcPr>
            <w:tcW w:w="992"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非清单内企业</w:t>
            </w:r>
          </w:p>
        </w:tc>
        <w:tc>
          <w:tcPr>
            <w:tcW w:w="1111"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电话、网络等</w:t>
            </w:r>
          </w:p>
        </w:tc>
        <w:tc>
          <w:tcPr>
            <w:tcW w:w="709"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现场帮扶</w:t>
            </w:r>
          </w:p>
        </w:tc>
        <w:tc>
          <w:tcPr>
            <w:tcW w:w="850" w:type="dxa"/>
            <w:noWrap w:val="0"/>
            <w:vAlign w:val="center"/>
          </w:tcPr>
          <w:p>
            <w:pPr>
              <w:spacing w:line="320" w:lineRule="exact"/>
              <w:jc w:val="center"/>
              <w:rPr>
                <w:rFonts w:hint="eastAsia" w:ascii="方正黑体_GBK" w:eastAsia="方正黑体_GBK"/>
                <w:sz w:val="24"/>
              </w:rPr>
            </w:pPr>
            <w:r>
              <w:rPr>
                <w:rFonts w:hint="eastAsia" w:ascii="方正黑体_GBK" w:eastAsia="方正黑体_GBK"/>
                <w:sz w:val="24"/>
              </w:rPr>
              <w:t>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23" w:type="dxa"/>
            <w:noWrap w:val="0"/>
            <w:vAlign w:val="center"/>
          </w:tcPr>
          <w:p>
            <w:pPr>
              <w:snapToGrid w:val="0"/>
              <w:spacing w:line="400" w:lineRule="exact"/>
              <w:jc w:val="center"/>
              <w:rPr>
                <w:rFonts w:eastAsia="方正仿宋_GBK"/>
                <w:sz w:val="24"/>
                <w:szCs w:val="22"/>
              </w:rPr>
            </w:pPr>
            <w:r>
              <w:rPr>
                <w:rFonts w:eastAsia="方正仿宋_GBK"/>
                <w:sz w:val="22"/>
                <w:szCs w:val="22"/>
              </w:rPr>
              <w:t>重庆市**区</w:t>
            </w:r>
          </w:p>
        </w:tc>
        <w:tc>
          <w:tcPr>
            <w:tcW w:w="850" w:type="dxa"/>
            <w:noWrap w:val="0"/>
            <w:vAlign w:val="center"/>
          </w:tcPr>
          <w:p>
            <w:pPr>
              <w:snapToGrid w:val="0"/>
              <w:spacing w:line="400" w:lineRule="exact"/>
              <w:jc w:val="center"/>
              <w:rPr>
                <w:rFonts w:eastAsia="方正仿宋_GBK"/>
                <w:sz w:val="24"/>
                <w:szCs w:val="22"/>
              </w:rPr>
            </w:pPr>
          </w:p>
        </w:tc>
        <w:tc>
          <w:tcPr>
            <w:tcW w:w="1276" w:type="dxa"/>
            <w:noWrap w:val="0"/>
            <w:vAlign w:val="center"/>
          </w:tcPr>
          <w:p>
            <w:pPr>
              <w:snapToGrid w:val="0"/>
              <w:spacing w:line="400" w:lineRule="exact"/>
              <w:jc w:val="center"/>
              <w:rPr>
                <w:rFonts w:eastAsia="方正仿宋_GBK"/>
                <w:sz w:val="24"/>
                <w:szCs w:val="22"/>
              </w:rPr>
            </w:pPr>
          </w:p>
        </w:tc>
        <w:tc>
          <w:tcPr>
            <w:tcW w:w="1276" w:type="dxa"/>
            <w:noWrap w:val="0"/>
            <w:vAlign w:val="center"/>
          </w:tcPr>
          <w:p>
            <w:pPr>
              <w:snapToGrid w:val="0"/>
              <w:spacing w:line="400" w:lineRule="exact"/>
              <w:jc w:val="center"/>
              <w:rPr>
                <w:rFonts w:eastAsia="方正仿宋_GBK"/>
                <w:sz w:val="24"/>
                <w:szCs w:val="22"/>
              </w:rPr>
            </w:pPr>
          </w:p>
        </w:tc>
        <w:tc>
          <w:tcPr>
            <w:tcW w:w="829" w:type="dxa"/>
            <w:noWrap w:val="0"/>
            <w:vAlign w:val="center"/>
          </w:tcPr>
          <w:p>
            <w:pPr>
              <w:snapToGrid w:val="0"/>
              <w:spacing w:line="400" w:lineRule="exact"/>
              <w:jc w:val="center"/>
              <w:rPr>
                <w:rFonts w:eastAsia="方正仿宋_GBK"/>
                <w:sz w:val="24"/>
                <w:szCs w:val="22"/>
              </w:rPr>
            </w:pPr>
          </w:p>
        </w:tc>
        <w:tc>
          <w:tcPr>
            <w:tcW w:w="830" w:type="dxa"/>
            <w:noWrap w:val="0"/>
            <w:vAlign w:val="center"/>
          </w:tcPr>
          <w:p>
            <w:pPr>
              <w:snapToGrid w:val="0"/>
              <w:spacing w:line="400" w:lineRule="exact"/>
              <w:jc w:val="center"/>
              <w:rPr>
                <w:rFonts w:eastAsia="方正仿宋_GBK"/>
                <w:sz w:val="24"/>
                <w:szCs w:val="22"/>
              </w:rPr>
            </w:pPr>
          </w:p>
        </w:tc>
        <w:tc>
          <w:tcPr>
            <w:tcW w:w="829" w:type="dxa"/>
            <w:noWrap w:val="0"/>
            <w:vAlign w:val="center"/>
          </w:tcPr>
          <w:p>
            <w:pPr>
              <w:snapToGrid w:val="0"/>
              <w:spacing w:line="400" w:lineRule="exact"/>
              <w:jc w:val="center"/>
              <w:rPr>
                <w:rFonts w:eastAsia="方正仿宋_GBK"/>
                <w:sz w:val="24"/>
                <w:szCs w:val="22"/>
              </w:rPr>
            </w:pPr>
          </w:p>
        </w:tc>
        <w:tc>
          <w:tcPr>
            <w:tcW w:w="830" w:type="dxa"/>
            <w:noWrap w:val="0"/>
            <w:vAlign w:val="center"/>
          </w:tcPr>
          <w:p>
            <w:pPr>
              <w:snapToGrid w:val="0"/>
              <w:spacing w:line="400" w:lineRule="exact"/>
              <w:jc w:val="center"/>
              <w:rPr>
                <w:rFonts w:eastAsia="方正仿宋_GBK"/>
                <w:sz w:val="24"/>
                <w:szCs w:val="22"/>
              </w:rPr>
            </w:pPr>
          </w:p>
        </w:tc>
        <w:tc>
          <w:tcPr>
            <w:tcW w:w="1016" w:type="dxa"/>
            <w:noWrap w:val="0"/>
            <w:vAlign w:val="center"/>
          </w:tcPr>
          <w:p>
            <w:pPr>
              <w:snapToGrid w:val="0"/>
              <w:spacing w:line="400" w:lineRule="exact"/>
              <w:jc w:val="center"/>
              <w:rPr>
                <w:rFonts w:eastAsia="方正仿宋_GBK"/>
                <w:sz w:val="24"/>
                <w:szCs w:val="22"/>
              </w:rPr>
            </w:pPr>
          </w:p>
        </w:tc>
        <w:tc>
          <w:tcPr>
            <w:tcW w:w="1134" w:type="dxa"/>
            <w:noWrap w:val="0"/>
            <w:vAlign w:val="center"/>
          </w:tcPr>
          <w:p>
            <w:pPr>
              <w:snapToGrid w:val="0"/>
              <w:spacing w:line="400" w:lineRule="exact"/>
              <w:jc w:val="center"/>
              <w:rPr>
                <w:rFonts w:eastAsia="方正仿宋_GBK"/>
                <w:sz w:val="24"/>
                <w:szCs w:val="22"/>
              </w:rPr>
            </w:pPr>
          </w:p>
        </w:tc>
        <w:tc>
          <w:tcPr>
            <w:tcW w:w="992" w:type="dxa"/>
            <w:noWrap w:val="0"/>
            <w:vAlign w:val="center"/>
          </w:tcPr>
          <w:p>
            <w:pPr>
              <w:snapToGrid w:val="0"/>
              <w:spacing w:line="400" w:lineRule="exact"/>
              <w:jc w:val="center"/>
              <w:rPr>
                <w:rFonts w:eastAsia="方正仿宋_GBK"/>
                <w:sz w:val="24"/>
                <w:szCs w:val="22"/>
              </w:rPr>
            </w:pPr>
          </w:p>
        </w:tc>
        <w:tc>
          <w:tcPr>
            <w:tcW w:w="992" w:type="dxa"/>
            <w:noWrap w:val="0"/>
            <w:vAlign w:val="center"/>
          </w:tcPr>
          <w:p>
            <w:pPr>
              <w:snapToGrid w:val="0"/>
              <w:spacing w:line="400" w:lineRule="exact"/>
              <w:jc w:val="center"/>
              <w:rPr>
                <w:rFonts w:eastAsia="方正仿宋_GBK"/>
                <w:sz w:val="24"/>
                <w:szCs w:val="22"/>
              </w:rPr>
            </w:pPr>
          </w:p>
        </w:tc>
        <w:tc>
          <w:tcPr>
            <w:tcW w:w="1111" w:type="dxa"/>
            <w:noWrap w:val="0"/>
            <w:vAlign w:val="center"/>
          </w:tcPr>
          <w:p>
            <w:pPr>
              <w:snapToGrid w:val="0"/>
              <w:spacing w:line="400" w:lineRule="exact"/>
              <w:jc w:val="center"/>
              <w:rPr>
                <w:rFonts w:eastAsia="方正仿宋_GBK"/>
                <w:sz w:val="24"/>
                <w:szCs w:val="22"/>
              </w:rPr>
            </w:pPr>
          </w:p>
        </w:tc>
        <w:tc>
          <w:tcPr>
            <w:tcW w:w="709" w:type="dxa"/>
            <w:noWrap w:val="0"/>
            <w:vAlign w:val="center"/>
          </w:tcPr>
          <w:p>
            <w:pPr>
              <w:snapToGrid w:val="0"/>
              <w:spacing w:line="400" w:lineRule="exact"/>
              <w:jc w:val="center"/>
              <w:rPr>
                <w:rFonts w:eastAsia="方正仿宋_GBK"/>
                <w:sz w:val="24"/>
                <w:szCs w:val="22"/>
              </w:rPr>
            </w:pPr>
          </w:p>
        </w:tc>
        <w:tc>
          <w:tcPr>
            <w:tcW w:w="850" w:type="dxa"/>
            <w:noWrap w:val="0"/>
            <w:vAlign w:val="center"/>
          </w:tcPr>
          <w:p>
            <w:pPr>
              <w:snapToGrid w:val="0"/>
              <w:spacing w:line="400" w:lineRule="exact"/>
              <w:jc w:val="center"/>
              <w:rPr>
                <w:rFonts w:eastAsia="方正仿宋_GBK"/>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3" w:type="dxa"/>
            <w:noWrap w:val="0"/>
            <w:vAlign w:val="center"/>
          </w:tcPr>
          <w:p>
            <w:pPr>
              <w:snapToGrid w:val="0"/>
              <w:spacing w:line="400" w:lineRule="exact"/>
              <w:jc w:val="center"/>
              <w:rPr>
                <w:rFonts w:eastAsia="方正仿宋_GBK"/>
                <w:sz w:val="24"/>
                <w:szCs w:val="22"/>
              </w:rPr>
            </w:pPr>
            <w:r>
              <w:rPr>
                <w:rFonts w:eastAsia="方正仿宋_GBK"/>
                <w:sz w:val="24"/>
              </w:rPr>
              <w:t>合计</w:t>
            </w:r>
          </w:p>
        </w:tc>
        <w:tc>
          <w:tcPr>
            <w:tcW w:w="850" w:type="dxa"/>
            <w:noWrap w:val="0"/>
            <w:vAlign w:val="center"/>
          </w:tcPr>
          <w:p>
            <w:pPr>
              <w:snapToGrid w:val="0"/>
              <w:spacing w:line="400" w:lineRule="exact"/>
              <w:jc w:val="center"/>
              <w:rPr>
                <w:rFonts w:eastAsia="方正仿宋_GBK"/>
                <w:sz w:val="24"/>
                <w:szCs w:val="22"/>
              </w:rPr>
            </w:pPr>
          </w:p>
        </w:tc>
        <w:tc>
          <w:tcPr>
            <w:tcW w:w="1276" w:type="dxa"/>
            <w:noWrap w:val="0"/>
            <w:vAlign w:val="center"/>
          </w:tcPr>
          <w:p>
            <w:pPr>
              <w:snapToGrid w:val="0"/>
              <w:spacing w:line="400" w:lineRule="exact"/>
              <w:jc w:val="center"/>
              <w:rPr>
                <w:rFonts w:eastAsia="方正仿宋_GBK"/>
                <w:sz w:val="24"/>
                <w:szCs w:val="22"/>
              </w:rPr>
            </w:pPr>
          </w:p>
        </w:tc>
        <w:tc>
          <w:tcPr>
            <w:tcW w:w="1276" w:type="dxa"/>
            <w:noWrap w:val="0"/>
            <w:vAlign w:val="center"/>
          </w:tcPr>
          <w:p>
            <w:pPr>
              <w:snapToGrid w:val="0"/>
              <w:spacing w:line="400" w:lineRule="exact"/>
              <w:jc w:val="center"/>
              <w:rPr>
                <w:rFonts w:eastAsia="方正仿宋_GBK"/>
                <w:sz w:val="24"/>
                <w:szCs w:val="22"/>
              </w:rPr>
            </w:pPr>
          </w:p>
        </w:tc>
        <w:tc>
          <w:tcPr>
            <w:tcW w:w="829" w:type="dxa"/>
            <w:noWrap w:val="0"/>
            <w:vAlign w:val="center"/>
          </w:tcPr>
          <w:p>
            <w:pPr>
              <w:snapToGrid w:val="0"/>
              <w:spacing w:line="400" w:lineRule="exact"/>
              <w:jc w:val="center"/>
              <w:rPr>
                <w:rFonts w:eastAsia="方正仿宋_GBK"/>
                <w:sz w:val="24"/>
                <w:szCs w:val="22"/>
              </w:rPr>
            </w:pPr>
          </w:p>
        </w:tc>
        <w:tc>
          <w:tcPr>
            <w:tcW w:w="830" w:type="dxa"/>
            <w:noWrap w:val="0"/>
            <w:vAlign w:val="center"/>
          </w:tcPr>
          <w:p>
            <w:pPr>
              <w:snapToGrid w:val="0"/>
              <w:spacing w:line="400" w:lineRule="exact"/>
              <w:jc w:val="center"/>
              <w:rPr>
                <w:rFonts w:eastAsia="方正仿宋_GBK"/>
                <w:sz w:val="24"/>
                <w:szCs w:val="22"/>
              </w:rPr>
            </w:pPr>
          </w:p>
        </w:tc>
        <w:tc>
          <w:tcPr>
            <w:tcW w:w="829" w:type="dxa"/>
            <w:noWrap w:val="0"/>
            <w:vAlign w:val="center"/>
          </w:tcPr>
          <w:p>
            <w:pPr>
              <w:snapToGrid w:val="0"/>
              <w:spacing w:line="400" w:lineRule="exact"/>
              <w:jc w:val="center"/>
              <w:rPr>
                <w:rFonts w:eastAsia="方正仿宋_GBK"/>
                <w:sz w:val="24"/>
                <w:szCs w:val="22"/>
              </w:rPr>
            </w:pPr>
          </w:p>
        </w:tc>
        <w:tc>
          <w:tcPr>
            <w:tcW w:w="830" w:type="dxa"/>
            <w:noWrap w:val="0"/>
            <w:vAlign w:val="center"/>
          </w:tcPr>
          <w:p>
            <w:pPr>
              <w:snapToGrid w:val="0"/>
              <w:spacing w:line="400" w:lineRule="exact"/>
              <w:jc w:val="center"/>
              <w:rPr>
                <w:rFonts w:eastAsia="方正仿宋_GBK"/>
                <w:sz w:val="24"/>
                <w:szCs w:val="22"/>
              </w:rPr>
            </w:pPr>
          </w:p>
        </w:tc>
        <w:tc>
          <w:tcPr>
            <w:tcW w:w="1016" w:type="dxa"/>
            <w:noWrap w:val="0"/>
            <w:vAlign w:val="center"/>
          </w:tcPr>
          <w:p>
            <w:pPr>
              <w:snapToGrid w:val="0"/>
              <w:spacing w:line="400" w:lineRule="exact"/>
              <w:jc w:val="center"/>
              <w:rPr>
                <w:rFonts w:eastAsia="方正仿宋_GBK"/>
                <w:sz w:val="24"/>
                <w:szCs w:val="22"/>
              </w:rPr>
            </w:pPr>
          </w:p>
        </w:tc>
        <w:tc>
          <w:tcPr>
            <w:tcW w:w="1134" w:type="dxa"/>
            <w:noWrap w:val="0"/>
            <w:vAlign w:val="center"/>
          </w:tcPr>
          <w:p>
            <w:pPr>
              <w:snapToGrid w:val="0"/>
              <w:spacing w:line="400" w:lineRule="exact"/>
              <w:jc w:val="center"/>
              <w:rPr>
                <w:rFonts w:eastAsia="方正仿宋_GBK"/>
                <w:sz w:val="24"/>
                <w:szCs w:val="22"/>
              </w:rPr>
            </w:pPr>
          </w:p>
        </w:tc>
        <w:tc>
          <w:tcPr>
            <w:tcW w:w="992" w:type="dxa"/>
            <w:noWrap w:val="0"/>
            <w:vAlign w:val="center"/>
          </w:tcPr>
          <w:p>
            <w:pPr>
              <w:snapToGrid w:val="0"/>
              <w:spacing w:line="400" w:lineRule="exact"/>
              <w:jc w:val="center"/>
              <w:rPr>
                <w:rFonts w:eastAsia="方正仿宋_GBK"/>
                <w:sz w:val="24"/>
                <w:szCs w:val="22"/>
              </w:rPr>
            </w:pPr>
          </w:p>
        </w:tc>
        <w:tc>
          <w:tcPr>
            <w:tcW w:w="992" w:type="dxa"/>
            <w:noWrap w:val="0"/>
            <w:vAlign w:val="center"/>
          </w:tcPr>
          <w:p>
            <w:pPr>
              <w:snapToGrid w:val="0"/>
              <w:spacing w:line="400" w:lineRule="exact"/>
              <w:jc w:val="center"/>
              <w:rPr>
                <w:rFonts w:eastAsia="方正仿宋_GBK"/>
                <w:sz w:val="24"/>
                <w:szCs w:val="22"/>
              </w:rPr>
            </w:pPr>
          </w:p>
        </w:tc>
        <w:tc>
          <w:tcPr>
            <w:tcW w:w="1111" w:type="dxa"/>
            <w:noWrap w:val="0"/>
            <w:vAlign w:val="center"/>
          </w:tcPr>
          <w:p>
            <w:pPr>
              <w:snapToGrid w:val="0"/>
              <w:spacing w:line="400" w:lineRule="exact"/>
              <w:jc w:val="center"/>
              <w:rPr>
                <w:rFonts w:eastAsia="方正仿宋_GBK"/>
                <w:sz w:val="24"/>
                <w:szCs w:val="22"/>
              </w:rPr>
            </w:pPr>
          </w:p>
        </w:tc>
        <w:tc>
          <w:tcPr>
            <w:tcW w:w="709" w:type="dxa"/>
            <w:noWrap w:val="0"/>
            <w:vAlign w:val="center"/>
          </w:tcPr>
          <w:p>
            <w:pPr>
              <w:snapToGrid w:val="0"/>
              <w:spacing w:line="400" w:lineRule="exact"/>
              <w:jc w:val="center"/>
              <w:rPr>
                <w:rFonts w:eastAsia="方正仿宋_GBK"/>
                <w:sz w:val="24"/>
                <w:szCs w:val="22"/>
              </w:rPr>
            </w:pPr>
          </w:p>
        </w:tc>
        <w:tc>
          <w:tcPr>
            <w:tcW w:w="850" w:type="dxa"/>
            <w:noWrap w:val="0"/>
            <w:vAlign w:val="center"/>
          </w:tcPr>
          <w:p>
            <w:pPr>
              <w:snapToGrid w:val="0"/>
              <w:spacing w:line="400" w:lineRule="exact"/>
              <w:jc w:val="center"/>
              <w:rPr>
                <w:rFonts w:eastAsia="方正仿宋_GBK"/>
                <w:sz w:val="24"/>
                <w:szCs w:val="22"/>
              </w:rPr>
            </w:pPr>
          </w:p>
        </w:tc>
      </w:tr>
    </w:tbl>
    <w:p>
      <w:pPr>
        <w:widowControl/>
        <w:spacing w:line="600" w:lineRule="exact"/>
        <w:jc w:val="left"/>
        <w:rPr>
          <w:rFonts w:eastAsia="方正仿宋_GBK"/>
          <w:sz w:val="28"/>
          <w:szCs w:val="28"/>
        </w:rPr>
        <w:sectPr>
          <w:pgSz w:w="16840" w:h="11907" w:orient="landscape"/>
          <w:pgMar w:top="1588" w:right="2098" w:bottom="1474" w:left="1985" w:header="851" w:footer="1474" w:gutter="0"/>
          <w:pgNumType w:fmt="numberInDash"/>
          <w:cols w:space="720" w:num="1"/>
          <w:docGrid w:type="lines" w:linePitch="579" w:charSpace="-842"/>
        </w:sectPr>
      </w:pPr>
      <w:r>
        <w:rPr>
          <w:rFonts w:hint="eastAsia" w:eastAsia="方正仿宋_GBK"/>
          <w:sz w:val="28"/>
          <w:szCs w:val="28"/>
        </w:rPr>
        <w:t>说明：减免处罚次数包括对清单内企业不予处罚、不采取强制措施、不采取限停产措施，或延长整改期限等措施的次数。</w:t>
      </w:r>
      <w:bookmarkEnd w:id="0"/>
    </w:p>
    <w:p>
      <w:pPr>
        <w:widowControl/>
        <w:spacing w:line="600" w:lineRule="exact"/>
        <w:jc w:val="left"/>
        <w:rPr>
          <w:rFonts w:hint="eastAsia" w:ascii="方正黑体_GBK" w:hAnsi="宋体" w:eastAsia="方正黑体_GBK" w:cs="宋体"/>
          <w:color w:val="000000"/>
          <w:kern w:val="0"/>
          <w:szCs w:val="32"/>
        </w:rPr>
      </w:pPr>
      <w:r>
        <w:rPr>
          <w:rFonts w:hint="eastAsia" w:ascii="方正黑体_GBK" w:hAnsi="宋体" w:eastAsia="方正黑体_GBK" w:cs="宋体"/>
          <w:color w:val="000000"/>
          <w:kern w:val="0"/>
          <w:szCs w:val="32"/>
        </w:rPr>
        <w:t>附件3</w:t>
      </w:r>
    </w:p>
    <w:p>
      <w:pPr>
        <w:widowControl/>
        <w:spacing w:line="600" w:lineRule="exact"/>
        <w:jc w:val="center"/>
        <w:rPr>
          <w:rFonts w:hint="eastAsia"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监督执法正面清单企业列表</w:t>
      </w:r>
    </w:p>
    <w:p>
      <w:pPr>
        <w:widowControl/>
        <w:spacing w:line="600" w:lineRule="exact"/>
        <w:jc w:val="center"/>
        <w:rPr>
          <w:rFonts w:hint="eastAsia" w:ascii="方正小标宋_GBK" w:hAnsi="宋体" w:eastAsia="方正小标宋_GBK" w:cs="宋体"/>
          <w:color w:val="000000"/>
          <w:kern w:val="0"/>
          <w:sz w:val="40"/>
          <w:szCs w:val="40"/>
        </w:rPr>
      </w:pPr>
    </w:p>
    <w:tbl>
      <w:tblPr>
        <w:tblStyle w:val="7"/>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6010"/>
        <w:gridCol w:w="829"/>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tblHeader/>
          <w:jc w:val="center"/>
        </w:trPr>
        <w:tc>
          <w:tcPr>
            <w:tcW w:w="66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rPr>
              <w:t>序号</w:t>
            </w:r>
          </w:p>
        </w:tc>
        <w:tc>
          <w:tcPr>
            <w:tcW w:w="601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rPr>
              <w:t>企业名称</w:t>
            </w:r>
          </w:p>
        </w:tc>
        <w:tc>
          <w:tcPr>
            <w:tcW w:w="82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rPr>
              <w:t>纳入类别</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7030A0"/>
                <w:kern w:val="0"/>
                <w:sz w:val="22"/>
                <w:szCs w:val="22"/>
              </w:rPr>
            </w:pPr>
            <w:r>
              <w:rPr>
                <w:rFonts w:hint="eastAsia" w:ascii="方正仿宋_GBK" w:hAnsi="宋体" w:eastAsia="方正仿宋_GBK" w:cs="宋体"/>
                <w:color w:val="7030A0"/>
                <w:kern w:val="0"/>
                <w:sz w:val="22"/>
              </w:rPr>
              <w:t>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华新水泥重庆涪陵有限公司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7030A0"/>
                <w:kern w:val="0"/>
                <w:sz w:val="22"/>
                <w:szCs w:val="22"/>
              </w:rPr>
            </w:pPr>
            <w:r>
              <w:rPr>
                <w:rFonts w:hint="eastAsia" w:ascii="方正仿宋_GBK" w:hAnsi="宋体" w:eastAsia="方正仿宋_GBK" w:cs="宋体"/>
                <w:color w:val="7030A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重庆奇达物流有限公司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重庆市三峡水务涪陵排水有限责任公司（白涛污水处理厂）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xml:space="preserve">  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重庆斯托赛克塑业有限责任公司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重庆润丰塑料制品有限公司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重庆建峰化工股份有限公司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重庆天原化工有限公司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重庆华峰化工有限公司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重庆华峰聚酰胺有限公司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重庆华峰新材料有限公司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重庆腾泽化学有限公司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重庆建峰浩康化工有限公司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重庆建峰新材料有限责任公司能通分公司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重庆同辉天有气体有限公司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华峰重庆氨纶有限公司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重庆新联峰实业有限公司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重庆聚立信生物工程有限公司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重庆中石化通汇能源有限公司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重庆弛源化工有限公司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重庆新氟科技有限公司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重庆涪通物流有限公司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重庆市涪陵区拓源污水治理有限公司（潘家坝污水处理厂）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重庆同辉科发气体有限公司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华峰铝业有限公司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重庆新涛高新材料科技有限公司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中石化重庆涪陵页岩气勘探开发有限公司白涛集输站</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重庆炘蓝低碳环保科技有限公司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重庆市涪陵区金龙有限公司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w:t>
            </w:r>
          </w:p>
        </w:tc>
        <w:tc>
          <w:tcPr>
            <w:tcW w:w="1966"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重庆市大为能源有限公司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重庆市涪陵中心医院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重庆市涪陵娃哈哈饮料有限公司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重庆市涪陵区人民医院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重庆市涪陵区乐达混凝土有限公司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重庆市涪陵区和美妇产医院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重庆乔盛玻璃有限公司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重庆宏声印务有限责任公司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重庆衡生中药制药有限责任公司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涪陵泰康医院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39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涪陵三峡医院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涪陵区妇幼保健院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涪陵李志沧中医骨伤医院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涪陵郭昌毕骨伤科医院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重庆市涪陵区紫竹食品有限公司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重庆海林生猪发展有限公司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重庆市涪陵榨菜集团股份有限公司华安榨菜厂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重庆市涪陵榨菜集团股份有限公司华民榨菜厂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重庆国丰实业有限公司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重庆市涪陵区凤娃子食品有限公司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49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重庆市涪陵区志贤食品有限公司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重庆市涪陵区浩阳食品有限公司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重庆市涪陵区洪丽食品有限责任公司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重庆市涪陵区国茂食品厂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重庆市涪陵绿陵实业有限公司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涪陵区天然食品有限责任公司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重庆市涪陵区大石鼓食品有限公司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重庆天启铝业有限公司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重庆东庆铝业有限公司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重庆万丰奥威铝轮有限公司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59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重庆赛特刚玉有限公司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重庆市正宇混凝土有限责任公司采石场</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重庆市涪陵区大业建材有限公司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太极集团重庆涪陵制药厂有限公司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重庆百事达渝东南销售服务有限公司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重庆巨众汽车销售服务有限公司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中国石油天然气股份有限公司重庆涪陵销售分公司顺江加油站</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中国石油天然气股份有限公司重庆涪陵销售分公司滨江东路加油站</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中国石化销售股份有限公司重庆涪陵石油分公司长柳坡加油站</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中国石化销售股份有限公司重庆涪陵石油分公司滨江中路加油站</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69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重庆市三峡水务涪陵排水有限公司（城区污水处理厂）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重庆市三峡水务涪陵排水有限公司（清溪污水处理厂）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重庆市三峡水务涪陵排水有限公司（南沱污水处理厂）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中石化重庆涪陵页岩气勘探开发有限公司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重庆市涪陵区拓源污水治理有限公司（清溪园区污水处理厂）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重庆市涪陵区拓源污水治理有限公司（百胜榨菜废水集中处理厂）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Calibri" w:hAnsi="Calibri" w:eastAsia="宋体"/>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重庆中机龙桥热电有限公司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xml:space="preserve"> 76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重庆市涪陵区三峰环保发电有限公司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重庆山公主保健食品有限公司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重庆市涪陵娃哈哈食品有限公司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79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重庆特固建材有限公司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中粮（涪陵）食品有限公司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重庆市涪陵榨菜集团股份有限公司华舞榨菜厂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重庆市涪陵榨菜(集团)股份有限公司华飞榨菜厂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重庆市涪陵榨菜集团股份有限公司华龙榨菜厂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重庆市涪陵区桂怡食品有限公司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重庆娃哈哈广盛饮料有限公司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重庆市涪陵区宏吉肉类食品有限公司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firstLine="108" w:firstLineChars="50"/>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重庆涪州双胞胎饲料有限公司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88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重庆南方金山谷农牧有限公司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 xml:space="preserve"> 89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重庆南涪铝业有限公司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重庆新铝时代科技股份有限公司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重庆富丽华车用饰品有限公司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重庆卡迪维夫汽车零配件制造有限公司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重庆万凯新材料科技有限公司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kern w:val="0"/>
                <w:sz w:val="22"/>
                <w:szCs w:val="22"/>
              </w:rPr>
            </w:pPr>
            <w:r>
              <w:rPr>
                <w:rFonts w:hint="eastAsia" w:ascii="方正仿宋_GBK" w:hAnsi="宋体" w:eastAsia="方正仿宋_GBK"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重庆科宝电缆股份有限公司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华兰生物工程重庆有限公司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道道全重庆粮油有限责任公司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重庆中宝生物制药有限公司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重庆啤酒股份有限公司涪陵分公司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99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重庆市涪陵自来水公司李渡水厂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重庆市涪陵榨菜集团股份有限公司华富榨菜厂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重庆市涪陵三海兰陵有限责任公司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重庆市仓兴达科技有限公司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伍尔特电子(重庆)有限公司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柯锐世（重庆）电气有限公司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重庆格森箱包制品有限公司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重庆市涪陵区拓源污水治理有限公司（李渡大耍坝污水处理厂）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重庆华晨鑫源汽车有限公司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5</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葵花药业集团重庆小葵花儿童制药有限公司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109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重庆南瑞博瑞变压器有限公司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重庆市涪陵区中医院（李渡总院）</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重庆市三峡水务涪陵排水有限责任公司（李渡污水处理厂）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华通电脑(重庆)有限公司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113</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重庆烟草工业有限责任公司涪陵卷烟厂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114</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重庆市涪陵金键米业有限公司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2</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115</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涪陵区妇幼保健院（李渡）</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116</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重庆超力电器有限责任公司涪陵分公司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117</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重庆市涪陵区新城区社区卫生服务中心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1</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118</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重庆六福世家珠宝加工有限公司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119</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重庆市涪陵区文玮印务有限公司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120</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重庆宏声纸箱厂</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121</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重庆市涪陵区瑞丰兆明纸制品有限公司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rPr>
              <w:t>122</w:t>
            </w:r>
          </w:p>
        </w:tc>
        <w:tc>
          <w:tcPr>
            <w:tcW w:w="601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ascii="方正仿宋_GBK" w:hAnsi="宋体" w:eastAsia="方正仿宋_GBK" w:cs="宋体"/>
                <w:kern w:val="0"/>
                <w:sz w:val="22"/>
                <w:szCs w:val="22"/>
              </w:rPr>
            </w:pPr>
            <w:r>
              <w:rPr>
                <w:rFonts w:hint="eastAsia" w:ascii="方正仿宋_GBK" w:hAnsi="宋体" w:eastAsia="方正仿宋_GBK" w:cs="宋体"/>
                <w:kern w:val="0"/>
                <w:sz w:val="22"/>
              </w:rPr>
              <w:t>重庆天华照明有限公司</w:t>
            </w:r>
          </w:p>
        </w:tc>
        <w:tc>
          <w:tcPr>
            <w:tcW w:w="82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方正仿宋_GBK" w:hAnsi="宋体" w:eastAsia="方正仿宋_GBK" w:cs="宋体"/>
                <w:kern w:val="0"/>
                <w:sz w:val="22"/>
                <w:szCs w:val="22"/>
              </w:rPr>
            </w:pPr>
            <w:r>
              <w:rPr>
                <w:rFonts w:hint="eastAsia" w:ascii="方正仿宋_GBK" w:hAnsi="宋体" w:eastAsia="方正仿宋_GBK" w:cs="宋体"/>
                <w:kern w:val="0"/>
                <w:sz w:val="22"/>
              </w:rPr>
              <w:t>3</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ascii="方正仿宋_GBK" w:hAnsi="宋体" w:eastAsia="方正仿宋_GBK" w:cs="宋体"/>
                <w:color w:val="FF0000"/>
                <w:kern w:val="0"/>
                <w:sz w:val="22"/>
                <w:szCs w:val="22"/>
              </w:rPr>
            </w:pPr>
            <w:r>
              <w:rPr>
                <w:rFonts w:hint="eastAsia" w:ascii="方正仿宋_GBK" w:hAnsi="宋体" w:eastAsia="方正仿宋_GBK" w:cs="宋体"/>
                <w:color w:val="FF0000"/>
                <w:kern w:val="0"/>
                <w:sz w:val="22"/>
              </w:rPr>
              <w:t>　</w:t>
            </w:r>
          </w:p>
        </w:tc>
      </w:tr>
    </w:tbl>
    <w:p>
      <w:pPr>
        <w:rPr>
          <w:rFonts w:ascii="方正仿宋_GBK" w:hAnsi="Calibri" w:eastAsia="方正仿宋_GBK"/>
          <w:szCs w:val="32"/>
        </w:rPr>
      </w:pPr>
    </w:p>
    <w:p>
      <w:pPr>
        <w:widowControl/>
        <w:spacing w:line="600" w:lineRule="exact"/>
        <w:jc w:val="left"/>
        <w:rPr>
          <w:rFonts w:hint="eastAsia" w:eastAsia="方正仿宋_GBK"/>
          <w:sz w:val="28"/>
          <w:szCs w:val="28"/>
        </w:rPr>
      </w:pPr>
    </w:p>
    <w:sectPr>
      <w:footerReference r:id="rId5" w:type="default"/>
      <w:footerReference r:id="rId6" w:type="even"/>
      <w:pgSz w:w="11907" w:h="16840"/>
      <w:pgMar w:top="2098" w:right="1474" w:bottom="1985" w:left="1588"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00"/>
    <w:family w:val="modern"/>
    <w:pitch w:val="default"/>
    <w:sig w:usb0="00000001" w:usb1="080E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28"/>
        <w:szCs w:val="28"/>
      </w:rPr>
    </w:pP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ascii="仿宋_GB2312"/>
        <w:sz w:val="28"/>
        <w:szCs w:val="28"/>
        <w:lang/>
      </w:rPr>
      <w:t>- 11 -</w:t>
    </w:r>
    <w:r>
      <w:rPr>
        <w:rStyle w:val="9"/>
        <w:rFonts w:hint="eastAsia" w:ascii="仿宋_GB2312"/>
        <w:sz w:val="28"/>
        <w:szCs w:val="28"/>
      </w:rPr>
      <w:fldChar w:fldCharType="end"/>
    </w:r>
  </w:p>
  <w:p>
    <w:pPr>
      <w:pStyle w:val="5"/>
      <w:ind w:right="360" w:firstLine="7840" w:firstLineChars="2800"/>
      <w:rPr>
        <w:rFonts w:hint="eastAsia" w:ascii="宋体" w:hAnsi="宋体" w:eastAsia="宋体"/>
        <w:sz w:val="28"/>
      </w:rPr>
    </w:pP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28"/>
        <w:szCs w:val="28"/>
      </w:rPr>
    </w:pP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ascii="仿宋_GB2312"/>
        <w:sz w:val="28"/>
        <w:szCs w:val="28"/>
        <w:lang/>
      </w:rPr>
      <w:t>- 10 -</w:t>
    </w:r>
    <w:r>
      <w:rPr>
        <w:rStyle w:val="9"/>
        <w:rFonts w:hint="eastAsia" w:ascii="仿宋_GB2312"/>
        <w:sz w:val="28"/>
        <w:szCs w:val="28"/>
      </w:rPr>
      <w:fldChar w:fldCharType="end"/>
    </w:r>
  </w:p>
  <w:p>
    <w:pPr>
      <w:pStyle w:val="5"/>
      <w:ind w:right="360" w:firstLine="280" w:firstLineChars="100"/>
      <w:rPr>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28"/>
        <w:szCs w:val="28"/>
      </w:rPr>
    </w:pP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ascii="仿宋_GB2312"/>
        <w:sz w:val="28"/>
        <w:szCs w:val="28"/>
        <w:lang/>
      </w:rPr>
      <w:t>- 15 -</w:t>
    </w:r>
    <w:r>
      <w:rPr>
        <w:rStyle w:val="9"/>
        <w:rFonts w:hint="eastAsia" w:ascii="仿宋_GB2312"/>
        <w:sz w:val="28"/>
        <w:szCs w:val="28"/>
      </w:rPr>
      <w:fldChar w:fldCharType="end"/>
    </w:r>
  </w:p>
  <w:p>
    <w:pPr>
      <w:pStyle w:val="5"/>
      <w:ind w:right="360" w:firstLine="7840" w:firstLineChars="2800"/>
      <w:rPr>
        <w:rFonts w:hint="eastAsia" w:ascii="宋体" w:hAnsi="宋体" w:eastAsia="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ascii="仿宋_GB2312"/>
        <w:sz w:val="28"/>
        <w:szCs w:val="28"/>
      </w:rPr>
    </w:pPr>
    <w:r>
      <w:rPr>
        <w:rStyle w:val="9"/>
        <w:rFonts w:hint="eastAsia" w:ascii="仿宋_GB2312"/>
        <w:sz w:val="28"/>
        <w:szCs w:val="28"/>
      </w:rPr>
      <w:fldChar w:fldCharType="begin"/>
    </w:r>
    <w:r>
      <w:rPr>
        <w:rStyle w:val="9"/>
        <w:rFonts w:hint="eastAsia" w:ascii="仿宋_GB2312"/>
        <w:sz w:val="28"/>
        <w:szCs w:val="28"/>
      </w:rPr>
      <w:instrText xml:space="preserve">PAGE  </w:instrText>
    </w:r>
    <w:r>
      <w:rPr>
        <w:rStyle w:val="9"/>
        <w:rFonts w:hint="eastAsia" w:ascii="仿宋_GB2312"/>
        <w:sz w:val="28"/>
        <w:szCs w:val="28"/>
      </w:rPr>
      <w:fldChar w:fldCharType="separate"/>
    </w:r>
    <w:r>
      <w:rPr>
        <w:rStyle w:val="9"/>
        <w:rFonts w:ascii="仿宋_GB2312"/>
        <w:sz w:val="28"/>
        <w:szCs w:val="28"/>
        <w:lang/>
      </w:rPr>
      <w:t>- 16 -</w:t>
    </w:r>
    <w:r>
      <w:rPr>
        <w:rStyle w:val="9"/>
        <w:rFonts w:hint="eastAsia" w:ascii="仿宋_GB2312"/>
        <w:sz w:val="28"/>
        <w:szCs w:val="28"/>
      </w:rPr>
      <w:fldChar w:fldCharType="end"/>
    </w:r>
  </w:p>
  <w:p>
    <w:pPr>
      <w:pStyle w:val="5"/>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985222"/>
    <w:multiLevelType w:val="multilevel"/>
    <w:tmpl w:val="70985222"/>
    <w:lvl w:ilvl="0" w:tentative="0">
      <w:start w:val="2"/>
      <w:numFmt w:val="japaneseCounting"/>
      <w:pStyle w:val="14"/>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08C0EB2-D870-44F2-950E-89C06D09F588}" w:val="sGXP9r71JboVAxWqd6Ty5EKeh=8RufHn3kF0ZYcQLMUCwD+avmSI4/NziBltpgOj2"/>
    <w:docVar w:name="DocumentID" w:val="{D183C2CD-208A-4920-A4B0-5D7C4761C9B5}"/>
  </w:docVars>
  <w:rsids>
    <w:rsidRoot w:val="00E75C27"/>
    <w:rsid w:val="00005067"/>
    <w:rsid w:val="00012410"/>
    <w:rsid w:val="000125B0"/>
    <w:rsid w:val="000234C8"/>
    <w:rsid w:val="00035F14"/>
    <w:rsid w:val="00044D11"/>
    <w:rsid w:val="00044E0C"/>
    <w:rsid w:val="00047D67"/>
    <w:rsid w:val="00051E96"/>
    <w:rsid w:val="00052DF8"/>
    <w:rsid w:val="0005418F"/>
    <w:rsid w:val="00076CC0"/>
    <w:rsid w:val="00086259"/>
    <w:rsid w:val="00087752"/>
    <w:rsid w:val="000A3862"/>
    <w:rsid w:val="000B44F3"/>
    <w:rsid w:val="000B7E4A"/>
    <w:rsid w:val="000D1551"/>
    <w:rsid w:val="000D24F7"/>
    <w:rsid w:val="000E039D"/>
    <w:rsid w:val="0010331C"/>
    <w:rsid w:val="00130243"/>
    <w:rsid w:val="001337F7"/>
    <w:rsid w:val="00151329"/>
    <w:rsid w:val="001571EA"/>
    <w:rsid w:val="00182BDD"/>
    <w:rsid w:val="00192A6B"/>
    <w:rsid w:val="001959D0"/>
    <w:rsid w:val="001A0433"/>
    <w:rsid w:val="001A5FBD"/>
    <w:rsid w:val="001C215C"/>
    <w:rsid w:val="001E4F79"/>
    <w:rsid w:val="001F66AE"/>
    <w:rsid w:val="00211737"/>
    <w:rsid w:val="00223FE3"/>
    <w:rsid w:val="002522BC"/>
    <w:rsid w:val="00253195"/>
    <w:rsid w:val="00267B69"/>
    <w:rsid w:val="0027306A"/>
    <w:rsid w:val="002846B5"/>
    <w:rsid w:val="00290FF2"/>
    <w:rsid w:val="00292BB5"/>
    <w:rsid w:val="002A1433"/>
    <w:rsid w:val="002A2DFB"/>
    <w:rsid w:val="002A35A1"/>
    <w:rsid w:val="002B0B76"/>
    <w:rsid w:val="002B2702"/>
    <w:rsid w:val="002B31CE"/>
    <w:rsid w:val="002D0A1F"/>
    <w:rsid w:val="002D2FA0"/>
    <w:rsid w:val="002D384D"/>
    <w:rsid w:val="002D55D5"/>
    <w:rsid w:val="002D6E82"/>
    <w:rsid w:val="002E2AD0"/>
    <w:rsid w:val="002E5A47"/>
    <w:rsid w:val="003012EE"/>
    <w:rsid w:val="00305B8F"/>
    <w:rsid w:val="00310D6B"/>
    <w:rsid w:val="00310EC9"/>
    <w:rsid w:val="0033587F"/>
    <w:rsid w:val="00341FC2"/>
    <w:rsid w:val="0034588B"/>
    <w:rsid w:val="00346619"/>
    <w:rsid w:val="003617B9"/>
    <w:rsid w:val="003621EC"/>
    <w:rsid w:val="00384096"/>
    <w:rsid w:val="003851A9"/>
    <w:rsid w:val="003A5608"/>
    <w:rsid w:val="003B0EB8"/>
    <w:rsid w:val="003B526C"/>
    <w:rsid w:val="003D24AD"/>
    <w:rsid w:val="00436D19"/>
    <w:rsid w:val="00440BCA"/>
    <w:rsid w:val="00445A0D"/>
    <w:rsid w:val="004566B2"/>
    <w:rsid w:val="004F4445"/>
    <w:rsid w:val="004F68E3"/>
    <w:rsid w:val="00540D4C"/>
    <w:rsid w:val="00545271"/>
    <w:rsid w:val="00547BB1"/>
    <w:rsid w:val="00571A1D"/>
    <w:rsid w:val="005E0A7A"/>
    <w:rsid w:val="005E718A"/>
    <w:rsid w:val="005F5E20"/>
    <w:rsid w:val="00604EFB"/>
    <w:rsid w:val="0062213D"/>
    <w:rsid w:val="0065003D"/>
    <w:rsid w:val="0065061E"/>
    <w:rsid w:val="006530F5"/>
    <w:rsid w:val="00661D77"/>
    <w:rsid w:val="00673101"/>
    <w:rsid w:val="006833DB"/>
    <w:rsid w:val="00684370"/>
    <w:rsid w:val="006844AD"/>
    <w:rsid w:val="00686121"/>
    <w:rsid w:val="00686B27"/>
    <w:rsid w:val="0069245D"/>
    <w:rsid w:val="006A0C06"/>
    <w:rsid w:val="006A5B06"/>
    <w:rsid w:val="006A5BFC"/>
    <w:rsid w:val="006E333F"/>
    <w:rsid w:val="0071201C"/>
    <w:rsid w:val="007220D5"/>
    <w:rsid w:val="00735CC8"/>
    <w:rsid w:val="007422B5"/>
    <w:rsid w:val="00762D90"/>
    <w:rsid w:val="00767CB2"/>
    <w:rsid w:val="00783AA9"/>
    <w:rsid w:val="007A206F"/>
    <w:rsid w:val="007B3822"/>
    <w:rsid w:val="007E75E1"/>
    <w:rsid w:val="007F5167"/>
    <w:rsid w:val="00803673"/>
    <w:rsid w:val="0082298D"/>
    <w:rsid w:val="00855B2B"/>
    <w:rsid w:val="00860320"/>
    <w:rsid w:val="008621B5"/>
    <w:rsid w:val="00866EBF"/>
    <w:rsid w:val="008702A1"/>
    <w:rsid w:val="00872F5B"/>
    <w:rsid w:val="00876154"/>
    <w:rsid w:val="008826F9"/>
    <w:rsid w:val="008C1869"/>
    <w:rsid w:val="008C5493"/>
    <w:rsid w:val="008C7E36"/>
    <w:rsid w:val="008E178D"/>
    <w:rsid w:val="008E52FC"/>
    <w:rsid w:val="008F4652"/>
    <w:rsid w:val="008F6DEA"/>
    <w:rsid w:val="00900481"/>
    <w:rsid w:val="00903D18"/>
    <w:rsid w:val="00920762"/>
    <w:rsid w:val="009263EA"/>
    <w:rsid w:val="00941494"/>
    <w:rsid w:val="009430DB"/>
    <w:rsid w:val="00950273"/>
    <w:rsid w:val="00954A2D"/>
    <w:rsid w:val="0095734D"/>
    <w:rsid w:val="00973399"/>
    <w:rsid w:val="00976AA8"/>
    <w:rsid w:val="00980D8E"/>
    <w:rsid w:val="009B201A"/>
    <w:rsid w:val="009C0B46"/>
    <w:rsid w:val="009D350C"/>
    <w:rsid w:val="009D3834"/>
    <w:rsid w:val="009D7069"/>
    <w:rsid w:val="009E57E0"/>
    <w:rsid w:val="009E5FAB"/>
    <w:rsid w:val="009F0B18"/>
    <w:rsid w:val="009F3C40"/>
    <w:rsid w:val="00A150A4"/>
    <w:rsid w:val="00A150C2"/>
    <w:rsid w:val="00A1730B"/>
    <w:rsid w:val="00A30BB4"/>
    <w:rsid w:val="00A31534"/>
    <w:rsid w:val="00A52E89"/>
    <w:rsid w:val="00A662CE"/>
    <w:rsid w:val="00A81BC4"/>
    <w:rsid w:val="00A87B9A"/>
    <w:rsid w:val="00A93A64"/>
    <w:rsid w:val="00AA1602"/>
    <w:rsid w:val="00AA6A62"/>
    <w:rsid w:val="00AB47E1"/>
    <w:rsid w:val="00AC73C6"/>
    <w:rsid w:val="00AD08F8"/>
    <w:rsid w:val="00AD379F"/>
    <w:rsid w:val="00AF2C9C"/>
    <w:rsid w:val="00AF3287"/>
    <w:rsid w:val="00AF5EE4"/>
    <w:rsid w:val="00B15EE6"/>
    <w:rsid w:val="00B31AD1"/>
    <w:rsid w:val="00B352A9"/>
    <w:rsid w:val="00B35B8B"/>
    <w:rsid w:val="00B4018B"/>
    <w:rsid w:val="00B404ED"/>
    <w:rsid w:val="00B5297D"/>
    <w:rsid w:val="00B55A70"/>
    <w:rsid w:val="00B64B5E"/>
    <w:rsid w:val="00BA5E44"/>
    <w:rsid w:val="00BB2212"/>
    <w:rsid w:val="00BD0B52"/>
    <w:rsid w:val="00BE7031"/>
    <w:rsid w:val="00BF5DA0"/>
    <w:rsid w:val="00C26AD3"/>
    <w:rsid w:val="00C37AF3"/>
    <w:rsid w:val="00C55CA2"/>
    <w:rsid w:val="00C64CC9"/>
    <w:rsid w:val="00C82D7F"/>
    <w:rsid w:val="00C9124B"/>
    <w:rsid w:val="00CA6970"/>
    <w:rsid w:val="00CA6C3F"/>
    <w:rsid w:val="00CB06F8"/>
    <w:rsid w:val="00CB5E27"/>
    <w:rsid w:val="00CC382E"/>
    <w:rsid w:val="00CC4687"/>
    <w:rsid w:val="00CD5C1D"/>
    <w:rsid w:val="00CE6B6D"/>
    <w:rsid w:val="00D01E31"/>
    <w:rsid w:val="00D037F9"/>
    <w:rsid w:val="00D1019C"/>
    <w:rsid w:val="00D150F3"/>
    <w:rsid w:val="00D256DF"/>
    <w:rsid w:val="00D26606"/>
    <w:rsid w:val="00D27C6D"/>
    <w:rsid w:val="00D27F38"/>
    <w:rsid w:val="00D47A8F"/>
    <w:rsid w:val="00D54326"/>
    <w:rsid w:val="00D64618"/>
    <w:rsid w:val="00D65F40"/>
    <w:rsid w:val="00D746F0"/>
    <w:rsid w:val="00DA1AD1"/>
    <w:rsid w:val="00DB19E2"/>
    <w:rsid w:val="00DB2C8F"/>
    <w:rsid w:val="00DD0864"/>
    <w:rsid w:val="00DD4480"/>
    <w:rsid w:val="00DF64AF"/>
    <w:rsid w:val="00E13207"/>
    <w:rsid w:val="00E15180"/>
    <w:rsid w:val="00E33450"/>
    <w:rsid w:val="00E714D2"/>
    <w:rsid w:val="00E75C27"/>
    <w:rsid w:val="00E76734"/>
    <w:rsid w:val="00E7741F"/>
    <w:rsid w:val="00E77822"/>
    <w:rsid w:val="00E877AE"/>
    <w:rsid w:val="00E9784F"/>
    <w:rsid w:val="00EA7CC6"/>
    <w:rsid w:val="00EC0F02"/>
    <w:rsid w:val="00EE7E39"/>
    <w:rsid w:val="00EF1240"/>
    <w:rsid w:val="00F05ED6"/>
    <w:rsid w:val="00F228D3"/>
    <w:rsid w:val="00F43694"/>
    <w:rsid w:val="00F47C6C"/>
    <w:rsid w:val="00F506D6"/>
    <w:rsid w:val="00F66367"/>
    <w:rsid w:val="00F67AA4"/>
    <w:rsid w:val="00F91DD9"/>
    <w:rsid w:val="00FB4F90"/>
    <w:rsid w:val="013808F3"/>
    <w:rsid w:val="01A02777"/>
    <w:rsid w:val="09B86A5E"/>
    <w:rsid w:val="0C322A42"/>
    <w:rsid w:val="12224AB5"/>
    <w:rsid w:val="18EC26E9"/>
    <w:rsid w:val="1BDE2C46"/>
    <w:rsid w:val="1D847B3C"/>
    <w:rsid w:val="29101DE8"/>
    <w:rsid w:val="32B0538C"/>
    <w:rsid w:val="3B7F11EE"/>
    <w:rsid w:val="462539E9"/>
    <w:rsid w:val="46AD0EC1"/>
    <w:rsid w:val="49E566FF"/>
    <w:rsid w:val="4D0119CF"/>
    <w:rsid w:val="56B40CC2"/>
    <w:rsid w:val="57C61E7B"/>
    <w:rsid w:val="5BA51171"/>
    <w:rsid w:val="611F0A33"/>
    <w:rsid w:val="75422974"/>
    <w:rsid w:val="BB6FCD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Indent"/>
    <w:basedOn w:val="1"/>
    <w:uiPriority w:val="0"/>
    <w:pPr>
      <w:ind w:firstLine="626"/>
    </w:pPr>
    <w:rPr>
      <w:rFonts w:ascii="仿宋_GB2312" w:eastAsia="仿宋_GB2312"/>
      <w:bCs/>
      <w:sz w:val="32"/>
    </w:rPr>
  </w:style>
  <w:style w:type="paragraph" w:styleId="3">
    <w:name w:val="Date"/>
    <w:basedOn w:val="1"/>
    <w:next w:val="1"/>
    <w:link w:val="11"/>
    <w:uiPriority w:val="0"/>
    <w:pPr>
      <w:ind w:left="100" w:leftChars="2500"/>
    </w:pPr>
  </w:style>
  <w:style w:type="paragraph" w:styleId="4">
    <w:name w:val="Balloon Text"/>
    <w:basedOn w:val="1"/>
    <w:link w:val="12"/>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styleId="10">
    <w:name w:val="Hyperlink"/>
    <w:uiPriority w:val="99"/>
    <w:rPr>
      <w:color w:val="0563C1"/>
      <w:u w:val="single"/>
    </w:rPr>
  </w:style>
  <w:style w:type="character" w:customStyle="1" w:styleId="11">
    <w:name w:val="日期 Char"/>
    <w:basedOn w:val="8"/>
    <w:link w:val="3"/>
    <w:uiPriority w:val="0"/>
    <w:rPr>
      <w:rFonts w:eastAsia="仿宋_GB2312"/>
      <w:kern w:val="2"/>
      <w:sz w:val="32"/>
      <w:szCs w:val="24"/>
    </w:rPr>
  </w:style>
  <w:style w:type="character" w:customStyle="1" w:styleId="12">
    <w:name w:val="批注框文本 Char"/>
    <w:link w:val="4"/>
    <w:uiPriority w:val="0"/>
    <w:rPr>
      <w:rFonts w:eastAsia="仿宋_GB2312"/>
      <w:kern w:val="2"/>
      <w:sz w:val="18"/>
      <w:szCs w:val="18"/>
    </w:rPr>
  </w:style>
  <w:style w:type="paragraph" w:customStyle="1" w:styleId="13">
    <w:name w:val="Char Char1 Char"/>
    <w:basedOn w:val="1"/>
    <w:uiPriority w:val="0"/>
    <w:rPr>
      <w:rFonts w:eastAsia="宋体"/>
      <w:sz w:val="21"/>
      <w:szCs w:val="21"/>
    </w:rPr>
  </w:style>
  <w:style w:type="paragraph" w:customStyle="1" w:styleId="14">
    <w:name w:val=" Char"/>
    <w:basedOn w:val="1"/>
    <w:uiPriority w:val="0"/>
    <w:pPr>
      <w:numPr>
        <w:ilvl w:val="0"/>
        <w:numId w:val="1"/>
      </w:numPr>
    </w:pPr>
    <w:rPr>
      <w:rFonts w:ascii="Calibri" w:hAnsi="Calibri"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23458;&#25143;&#21333;&#20301;\&#37325;&#24198;&#24066;&#29615;&#20445;&#23616;\&#21457;&#25991;&#27169;&#26495;\&#21442;&#25968;&#25991;&#26723;\&#28189;&#296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渝环</Template>
  <Company>重庆市环保局</Company>
  <Pages>16</Pages>
  <Words>1161</Words>
  <Characters>6623</Characters>
  <Lines>55</Lines>
  <Paragraphs>15</Paragraphs>
  <TotalTime>0</TotalTime>
  <ScaleCrop>false</ScaleCrop>
  <LinksUpToDate>false</LinksUpToDate>
  <CharactersWithSpaces>7769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2021-09-30T20:21:00Z</dcterms:created>
  <dc:creator>番茄花园</dc:creator>
  <cp:lastModifiedBy>user</cp:lastModifiedBy>
  <cp:lastPrinted>2021-09-13T23:07:00Z</cp:lastPrinted>
  <dcterms:modified xsi:type="dcterms:W3CDTF">2025-02-24T14:27:46Z</dcterms:modified>
  <dc:title>重庆市环境保护局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