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28</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3</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10</w:t>
      </w:r>
      <w:r>
        <w:rPr>
          <w:rFonts w:hint="eastAsia" w:ascii="微软雅黑" w:hAnsi="微软雅黑" w:eastAsia="微软雅黑" w:cs="微软雅黑"/>
        </w:rPr>
        <w:t>日（7日）。</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6"/>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5"/>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重庆泽胜凯吉船舶技术有限公司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报废船舶拆解项目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55</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p>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 xml:space="preserve">20250729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20250804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2404-200102-04-01-211333</w:t>
            </w:r>
          </w:p>
        </w:tc>
      </w:tr>
    </w:tbl>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BA65E83"/>
    <w:rsid w:val="1C227D17"/>
    <w:rsid w:val="1D166C2D"/>
    <w:rsid w:val="1E213C55"/>
    <w:rsid w:val="1EBA1CFE"/>
    <w:rsid w:val="1FC950A7"/>
    <w:rsid w:val="20D962C2"/>
    <w:rsid w:val="214742E3"/>
    <w:rsid w:val="21B44497"/>
    <w:rsid w:val="23672FDA"/>
    <w:rsid w:val="246510E6"/>
    <w:rsid w:val="25476E25"/>
    <w:rsid w:val="260F1C47"/>
    <w:rsid w:val="26B239DE"/>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C8707EE"/>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23575A"/>
    <w:rsid w:val="73E6131C"/>
    <w:rsid w:val="741941FC"/>
    <w:rsid w:val="77267BB9"/>
    <w:rsid w:val="773553A7"/>
    <w:rsid w:val="78485FF0"/>
    <w:rsid w:val="78544647"/>
    <w:rsid w:val="78DF73E7"/>
    <w:rsid w:val="7B807AB8"/>
    <w:rsid w:val="7C68485E"/>
    <w:rsid w:val="7D9F2E17"/>
    <w:rsid w:val="7DF767C9"/>
    <w:rsid w:val="7E1D60A2"/>
    <w:rsid w:val="7E6929CC"/>
    <w:rsid w:val="7EB41624"/>
    <w:rsid w:val="7F304154"/>
    <w:rsid w:val="7F893293"/>
    <w:rsid w:val="7FB9316D"/>
    <w:rsid w:val="7FE4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tabs>
        <w:tab w:val="left" w:pos="0"/>
        <w:tab w:val="left" w:pos="1120"/>
      </w:tabs>
      <w:spacing w:before="156" w:beforeLines="50" w:after="156" w:afterLines="50" w:line="520" w:lineRule="exact"/>
      <w:jc w:val="left"/>
      <w:outlineLvl w:val="2"/>
    </w:pPr>
    <w:rPr>
      <w:rFonts w:ascii="宋体" w:hAnsi="宋体" w:cs="Arial"/>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paragraph" w:customStyle="1" w:styleId="10">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0</TotalTime>
  <ScaleCrop>false</ScaleCrop>
  <LinksUpToDate>false</LinksUpToDate>
  <CharactersWithSpaces>764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2023-04-27T09:11:00Z</dcterms:created>
  <dc:creator>NTKO</dc:creator>
  <cp:lastModifiedBy>苏娟</cp:lastModifiedBy>
  <dcterms:modified xsi:type="dcterms:W3CDTF">2025-08-04T10:55:19Z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