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2</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8</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9</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2</w:t>
      </w:r>
      <w:r>
        <w:rPr>
          <w:rFonts w:hint="eastAsia" w:ascii="微软雅黑" w:hAnsi="微软雅黑" w:eastAsia="微软雅黑" w:cs="微软雅黑"/>
        </w:rPr>
        <w:t>月</w:t>
      </w:r>
      <w:r>
        <w:rPr>
          <w:rFonts w:hint="eastAsia" w:ascii="微软雅黑" w:hAnsi="微软雅黑" w:eastAsia="微软雅黑" w:cs="微软雅黑"/>
          <w:lang w:val="en-US" w:eastAsia="zh-CN"/>
        </w:rPr>
        <w:t>15</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pPr w:leftFromText="180" w:rightFromText="180" w:vertAnchor="text" w:horzAnchor="page" w:tblpX="1567" w:tblpY="943"/>
        <w:tblOverlap w:val="never"/>
        <w:tblW w:w="1389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重庆丁氏化工科技有限公司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阳离子电沉积涂料</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15</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20260204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20260209</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2412-500102-04-01-768470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重庆中石化通汇能源有限公司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涪陵LNG工厂氦气提质扩能改造</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17</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20260206</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20260209</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w:t>
            </w:r>
            <w:r>
              <w:rPr>
                <w:rFonts w:hint="eastAsia" w:ascii="微软雅黑" w:hAnsi="微软雅黑" w:eastAsia="微软雅黑" w:cs="微软雅黑"/>
                <w:kern w:val="0"/>
                <w:sz w:val="24"/>
                <w:szCs w:val="24"/>
                <w:lang w:val="en-US" w:eastAsia="zh-CN" w:bidi="ar-SA"/>
              </w:rPr>
              <w:t>505-500102-04-02-452836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3</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重庆四合新能源科技有限公司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涪陵龙桥至白涛燃气管道工程（二标段）</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18</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20260206</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20260209</w:t>
            </w:r>
            <w:bookmarkStart w:id="0" w:name="_GoBack"/>
            <w:bookmarkEnd w:id="0"/>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2208-500102-04-01-363466</w:t>
            </w:r>
          </w:p>
        </w:tc>
      </w:tr>
    </w:tbl>
    <w:p>
      <w:pPr>
        <w:pStyle w:val="5"/>
        <w:widowControl/>
        <w:spacing w:before="0" w:beforeAutospacing="0" w:after="0" w:afterAutospacing="0" w:line="400" w:lineRule="exact"/>
        <w:ind w:firstLine="480" w:firstLineChars="200"/>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72D4652"/>
    <w:rsid w:val="17912B0B"/>
    <w:rsid w:val="17C540CF"/>
    <w:rsid w:val="18E241E8"/>
    <w:rsid w:val="195239EE"/>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4352E99"/>
    <w:rsid w:val="44433C43"/>
    <w:rsid w:val="44F82835"/>
    <w:rsid w:val="463268F4"/>
    <w:rsid w:val="46F51C9E"/>
    <w:rsid w:val="48484DC6"/>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4B277E2"/>
    <w:rsid w:val="65482EB7"/>
    <w:rsid w:val="66F67E0E"/>
    <w:rsid w:val="67024D44"/>
    <w:rsid w:val="67905E2D"/>
    <w:rsid w:val="67A90FE2"/>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1E46350"/>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632</Words>
  <Characters>955</Characters>
  <Lines>3</Lines>
  <Paragraphs>1</Paragraphs>
  <TotalTime>0</TotalTime>
  <ScaleCrop>false</ScaleCrop>
  <LinksUpToDate>false</LinksUpToDate>
  <CharactersWithSpaces>958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NTKO</cp:lastModifiedBy>
  <dcterms:modified xsi:type="dcterms:W3CDTF">2026-02-09T02:34:23Z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