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14</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20</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734"/>
        <w:gridCol w:w="2130"/>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序号</w:t>
            </w:r>
          </w:p>
        </w:tc>
        <w:tc>
          <w:tcPr>
            <w:tcW w:w="1734"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建设单位</w:t>
            </w:r>
          </w:p>
        </w:tc>
        <w:tc>
          <w:tcPr>
            <w:tcW w:w="2130"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7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重庆同辉科盛气体有限公司</w:t>
            </w:r>
          </w:p>
        </w:tc>
        <w:tc>
          <w:tcPr>
            <w:tcW w:w="2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bookmarkStart w:id="0" w:name="OLE_LINK3"/>
            <w:r>
              <w:rPr>
                <w:rFonts w:hint="eastAsia" w:ascii="微软雅黑" w:hAnsi="微软雅黑" w:eastAsia="微软雅黑" w:cs="微软雅黑"/>
                <w:kern w:val="0"/>
                <w:sz w:val="24"/>
                <w:szCs w:val="24"/>
                <w:lang w:val="zh-CN" w:eastAsia="zh-CN" w:bidi="ar-SA"/>
              </w:rPr>
              <w:t>年产4万吨氧化亚氮生产装置</w:t>
            </w:r>
            <w:bookmarkEnd w:id="0"/>
            <w:r>
              <w:rPr>
                <w:rFonts w:hint="eastAsia" w:ascii="微软雅黑" w:hAnsi="微软雅黑" w:eastAsia="微软雅黑" w:cs="微软雅黑"/>
                <w:kern w:val="0"/>
                <w:sz w:val="24"/>
                <w:szCs w:val="24"/>
                <w:lang w:val="zh-CN" w:eastAsia="zh-CN" w:bidi="ar-SA"/>
              </w:rPr>
              <w:t>（一期）</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19</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20260210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bookmarkStart w:id="1" w:name="OLE_LINK115"/>
            <w:r>
              <w:rPr>
                <w:rFonts w:hint="eastAsia" w:ascii="微软雅黑" w:hAnsi="微软雅黑" w:eastAsia="微软雅黑" w:cs="微软雅黑"/>
                <w:kern w:val="0"/>
                <w:sz w:val="24"/>
                <w:szCs w:val="24"/>
                <w:lang w:val="en-US" w:eastAsia="zh-CN" w:bidi="ar-SA"/>
              </w:rPr>
              <w:t>2505-500102-04-01-766502</w:t>
            </w:r>
            <w:bookmarkEnd w:id="1"/>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7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中石化重庆涪陵页岩气勘探开发有限公司</w:t>
            </w:r>
          </w:p>
        </w:tc>
        <w:tc>
          <w:tcPr>
            <w:tcW w:w="2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焦页105号开发井组</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20</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20260210</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2511-500102-04-01-172631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7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中石化重庆涪陵页岩气勘探开发有限公司</w:t>
            </w:r>
          </w:p>
        </w:tc>
        <w:tc>
          <w:tcPr>
            <w:tcW w:w="2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焦页31号开发井组</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21</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20260210</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2511-500102-04-01-136092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4</w:t>
            </w:r>
          </w:p>
        </w:tc>
        <w:tc>
          <w:tcPr>
            <w:tcW w:w="17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重庆市涪陵榨菜集团股份有限公司</w:t>
            </w:r>
          </w:p>
        </w:tc>
        <w:tc>
          <w:tcPr>
            <w:tcW w:w="2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乌江涪陵榨菜绿色智能化生产基地（一期）</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22</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20260211</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20260214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方正仿宋_GBK" w:hAnsi="方正仿宋_GBK" w:eastAsia="方正仿宋_GBK" w:cs="方正仿宋_GBK"/>
                <w:bCs/>
                <w:sz w:val="32"/>
                <w:szCs w:val="32"/>
                <w:lang w:val="en-US" w:eastAsia="zh-CN"/>
              </w:rPr>
            </w:pPr>
            <w:r>
              <w:rPr>
                <w:rFonts w:hint="eastAsia" w:ascii="微软雅黑" w:hAnsi="微软雅黑" w:eastAsia="微软雅黑" w:cs="微软雅黑"/>
                <w:kern w:val="0"/>
                <w:sz w:val="24"/>
                <w:szCs w:val="24"/>
                <w:lang w:val="en-US" w:eastAsia="zh-CN" w:bidi="ar-SA"/>
              </w:rPr>
              <w:t>2020-500102-13-03-000003</w:t>
            </w:r>
          </w:p>
        </w:tc>
      </w:tr>
    </w:tbl>
    <w:p>
      <w:pPr>
        <w:pStyle w:val="5"/>
        <w:widowControl/>
        <w:spacing w:before="0" w:beforeAutospacing="0" w:after="0" w:afterAutospacing="0" w:line="400" w:lineRule="exact"/>
        <w:ind w:firstLine="480" w:firstLineChars="200"/>
        <w:jc w:val="both"/>
      </w:pPr>
    </w:p>
    <w:p>
      <w:pPr>
        <w:pStyle w:val="5"/>
        <w:widowControl/>
        <w:spacing w:before="0" w:beforeAutospacing="0" w:after="0" w:afterAutospacing="0" w:line="400" w:lineRule="exact"/>
        <w:ind w:firstLine="480" w:firstLineChars="200"/>
        <w:jc w:val="both"/>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EE73B5D"/>
    <w:rsid w:val="3F797869"/>
    <w:rsid w:val="3FFF368B"/>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27235"/>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1</TotalTime>
  <ScaleCrop>false</ScaleCrop>
  <LinksUpToDate>false</LinksUpToDate>
  <CharactersWithSpaces>958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2026-02-14T10:37:40Z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