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重庆市涪陵区生态环境监测站</w:t>
      </w:r>
    </w:p>
    <w:p>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pStyle w:val="6"/>
        <w:widowControl w:val="0"/>
        <w:shd w:val="clear" w:color="auto" w:fill="FFFFFF"/>
        <w:spacing w:before="0" w:beforeAutospacing="0" w:after="0" w:afterAutospacing="0" w:line="579" w:lineRule="exact"/>
        <w:jc w:val="both"/>
        <w:rPr>
          <w:rStyle w:val="10"/>
          <w:rFonts w:hint="default" w:ascii="方正黑体_GBK" w:hAnsi="黑体" w:eastAsia="方正黑体_GBK" w:cs="黑体"/>
          <w:b w:val="0"/>
          <w:sz w:val="32"/>
          <w:szCs w:val="32"/>
          <w:shd w:val="clear" w:color="auto" w:fill="FFFFFF"/>
        </w:rPr>
      </w:pPr>
    </w:p>
    <w:p>
      <w:pPr>
        <w:pStyle w:val="6"/>
        <w:widowControl w:val="0"/>
        <w:shd w:val="clear" w:color="auto" w:fill="FFFFFF"/>
        <w:spacing w:before="0" w:beforeAutospacing="0" w:after="0" w:afterAutospacing="0" w:line="579" w:lineRule="exact"/>
        <w:jc w:val="both"/>
        <w:rPr>
          <w:rStyle w:val="10"/>
          <w:rFonts w:hint="default" w:ascii="方正黑体_GBK" w:eastAsia="方正黑体_GBK"/>
          <w:shd w:val="clear" w:color="auto" w:fill="FFFFFF"/>
        </w:rPr>
      </w:pPr>
      <w:r>
        <w:rPr>
          <w:rStyle w:val="10"/>
          <w:rFonts w:ascii="方正黑体_GBK" w:hAnsi="黑体" w:eastAsia="方正黑体_GBK" w:cs="黑体"/>
          <w:b w:val="0"/>
          <w:sz w:val="32"/>
          <w:szCs w:val="32"/>
          <w:shd w:val="clear" w:color="auto" w:fill="FFFFFF"/>
        </w:rPr>
        <w:t>一、单位基本情况</w:t>
      </w:r>
    </w:p>
    <w:p>
      <w:pPr>
        <w:pStyle w:val="6"/>
        <w:widowControl w:val="0"/>
        <w:shd w:val="clear" w:color="auto" w:fill="FFFFFF"/>
        <w:spacing w:before="0" w:beforeAutospacing="0" w:after="0" w:afterAutospacing="0" w:line="579" w:lineRule="exact"/>
        <w:ind w:firstLine="320" w:firstLineChars="100"/>
        <w:jc w:val="both"/>
        <w:rPr>
          <w:rFonts w:hint="default" w:ascii="方正楷体_GBK" w:hAnsi="微软雅黑" w:eastAsia="方正楷体_GBK" w:cs="微软雅黑"/>
          <w:color w:val="000000"/>
          <w:sz w:val="32"/>
          <w:szCs w:val="32"/>
        </w:rPr>
      </w:pPr>
      <w:r>
        <w:rPr>
          <w:rFonts w:ascii="方正楷体_GBK" w:hAnsi="微软雅黑" w:eastAsia="方正楷体_GBK" w:cs="微软雅黑"/>
          <w:color w:val="000000"/>
          <w:sz w:val="32"/>
          <w:szCs w:val="32"/>
        </w:rPr>
        <w:t>（一）职能职责</w:t>
      </w:r>
    </w:p>
    <w:p>
      <w:pPr>
        <w:pStyle w:val="6"/>
        <w:widowControl w:val="0"/>
        <w:shd w:val="clear" w:color="auto" w:fill="FFFFFF"/>
        <w:spacing w:before="0" w:beforeAutospacing="0" w:after="0" w:afterAutospacing="0" w:line="579" w:lineRule="exact"/>
        <w:ind w:firstLine="320" w:firstLineChars="1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负责涪陵区区域内的环境执法监测、污染源监督性监测和突发环境事件应急监测；承担政府、环境保护部门委托的其他环境监测技术支持工作；开展环境监测领域科学研究，承担环境监测技术规范、方法研究；完成区生态环境局交办的其他工作。</w:t>
      </w:r>
    </w:p>
    <w:p>
      <w:pPr>
        <w:pStyle w:val="6"/>
        <w:widowControl w:val="0"/>
        <w:shd w:val="clear" w:color="auto" w:fill="FFFFFF"/>
        <w:spacing w:before="0" w:beforeAutospacing="0" w:after="0" w:afterAutospacing="0" w:line="579" w:lineRule="exact"/>
        <w:ind w:firstLine="320" w:firstLineChars="100"/>
        <w:jc w:val="both"/>
        <w:rPr>
          <w:rStyle w:val="10"/>
          <w:rFonts w:hint="default" w:ascii="方正楷体_GBK" w:hAnsi="黑体" w:eastAsia="方正楷体_GBK" w:cs="黑体"/>
          <w:shd w:val="clear" w:color="auto" w:fill="FFFFFF"/>
        </w:rPr>
      </w:pPr>
      <w:r>
        <w:rPr>
          <w:rStyle w:val="10"/>
          <w:rFonts w:ascii="方正楷体_GBK" w:hAnsi="黑体" w:eastAsia="方正楷体_GBK" w:cs="黑体"/>
          <w:b w:val="0"/>
          <w:sz w:val="32"/>
          <w:szCs w:val="32"/>
          <w:shd w:val="clear" w:color="auto" w:fill="FFFFFF"/>
        </w:rPr>
        <w:t>（二）机构设置</w:t>
      </w:r>
    </w:p>
    <w:p>
      <w:pPr>
        <w:pStyle w:val="6"/>
        <w:widowControl w:val="0"/>
        <w:shd w:val="clear" w:color="auto" w:fill="FFFFFF"/>
        <w:spacing w:before="0" w:beforeAutospacing="0" w:after="0" w:afterAutospacing="0" w:line="579" w:lineRule="exact"/>
        <w:ind w:firstLine="320" w:firstLineChars="100"/>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b w:val="0"/>
          <w:sz w:val="32"/>
          <w:szCs w:val="32"/>
          <w:shd w:val="clear" w:color="auto" w:fill="FFFFFF"/>
        </w:rPr>
        <w:t xml:space="preserve">涪陵区生态环境监测站下设办公室、监测室、应急监测室、综合业务室、质控室。  </w:t>
      </w:r>
    </w:p>
    <w:p>
      <w:pPr>
        <w:pStyle w:val="6"/>
        <w:widowControl w:val="0"/>
        <w:shd w:val="clear" w:color="auto" w:fill="FFFFFF"/>
        <w:spacing w:before="0" w:beforeAutospacing="0" w:after="0" w:afterAutospacing="0" w:line="579" w:lineRule="exact"/>
        <w:jc w:val="both"/>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二、单位决算情况说明</w:t>
      </w:r>
    </w:p>
    <w:p>
      <w:pPr>
        <w:pStyle w:val="6"/>
        <w:widowControl w:val="0"/>
        <w:shd w:val="clear" w:color="auto" w:fill="FFFFFF"/>
        <w:spacing w:before="0" w:beforeAutospacing="0" w:after="0" w:afterAutospacing="0" w:line="579" w:lineRule="exact"/>
        <w:jc w:val="both"/>
        <w:rPr>
          <w:rStyle w:val="10"/>
          <w:rFonts w:hint="default" w:ascii="方正楷体_GBK" w:hAnsi="黑体" w:eastAsia="方正楷体_GBK" w:cs="黑体"/>
          <w:b w:val="0"/>
          <w:sz w:val="32"/>
          <w:szCs w:val="32"/>
        </w:rPr>
      </w:pPr>
      <w:r>
        <w:rPr>
          <w:rStyle w:val="10"/>
          <w:rFonts w:ascii="方正楷体_GBK" w:hAnsi="黑体" w:eastAsia="方正楷体_GBK" w:cs="黑体"/>
          <w:b w:val="0"/>
          <w:sz w:val="32"/>
          <w:szCs w:val="32"/>
        </w:rPr>
        <w:t>（一）收入支出决算总体情况说明。</w:t>
      </w:r>
    </w:p>
    <w:p>
      <w:pPr>
        <w:pStyle w:val="6"/>
        <w:widowControl w:val="0"/>
        <w:shd w:val="clear" w:color="auto" w:fill="FFFFFF"/>
        <w:spacing w:before="0" w:beforeAutospacing="0" w:after="0" w:afterAutospacing="0" w:line="579" w:lineRule="exact"/>
        <w:ind w:firstLine="639" w:firstLineChars="199"/>
        <w:jc w:val="both"/>
        <w:rPr>
          <w:rStyle w:val="10"/>
          <w:rFonts w:hint="default" w:ascii="方正仿宋_GBK" w:hAnsi="黑体" w:eastAsia="方正仿宋_GBK" w:cs="黑体"/>
          <w:b w:val="0"/>
          <w:sz w:val="32"/>
          <w:szCs w:val="32"/>
          <w:shd w:val="clear" w:color="auto" w:fill="FFFFFF"/>
        </w:rPr>
      </w:pPr>
      <w:r>
        <w:rPr>
          <w:rStyle w:val="10"/>
          <w:rFonts w:ascii="方正仿宋_GBK" w:hAnsi="黑体" w:eastAsia="方正仿宋_GBK" w:cs="黑体"/>
          <w:sz w:val="32"/>
          <w:szCs w:val="32"/>
          <w:shd w:val="clear" w:color="auto" w:fill="FFFFFF"/>
        </w:rPr>
        <w:t>1.总体情况。</w:t>
      </w:r>
      <w:r>
        <w:rPr>
          <w:rStyle w:val="10"/>
          <w:rFonts w:ascii="方正仿宋_GBK" w:hAnsi="黑体" w:eastAsia="方正仿宋_GBK" w:cs="黑体"/>
          <w:b w:val="0"/>
          <w:sz w:val="32"/>
          <w:szCs w:val="32"/>
        </w:rPr>
        <w:t>2024年度收入总计2072.9万元，支出总计</w:t>
      </w:r>
      <w:r>
        <w:rPr>
          <w:rStyle w:val="10"/>
          <w:rFonts w:ascii="方正仿宋_GBK" w:hAnsi="黑体" w:eastAsia="方正仿宋_GBK" w:cs="黑体"/>
          <w:b w:val="0"/>
          <w:sz w:val="32"/>
          <w:szCs w:val="32"/>
          <w:shd w:val="clear" w:color="auto" w:fill="FFFFFF"/>
        </w:rPr>
        <w:t>2072.9</w:t>
      </w:r>
      <w:r>
        <w:rPr>
          <w:rStyle w:val="10"/>
          <w:rFonts w:ascii="方正仿宋_GBK" w:hAnsi="黑体" w:eastAsia="方正仿宋_GBK" w:cs="黑体"/>
          <w:b w:val="0"/>
          <w:sz w:val="32"/>
          <w:szCs w:val="32"/>
        </w:rPr>
        <w:t>万元。收支较上年决算数增加336.85万元，增加19.40%，主要原因是</w:t>
      </w:r>
      <w:r>
        <w:rPr>
          <w:rStyle w:val="10"/>
          <w:rFonts w:ascii="方正仿宋_GBK" w:hAnsi="黑体" w:eastAsia="方正仿宋_GBK" w:cs="黑体"/>
          <w:b w:val="0"/>
          <w:sz w:val="32"/>
          <w:szCs w:val="32"/>
          <w:shd w:val="clear" w:color="auto" w:fill="FFFFFF"/>
        </w:rPr>
        <w:t xml:space="preserve">增加了2023年“以奖促治”相关项目的结转资金。 </w:t>
      </w:r>
    </w:p>
    <w:p>
      <w:pPr>
        <w:pStyle w:val="6"/>
        <w:widowControl w:val="0"/>
        <w:shd w:val="clear" w:color="auto" w:fill="FFFFFF"/>
        <w:spacing w:before="0" w:beforeAutospacing="0" w:after="0" w:afterAutospacing="0" w:line="579" w:lineRule="exact"/>
        <w:ind w:firstLine="639" w:firstLineChars="199"/>
        <w:jc w:val="both"/>
        <w:rPr>
          <w:rFonts w:hint="default" w:ascii="方正仿宋_GBK" w:eastAsia="方正仿宋_GBK"/>
          <w:sz w:val="32"/>
          <w:szCs w:val="32"/>
        </w:rPr>
      </w:pPr>
      <w:r>
        <w:rPr>
          <w:rStyle w:val="10"/>
          <w:rFonts w:ascii="方正仿宋_GBK" w:hAnsi="黑体" w:eastAsia="方正仿宋_GBK" w:cs="黑体"/>
          <w:sz w:val="32"/>
          <w:szCs w:val="32"/>
          <w:shd w:val="clear" w:color="auto" w:fill="FFFFFF"/>
        </w:rPr>
        <w:t>2.收入情况。</w:t>
      </w:r>
      <w:r>
        <w:rPr>
          <w:rStyle w:val="10"/>
          <w:rFonts w:ascii="方正仿宋_GBK" w:hAnsi="黑体" w:eastAsia="方正仿宋_GBK" w:cs="黑体"/>
          <w:b w:val="0"/>
          <w:sz w:val="32"/>
          <w:szCs w:val="32"/>
        </w:rPr>
        <w:t>2024年度收入合计1750.65万元，较上年决算数增加189.12万元，增加12.11%，主要原因是</w:t>
      </w:r>
      <w:r>
        <w:rPr>
          <w:rStyle w:val="10"/>
          <w:rFonts w:ascii="方正仿宋_GBK" w:hAnsi="黑体" w:eastAsia="方正仿宋_GBK" w:cs="黑体"/>
          <w:b w:val="0"/>
          <w:sz w:val="32"/>
          <w:szCs w:val="32"/>
          <w:shd w:val="clear" w:color="auto" w:fill="FFFFFF"/>
        </w:rPr>
        <w:t xml:space="preserve">增加了其他收入的资金。 </w:t>
      </w:r>
      <w:r>
        <w:rPr>
          <w:rStyle w:val="10"/>
          <w:rFonts w:ascii="方正仿宋_GBK" w:hAnsi="黑体" w:eastAsia="方正仿宋_GBK" w:cs="黑体"/>
          <w:b w:val="0"/>
          <w:sz w:val="32"/>
          <w:szCs w:val="32"/>
        </w:rPr>
        <w:t>其中：财政拨款收入</w:t>
      </w:r>
      <w:r>
        <w:rPr>
          <w:rStyle w:val="10"/>
          <w:rFonts w:ascii="方正仿宋_GBK" w:hAnsi="黑体" w:eastAsia="方正仿宋_GBK" w:cs="黑体"/>
          <w:b w:val="0"/>
          <w:sz w:val="32"/>
          <w:szCs w:val="32"/>
          <w:shd w:val="clear" w:color="auto" w:fill="FFFFFF"/>
        </w:rPr>
        <w:t>833.07</w:t>
      </w:r>
      <w:r>
        <w:rPr>
          <w:rStyle w:val="10"/>
          <w:rFonts w:ascii="方正仿宋_GBK" w:hAnsi="黑体" w:eastAsia="方正仿宋_GBK" w:cs="黑体"/>
          <w:b w:val="0"/>
          <w:sz w:val="32"/>
          <w:szCs w:val="32"/>
        </w:rPr>
        <w:t>万元，占</w:t>
      </w:r>
      <w:r>
        <w:rPr>
          <w:rStyle w:val="10"/>
          <w:rFonts w:ascii="方正仿宋_GBK" w:hAnsi="黑体" w:eastAsia="方正仿宋_GBK" w:cs="黑体"/>
          <w:b w:val="0"/>
          <w:sz w:val="32"/>
          <w:szCs w:val="32"/>
          <w:shd w:val="clear" w:color="auto" w:fill="FFFFFF"/>
        </w:rPr>
        <w:t>47.59</w:t>
      </w:r>
      <w:r>
        <w:rPr>
          <w:rStyle w:val="10"/>
          <w:rFonts w:ascii="方正仿宋_GBK" w:hAnsi="黑体" w:eastAsia="方正仿宋_GBK" w:cs="黑体"/>
          <w:b w:val="0"/>
          <w:sz w:val="32"/>
          <w:szCs w:val="32"/>
        </w:rPr>
        <w:t>%；其他收入</w:t>
      </w:r>
      <w:r>
        <w:rPr>
          <w:rStyle w:val="10"/>
          <w:rFonts w:ascii="方正仿宋_GBK" w:hAnsi="黑体" w:eastAsia="方正仿宋_GBK" w:cs="黑体"/>
          <w:b w:val="0"/>
          <w:sz w:val="32"/>
          <w:szCs w:val="32"/>
          <w:shd w:val="clear" w:color="auto" w:fill="FFFFFF"/>
        </w:rPr>
        <w:t>917.58</w:t>
      </w:r>
      <w:r>
        <w:rPr>
          <w:rStyle w:val="10"/>
          <w:rFonts w:ascii="方正仿宋_GBK" w:hAnsi="黑体" w:eastAsia="方正仿宋_GBK" w:cs="黑体"/>
          <w:b w:val="0"/>
          <w:sz w:val="32"/>
          <w:szCs w:val="32"/>
        </w:rPr>
        <w:t>万元，占52.41%。</w:t>
      </w:r>
      <w:r>
        <w:rPr>
          <w:rFonts w:ascii="方正仿宋_GBK" w:hAnsi="方正仿宋_GBK" w:eastAsia="方正仿宋_GBK" w:cs="方正仿宋_GBK"/>
          <w:sz w:val="32"/>
          <w:szCs w:val="32"/>
          <w:shd w:val="clear" w:color="auto" w:fill="FFFFFF"/>
        </w:rPr>
        <w:t>年初结转和结余</w:t>
      </w:r>
      <w:r>
        <w:rPr>
          <w:rFonts w:ascii="方正仿宋_GBK" w:hAnsi="方正仿宋_GBK" w:eastAsia="方正仿宋_GBK" w:cs="方正仿宋_GBK"/>
          <w:sz w:val="32"/>
          <w:szCs w:val="32"/>
        </w:rPr>
        <w:t>322.25</w:t>
      </w:r>
      <w:r>
        <w:rPr>
          <w:rFonts w:ascii="方正仿宋_GBK" w:hAnsi="方正仿宋_GBK" w:eastAsia="方正仿宋_GBK" w:cs="方正仿宋_GBK"/>
          <w:sz w:val="32"/>
          <w:szCs w:val="32"/>
          <w:shd w:val="clear" w:color="auto" w:fill="FFFFFF"/>
        </w:rPr>
        <w:t>万元。</w:t>
      </w:r>
    </w:p>
    <w:p>
      <w:pPr>
        <w:widowControl w:val="0"/>
        <w:overflowPunct w:val="0"/>
        <w:topLinePunct/>
        <w:spacing w:line="579" w:lineRule="exact"/>
        <w:ind w:firstLine="629" w:firstLineChars="196"/>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2047.56</w:t>
      </w:r>
      <w:r>
        <w:rPr>
          <w:rFonts w:ascii="方正仿宋_GBK" w:hAnsi="方正仿宋_GBK" w:eastAsia="方正仿宋_GBK" w:cs="方正仿宋_GBK"/>
          <w:sz w:val="32"/>
          <w:szCs w:val="32"/>
          <w:shd w:val="clear" w:color="auto" w:fill="FFFFFF"/>
        </w:rPr>
        <w:t>万元，较上年决算数增加633.75万元，增加44.83%，主要原因是</w:t>
      </w:r>
      <w:r>
        <w:rPr>
          <w:rFonts w:ascii="方正仿宋_GBK" w:eastAsia="方正仿宋_GBK"/>
          <w:sz w:val="32"/>
          <w:szCs w:val="32"/>
        </w:rPr>
        <w:t xml:space="preserve">增加了2023年“以奖促治”相关项目资金支出。 </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1103.96</w:t>
      </w:r>
      <w:r>
        <w:rPr>
          <w:rFonts w:ascii="方正仿宋_GBK" w:hAnsi="方正仿宋_GBK" w:eastAsia="方正仿宋_GBK" w:cs="方正仿宋_GBK"/>
          <w:sz w:val="32"/>
          <w:szCs w:val="32"/>
          <w:shd w:val="clear" w:color="auto" w:fill="FFFFFF"/>
        </w:rPr>
        <w:t>万元，占53.92%；项目支出</w:t>
      </w:r>
      <w:r>
        <w:rPr>
          <w:rFonts w:ascii="方正仿宋_GBK" w:hAnsi="方正仿宋_GBK" w:eastAsia="方正仿宋_GBK" w:cs="方正仿宋_GBK"/>
          <w:sz w:val="32"/>
          <w:szCs w:val="32"/>
        </w:rPr>
        <w:t>943.60</w:t>
      </w:r>
      <w:r>
        <w:rPr>
          <w:rFonts w:ascii="方正仿宋_GBK" w:hAnsi="方正仿宋_GBK" w:eastAsia="方正仿宋_GBK" w:cs="方正仿宋_GBK"/>
          <w:sz w:val="32"/>
          <w:szCs w:val="32"/>
          <w:shd w:val="clear" w:color="auto" w:fill="FFFFFF"/>
        </w:rPr>
        <w:t>万元，占46.08%。</w:t>
      </w:r>
    </w:p>
    <w:p>
      <w:pPr>
        <w:widowControl w:val="0"/>
        <w:overflowPunct w:val="0"/>
        <w:topLinePunct/>
        <w:spacing w:line="579" w:lineRule="exact"/>
        <w:ind w:firstLine="629" w:firstLineChars="196"/>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25.34</w:t>
      </w:r>
      <w:r>
        <w:rPr>
          <w:rFonts w:ascii="方正仿宋_GBK" w:hAnsi="方正仿宋_GBK" w:eastAsia="方正仿宋_GBK" w:cs="方正仿宋_GBK"/>
          <w:sz w:val="32"/>
          <w:szCs w:val="32"/>
          <w:shd w:val="clear" w:color="auto" w:fill="FFFFFF"/>
        </w:rPr>
        <w:t>万元，较上年决算数减少296.91万元，减少92.14%，主要原因是</w:t>
      </w:r>
      <w:r>
        <w:rPr>
          <w:rFonts w:ascii="方正仿宋_GBK" w:eastAsia="方正仿宋_GBK"/>
          <w:sz w:val="32"/>
          <w:szCs w:val="32"/>
        </w:rPr>
        <w:t>减少了2023年“以奖促治”相关项目的结转和结余。</w:t>
      </w:r>
    </w:p>
    <w:p>
      <w:pPr>
        <w:pStyle w:val="11"/>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pPr>
        <w:widowControl w:val="0"/>
        <w:overflowPunct w:val="0"/>
        <w:topLinePunct/>
        <w:spacing w:line="579"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2024年度财政拨款收、支总计833.07万元。与2023年相比，财政拨款收、支总计各增加51.29万元，增长6.56%。主要原因是</w:t>
      </w:r>
      <w:r>
        <w:rPr>
          <w:rFonts w:ascii="方正仿宋_GBK" w:eastAsia="方正仿宋_GBK"/>
          <w:sz w:val="32"/>
          <w:szCs w:val="32"/>
        </w:rPr>
        <w:t>增加了事业人员工资及超额绩效工资的收入及支出。</w:t>
      </w:r>
    </w:p>
    <w:p>
      <w:pPr>
        <w:pStyle w:val="6"/>
        <w:snapToGrid w:val="0"/>
        <w:spacing w:before="0" w:beforeAutospacing="0" w:after="0" w:afterAutospacing="0" w:line="579" w:lineRule="exact"/>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pPr>
        <w:widowControl w:val="0"/>
        <w:overflowPunct w:val="0"/>
        <w:topLinePunct/>
        <w:spacing w:line="579" w:lineRule="exact"/>
        <w:ind w:firstLine="629" w:firstLineChars="196"/>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833.07</w:t>
      </w:r>
      <w:r>
        <w:rPr>
          <w:rFonts w:ascii="方正仿宋_GBK" w:hAnsi="方正仿宋_GBK" w:eastAsia="方正仿宋_GBK" w:cs="方正仿宋_GBK"/>
          <w:sz w:val="32"/>
          <w:szCs w:val="32"/>
          <w:shd w:val="clear" w:color="auto" w:fill="FFFFFF"/>
        </w:rPr>
        <w:t>万元，较上年决算数增加51.29万元，增长6.56%。主要原因是</w:t>
      </w:r>
      <w:r>
        <w:rPr>
          <w:rFonts w:ascii="方正仿宋_GBK" w:eastAsia="方正仿宋_GBK"/>
          <w:sz w:val="32"/>
          <w:szCs w:val="32"/>
        </w:rPr>
        <w:t>增加了事业人员工资及超额绩效工资的收入。</w:t>
      </w:r>
      <w:r>
        <w:rPr>
          <w:rFonts w:ascii="方正仿宋_GBK" w:hAnsi="方正仿宋_GBK" w:eastAsia="方正仿宋_GBK" w:cs="方正仿宋_GBK"/>
          <w:sz w:val="32"/>
          <w:szCs w:val="32"/>
          <w:shd w:val="clear" w:color="auto" w:fill="FFFFFF"/>
        </w:rPr>
        <w:t>较年初预算数增加128.2</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万元，增长18.19%。主要原因是</w:t>
      </w:r>
      <w:r>
        <w:rPr>
          <w:rFonts w:ascii="方正仿宋_GBK" w:eastAsia="方正仿宋_GBK"/>
          <w:sz w:val="32"/>
          <w:szCs w:val="32"/>
        </w:rPr>
        <w:t>增加了事业人员工资及超额绩效工资的收入。</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9" w:lineRule="exact"/>
        <w:ind w:firstLine="629" w:firstLineChars="196"/>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833.07</w:t>
      </w:r>
      <w:r>
        <w:rPr>
          <w:rFonts w:ascii="方正仿宋_GBK" w:hAnsi="方正仿宋_GBK" w:eastAsia="方正仿宋_GBK" w:cs="方正仿宋_GBK"/>
          <w:sz w:val="32"/>
          <w:szCs w:val="32"/>
          <w:shd w:val="clear" w:color="auto" w:fill="FFFFFF"/>
        </w:rPr>
        <w:t>万元，较上年决算数增加51.29万元，增长6.56%。主要原因是</w:t>
      </w:r>
      <w:r>
        <w:rPr>
          <w:rFonts w:ascii="方正仿宋_GBK" w:eastAsia="方正仿宋_GBK"/>
          <w:sz w:val="32"/>
          <w:szCs w:val="32"/>
        </w:rPr>
        <w:t>增加了事业人员工资及超额绩效工资的支出。</w:t>
      </w:r>
      <w:r>
        <w:rPr>
          <w:rFonts w:ascii="方正仿宋_GBK" w:hAnsi="方正仿宋_GBK" w:eastAsia="方正仿宋_GBK" w:cs="方正仿宋_GBK"/>
          <w:sz w:val="32"/>
          <w:szCs w:val="32"/>
          <w:shd w:val="clear" w:color="auto" w:fill="FFFFFF"/>
        </w:rPr>
        <w:t>较年初预算数增加128.2</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万元，增长18.19%。主要原因是</w:t>
      </w:r>
      <w:r>
        <w:rPr>
          <w:rFonts w:ascii="方正仿宋_GBK" w:eastAsia="方正仿宋_GBK"/>
          <w:sz w:val="32"/>
          <w:szCs w:val="32"/>
        </w:rPr>
        <w:t>增加了事业人员工资及超额绩效工资的支出。</w:t>
      </w:r>
    </w:p>
    <w:p>
      <w:pPr>
        <w:pStyle w:val="6"/>
        <w:snapToGrid w:val="0"/>
        <w:spacing w:before="0" w:beforeAutospacing="0" w:after="0" w:afterAutospacing="0" w:line="579" w:lineRule="exact"/>
        <w:ind w:firstLine="629" w:firstLineChars="196"/>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pPr>
        <w:pStyle w:val="6"/>
        <w:snapToGrid w:val="0"/>
        <w:spacing w:before="0" w:beforeAutospacing="0" w:after="0" w:afterAutospacing="0" w:line="579" w:lineRule="exact"/>
        <w:ind w:firstLine="629" w:firstLineChars="196"/>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79" w:lineRule="exact"/>
        <w:ind w:firstLine="480" w:firstLineChars="1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151.96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18.24</w:t>
      </w:r>
      <w:r>
        <w:rPr>
          <w:rFonts w:ascii="方正仿宋_GBK" w:hAnsi="方正仿宋_GBK" w:eastAsia="方正仿宋_GBK" w:cs="方正仿宋_GBK"/>
          <w:sz w:val="32"/>
          <w:szCs w:val="32"/>
          <w:shd w:val="clear" w:color="auto" w:fill="FFFFFF"/>
        </w:rPr>
        <w:t>%，较年初预算数增加85.</w:t>
      </w:r>
      <w:r>
        <w:rPr>
          <w:rFonts w:ascii="方正仿宋_GBK" w:hAnsi="方正仿宋_GBK" w:eastAsia="方正仿宋_GBK" w:cs="方正仿宋_GBK"/>
          <w:sz w:val="32"/>
          <w:szCs w:val="32"/>
        </w:rPr>
        <w:t xml:space="preserve"> 00</w:t>
      </w:r>
      <w:r>
        <w:rPr>
          <w:rFonts w:ascii="方正仿宋_GBK" w:hAnsi="方正仿宋_GBK" w:eastAsia="方正仿宋_GBK" w:cs="方正仿宋_GBK"/>
          <w:sz w:val="32"/>
          <w:szCs w:val="32"/>
          <w:shd w:val="clear" w:color="auto" w:fill="FFFFFF"/>
        </w:rPr>
        <w:t>万元，增长126.94%，主要原因是</w:t>
      </w:r>
      <w:r>
        <w:rPr>
          <w:rFonts w:ascii="方正仿宋_GBK" w:hAnsi="方正仿宋_GBK" w:eastAsia="方正仿宋_GBK" w:cs="方正仿宋_GBK"/>
          <w:sz w:val="32"/>
          <w:szCs w:val="32"/>
        </w:rPr>
        <w:t>人员的养</w:t>
      </w:r>
      <w:r>
        <w:rPr>
          <w:rFonts w:ascii="方正仿宋_GBK" w:eastAsia="方正仿宋_GBK" w:cs="宋体"/>
          <w:sz w:val="32"/>
          <w:szCs w:val="32"/>
        </w:rPr>
        <w:t>老保险、职业年金等费用的增加。</w:t>
      </w:r>
    </w:p>
    <w:p>
      <w:pPr>
        <w:pStyle w:val="6"/>
        <w:snapToGrid w:val="0"/>
        <w:spacing w:before="0" w:beforeAutospacing="0" w:after="0" w:afterAutospacing="0" w:line="579" w:lineRule="exact"/>
        <w:ind w:firstLine="480" w:firstLineChars="1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4.39</w:t>
      </w:r>
      <w:r>
        <w:rPr>
          <w:rFonts w:ascii="方正仿宋_GBK" w:hAnsi="方正仿宋_GBK" w:eastAsia="方正仿宋_GBK" w:cs="方正仿宋_GBK"/>
          <w:sz w:val="32"/>
          <w:szCs w:val="32"/>
          <w:shd w:val="clear" w:color="auto" w:fill="FFFFFF"/>
        </w:rPr>
        <w:t>%，</w:t>
      </w:r>
      <w:bookmarkStart w:id="0" w:name="OLE_LINK1"/>
      <w:bookmarkStart w:id="1" w:name="OLE_LINK2"/>
      <w:r>
        <w:rPr>
          <w:rFonts w:ascii="方正仿宋_GBK" w:hAnsi="方正仿宋_GBK" w:eastAsia="方正仿宋_GBK" w:cs="方正仿宋_GBK"/>
          <w:sz w:val="32"/>
          <w:szCs w:val="32"/>
          <w:shd w:val="clear" w:color="auto" w:fill="FFFFFF"/>
        </w:rPr>
        <w:t>与年初预算数持平，没有增减。</w:t>
      </w:r>
    </w:p>
    <w:bookmarkEnd w:id="0"/>
    <w:bookmarkEnd w:id="1"/>
    <w:p>
      <w:pPr>
        <w:pStyle w:val="6"/>
        <w:snapToGrid w:val="0"/>
        <w:spacing w:before="0" w:beforeAutospacing="0" w:after="0" w:afterAutospacing="0" w:line="579" w:lineRule="exact"/>
        <w:ind w:firstLine="480" w:firstLineChars="1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（3）节能环保支出</w:t>
      </w:r>
      <w:r>
        <w:rPr>
          <w:rFonts w:ascii="方正仿宋_GBK" w:hAnsi="方正仿宋_GBK" w:eastAsia="方正仿宋_GBK" w:cs="方正仿宋_GBK"/>
          <w:sz w:val="32"/>
          <w:szCs w:val="32"/>
        </w:rPr>
        <w:t>611.09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73.35</w:t>
      </w:r>
      <w:r>
        <w:rPr>
          <w:rFonts w:ascii="方正仿宋_GBK" w:hAnsi="方正仿宋_GBK" w:eastAsia="方正仿宋_GBK" w:cs="方正仿宋_GBK"/>
          <w:sz w:val="32"/>
          <w:szCs w:val="32"/>
          <w:shd w:val="clear" w:color="auto" w:fill="FFFFFF"/>
        </w:rPr>
        <w:t>%，较年初预算数增加43.2</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万元，增长7.6%，主要原因是相关环境监测费用的增加。</w:t>
      </w:r>
    </w:p>
    <w:p>
      <w:pPr>
        <w:pStyle w:val="6"/>
        <w:snapToGrid w:val="0"/>
        <w:spacing w:before="0" w:beforeAutospacing="0" w:after="0" w:afterAutospacing="0" w:line="579" w:lineRule="exact"/>
        <w:ind w:firstLine="480" w:firstLineChars="1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住房保障支出33.48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4.02</w:t>
      </w:r>
      <w:r>
        <w:rPr>
          <w:rFonts w:ascii="方正仿宋_GBK" w:hAnsi="方正仿宋_GBK" w:eastAsia="方正仿宋_GBK" w:cs="方正仿宋_GBK"/>
          <w:sz w:val="32"/>
          <w:szCs w:val="32"/>
          <w:shd w:val="clear" w:color="auto" w:fill="FFFFFF"/>
        </w:rPr>
        <w:t>%，与年初预算数持平，没有增减。</w:t>
      </w:r>
    </w:p>
    <w:p>
      <w:pPr>
        <w:spacing w:line="579" w:lineRule="exact"/>
        <w:ind w:firstLine="480" w:firstLineChars="15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pPr>
        <w:widowControl w:val="0"/>
        <w:overflowPunct w:val="0"/>
        <w:topLinePunct/>
        <w:spacing w:line="579" w:lineRule="exact"/>
        <w:jc w:val="both"/>
        <w:rPr>
          <w:rFonts w:hint="default" w:ascii="方正仿宋_GBK" w:eastAsia="方正仿宋_GBK"/>
          <w:sz w:val="32"/>
          <w:szCs w:val="32"/>
        </w:rPr>
      </w:pPr>
      <w:r>
        <w:rPr>
          <w:rFonts w:cs="宋体"/>
          <w:sz w:val="32"/>
          <w:szCs w:val="32"/>
          <w:shd w:val="clear" w:color="auto" w:fill="FFFFFF"/>
        </w:rPr>
        <w:t xml:space="preserve">   </w:t>
      </w: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781.72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718.59</w:t>
      </w:r>
      <w:r>
        <w:rPr>
          <w:rFonts w:ascii="方正仿宋_GBK" w:hAnsi="方正仿宋_GBK" w:eastAsia="方正仿宋_GBK" w:cs="方正仿宋_GBK"/>
          <w:sz w:val="32"/>
          <w:szCs w:val="32"/>
          <w:shd w:val="clear" w:color="auto" w:fill="FFFFFF"/>
        </w:rPr>
        <w:t>万元，较上年决算数增加79.04万元，增加12.36%，主要原因是本年实际各类人员支出较上年有所增加。人员经费用途主要包括</w:t>
      </w:r>
      <w:r>
        <w:rPr>
          <w:rFonts w:ascii="方正仿宋_GBK" w:eastAsia="方正仿宋_GBK"/>
          <w:sz w:val="32"/>
          <w:szCs w:val="32"/>
        </w:rPr>
        <w:t>基本工资、津贴补贴、绩效工资、社会保障缴费、住房公积金、其他工资福利支出。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63.13</w:t>
      </w:r>
      <w:r>
        <w:rPr>
          <w:rFonts w:ascii="方正仿宋_GBK" w:hAnsi="方正仿宋_GBK" w:eastAsia="方正仿宋_GBK" w:cs="方正仿宋_GBK"/>
          <w:sz w:val="32"/>
          <w:szCs w:val="32"/>
          <w:shd w:val="clear" w:color="auto" w:fill="FFFFFF"/>
        </w:rPr>
        <w:t>万元，较上年决算数减少27.76万元，减少30.54%，主要原因是本年实际各类公用经费支出进行了压减。公用经费用途主要包括</w:t>
      </w:r>
      <w:r>
        <w:rPr>
          <w:rFonts w:ascii="方正仿宋_GBK" w:eastAsia="方正仿宋_GBK"/>
          <w:sz w:val="32"/>
          <w:szCs w:val="32"/>
        </w:rPr>
        <w:t>办公费、手续费、水费、电费、邮电费、物业管理费、差旅费、租赁费、维修（护）费、公务接待费、劳务费、专用材料费、公务用车运行维护费、其他交通费用、工会经费、职工教育费。</w:t>
      </w:r>
    </w:p>
    <w:p>
      <w:pPr>
        <w:pStyle w:val="6"/>
        <w:snapToGrid w:val="0"/>
        <w:spacing w:before="0" w:beforeAutospacing="0" w:after="0" w:afterAutospacing="0" w:line="579" w:lineRule="exact"/>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（五）政府性基金预算收支决算情况说明</w:t>
      </w:r>
    </w:p>
    <w:p>
      <w:pPr>
        <w:widowControl w:val="0"/>
        <w:spacing w:line="579" w:lineRule="exact"/>
        <w:jc w:val="both"/>
        <w:rPr>
          <w:rFonts w:hint="default" w:ascii="方正仿宋_GBK" w:eastAsia="方正仿宋_GBK"/>
          <w:sz w:val="32"/>
          <w:szCs w:val="32"/>
        </w:rPr>
      </w:pPr>
      <w:r>
        <w:rPr>
          <w:rFonts w:ascii="方正仿宋_GBK" w:eastAsia="方正仿宋_GBK"/>
          <w:sz w:val="32"/>
          <w:szCs w:val="32"/>
        </w:rPr>
        <w:t>本单位2024年度无政府性基金预算财政拨款收支。</w:t>
      </w:r>
    </w:p>
    <w:p>
      <w:pPr>
        <w:pStyle w:val="11"/>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pPr>
        <w:pStyle w:val="6"/>
        <w:snapToGrid w:val="0"/>
        <w:spacing w:before="0" w:beforeAutospacing="0" w:after="0" w:afterAutospacing="0" w:line="579" w:lineRule="exact"/>
        <w:jc w:val="both"/>
        <w:rPr>
          <w:rFonts w:hint="default" w:ascii="方正仿宋_GBK" w:eastAsia="方正仿宋_GBK"/>
          <w:sz w:val="32"/>
          <w:szCs w:val="32"/>
        </w:rPr>
      </w:pPr>
      <w:r>
        <w:rPr>
          <w:rFonts w:ascii="方正仿宋_GBK" w:eastAsia="方正仿宋_GBK"/>
          <w:sz w:val="32"/>
          <w:szCs w:val="32"/>
        </w:rPr>
        <w:t>本单位2024年度无国有资本经营预算财政拨款支出。</w:t>
      </w:r>
    </w:p>
    <w:p>
      <w:pPr>
        <w:pStyle w:val="6"/>
        <w:snapToGrid w:val="0"/>
        <w:spacing w:before="0" w:beforeAutospacing="0" w:after="0" w:afterAutospacing="0" w:line="579" w:lineRule="exact"/>
        <w:jc w:val="both"/>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三、“三公”经费情况说明</w:t>
      </w:r>
    </w:p>
    <w:p>
      <w:pPr>
        <w:pStyle w:val="11"/>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pPr>
        <w:pStyle w:val="6"/>
        <w:snapToGrid w:val="0"/>
        <w:spacing w:before="0" w:beforeAutospacing="0" w:after="0" w:afterAutospacing="0" w:line="579" w:lineRule="exact"/>
        <w:ind w:firstLine="640" w:firstLineChars="200"/>
        <w:jc w:val="both"/>
        <w:rPr>
          <w:rFonts w:hint="default" w:ascii="方正仿宋_GBK" w:eastAsia="方正仿宋_GBK"/>
          <w:sz w:val="32"/>
          <w:szCs w:val="32"/>
          <w:lang w:val="en-US" w:eastAsia="zh-CN"/>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10.5</w:t>
      </w:r>
      <w:bookmarkStart w:id="2" w:name="OLE_LINK8"/>
      <w:bookmarkStart w:id="3" w:name="OLE_LINK7"/>
      <w:r>
        <w:rPr>
          <w:rFonts w:ascii="方正仿宋_GBK" w:hAnsi="方正仿宋_GBK" w:eastAsia="方正仿宋_GBK" w:cs="方正仿宋_GBK"/>
          <w:sz w:val="32"/>
          <w:szCs w:val="32"/>
        </w:rPr>
        <w:t>0</w:t>
      </w:r>
      <w:bookmarkEnd w:id="2"/>
      <w:bookmarkEnd w:id="3"/>
      <w:r>
        <w:rPr>
          <w:rFonts w:ascii="方正仿宋_GBK" w:hAnsi="方正仿宋_GBK" w:eastAsia="方正仿宋_GBK" w:cs="方正仿宋_GBK"/>
          <w:sz w:val="32"/>
          <w:szCs w:val="32"/>
          <w:shd w:val="clear" w:color="auto" w:fill="FFFFFF"/>
        </w:rPr>
        <w:t>万元，与年初预算数持平，主要原因是</w:t>
      </w:r>
      <w:r>
        <w:rPr>
          <w:rFonts w:ascii="方正仿宋_GBK" w:eastAsia="方正仿宋_GBK"/>
          <w:sz w:val="32"/>
          <w:szCs w:val="32"/>
        </w:rPr>
        <w:t>严格预算管理，不超预算支出。</w:t>
      </w:r>
      <w:bookmarkStart w:id="16" w:name="_GoBack"/>
      <w:r>
        <w:rPr>
          <w:rFonts w:hint="eastAsia" w:ascii="方正仿宋_GBK" w:eastAsia="方正仿宋_GBK"/>
          <w:sz w:val="32"/>
          <w:szCs w:val="32"/>
          <w:lang w:eastAsia="zh-CN"/>
        </w:rPr>
        <w:t>较上年增加</w:t>
      </w:r>
      <w:r>
        <w:rPr>
          <w:rFonts w:hint="eastAsia" w:ascii="方正仿宋_GBK" w:eastAsia="方正仿宋_GBK"/>
          <w:sz w:val="32"/>
          <w:szCs w:val="32"/>
          <w:lang w:val="en-US" w:eastAsia="zh-CN"/>
        </w:rPr>
        <w:t>3.3万元，增加45.83%，主要原因是公务用车运行维护费较上年增加。</w:t>
      </w:r>
    </w:p>
    <w:bookmarkEnd w:id="16"/>
    <w:p>
      <w:pPr>
        <w:pStyle w:val="6"/>
        <w:snapToGrid w:val="0"/>
        <w:spacing w:before="0" w:beforeAutospacing="0" w:after="0" w:afterAutospacing="0" w:line="579" w:lineRule="exact"/>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（二）“三公”经费分项支出情况</w:t>
      </w:r>
    </w:p>
    <w:p>
      <w:pPr>
        <w:pStyle w:val="6"/>
        <w:snapToGrid w:val="0"/>
        <w:spacing w:before="0" w:beforeAutospacing="0" w:after="0" w:afterAutospacing="0" w:line="579"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w:t>
      </w:r>
      <w:bookmarkStart w:id="4" w:name="OLE_LINK10"/>
      <w:bookmarkStart w:id="5" w:name="OLE_LINK9"/>
      <w:r>
        <w:rPr>
          <w:rFonts w:ascii="方正仿宋_GBK" w:hAnsi="方正仿宋_GBK" w:eastAsia="方正仿宋_GBK" w:cs="方正仿宋_GBK"/>
          <w:sz w:val="32"/>
          <w:szCs w:val="32"/>
          <w:shd w:val="clear" w:color="auto" w:fill="FFFFFF"/>
        </w:rPr>
        <w:t>较年初预算数无增减</w:t>
      </w:r>
      <w:bookmarkEnd w:id="4"/>
      <w:bookmarkEnd w:id="5"/>
      <w:r>
        <w:rPr>
          <w:rFonts w:ascii="方正仿宋_GBK" w:hAnsi="方正仿宋_GBK" w:eastAsia="方正仿宋_GBK" w:cs="方正仿宋_GBK"/>
          <w:sz w:val="32"/>
          <w:szCs w:val="32"/>
          <w:shd w:val="clear" w:color="auto" w:fill="FFFFFF"/>
        </w:rPr>
        <w:t>，较上年支出数无增减，主要原因是本单位2024年度未发生因公出国（境）费用支出。 </w:t>
      </w:r>
    </w:p>
    <w:p>
      <w:pPr>
        <w:pStyle w:val="6"/>
        <w:snapToGrid w:val="0"/>
        <w:spacing w:before="0" w:beforeAutospacing="0" w:after="0" w:afterAutospacing="0" w:line="579"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万元，费用支出较年初预算数无增减，较上年支出数无增减，主要原因是本单位2024年度未发生公务车购置费用支出。 </w:t>
      </w:r>
    </w:p>
    <w:p>
      <w:pPr>
        <w:widowControl w:val="0"/>
        <w:overflowPunct w:val="0"/>
        <w:topLinePunct/>
        <w:spacing w:line="579" w:lineRule="exact"/>
        <w:ind w:firstLine="640" w:firstLineChars="200"/>
        <w:jc w:val="both"/>
        <w:rPr>
          <w:rFonts w:hint="default" w:cs="宋体"/>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环境监测外出采样等工作所需车辆的燃料费、维修费、过路过桥费、保险费等。</w:t>
      </w:r>
      <w:r>
        <w:rPr>
          <w:rFonts w:ascii="方正仿宋_GBK" w:hAnsi="方正仿宋_GBK" w:eastAsia="方正仿宋_GBK" w:cs="方正仿宋_GBK"/>
          <w:sz w:val="32"/>
          <w:szCs w:val="32"/>
          <w:shd w:val="clear" w:color="auto" w:fill="FFFFFF"/>
        </w:rPr>
        <w:t>费用支出与年初预算数持平，主要原因是</w:t>
      </w:r>
      <w:r>
        <w:rPr>
          <w:rFonts w:ascii="方正仿宋_GBK" w:eastAsia="方正仿宋_GBK"/>
          <w:sz w:val="32"/>
          <w:szCs w:val="32"/>
        </w:rPr>
        <w:t>严格预算管理，</w:t>
      </w:r>
      <w:bookmarkStart w:id="6" w:name="OLE_LINK3"/>
      <w:bookmarkStart w:id="7" w:name="OLE_LINK4"/>
      <w:r>
        <w:rPr>
          <w:rFonts w:ascii="方正仿宋_GBK" w:eastAsia="方正仿宋_GBK"/>
          <w:sz w:val="32"/>
          <w:szCs w:val="32"/>
        </w:rPr>
        <w:t>不超预算支出。</w:t>
      </w:r>
      <w:bookmarkEnd w:id="6"/>
      <w:bookmarkEnd w:id="7"/>
      <w:r>
        <w:rPr>
          <w:rFonts w:ascii="方正仿宋_GBK" w:hAnsi="方正仿宋_GBK" w:eastAsia="方正仿宋_GBK" w:cs="方正仿宋_GBK"/>
          <w:sz w:val="32"/>
          <w:szCs w:val="32"/>
          <w:shd w:val="clear" w:color="auto" w:fill="FFFFFF"/>
        </w:rPr>
        <w:t>较上年支出数增加3.2万元，增加47.06%，主要原因是</w:t>
      </w:r>
      <w:bookmarkStart w:id="8" w:name="OLE_LINK11"/>
      <w:bookmarkStart w:id="9" w:name="OLE_LINK12"/>
      <w:r>
        <w:rPr>
          <w:rFonts w:ascii="方正仿宋_GBK" w:eastAsia="方正仿宋_GBK"/>
          <w:sz w:val="32"/>
          <w:szCs w:val="32"/>
        </w:rPr>
        <w:t>本年公务用车运行维护实际费用较上年有所增加。</w:t>
      </w:r>
      <w:r>
        <w:rPr>
          <w:rFonts w:cs="宋体"/>
          <w:sz w:val="32"/>
          <w:szCs w:val="32"/>
          <w:shd w:val="clear" w:color="auto" w:fill="FFFFFF"/>
        </w:rPr>
        <w:t> </w:t>
      </w:r>
    </w:p>
    <w:bookmarkEnd w:id="8"/>
    <w:bookmarkEnd w:id="9"/>
    <w:p>
      <w:pPr>
        <w:widowControl w:val="0"/>
        <w:overflowPunct w:val="0"/>
        <w:topLinePunct/>
        <w:spacing w:line="579" w:lineRule="exact"/>
        <w:ind w:firstLine="640" w:firstLineChars="200"/>
        <w:jc w:val="both"/>
        <w:rPr>
          <w:rFonts w:hint="default" w:cs="宋体"/>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0.5</w:t>
      </w:r>
      <w:bookmarkStart w:id="10" w:name="OLE_LINK6"/>
      <w:bookmarkStart w:id="11" w:name="OLE_LINK5"/>
      <w:r>
        <w:rPr>
          <w:rFonts w:ascii="方正仿宋_GBK" w:hAnsi="方正仿宋_GBK" w:eastAsia="方正仿宋_GBK" w:cs="方正仿宋_GBK"/>
          <w:sz w:val="32"/>
          <w:szCs w:val="32"/>
        </w:rPr>
        <w:t>0</w:t>
      </w:r>
      <w:bookmarkEnd w:id="10"/>
      <w:bookmarkEnd w:id="11"/>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接待市生态环境局、市生态环境监测中心等领导、专家到我单位检查指导工作。</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sz w:val="32"/>
          <w:szCs w:val="32"/>
        </w:rPr>
        <w:t>严格预算管理，不超预算支出。</w:t>
      </w:r>
      <w:r>
        <w:rPr>
          <w:rFonts w:ascii="方正仿宋_GBK" w:hAnsi="方正仿宋_GBK" w:eastAsia="方正仿宋_GBK" w:cs="方正仿宋_GBK"/>
          <w:sz w:val="32"/>
          <w:szCs w:val="32"/>
          <w:shd w:val="clear" w:color="auto" w:fill="FFFFFF"/>
        </w:rPr>
        <w:t>较上年支出数增加0.1</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万元，增加25%，主要原因是</w:t>
      </w:r>
      <w:r>
        <w:rPr>
          <w:rFonts w:ascii="方正仿宋_GBK" w:eastAsia="方正仿宋_GBK"/>
          <w:sz w:val="32"/>
          <w:szCs w:val="32"/>
        </w:rPr>
        <w:t>本年公务接待实际费用较上年有所增加。</w:t>
      </w:r>
    </w:p>
    <w:p>
      <w:pPr>
        <w:widowControl w:val="0"/>
        <w:overflowPunct w:val="0"/>
        <w:topLinePunct/>
        <w:spacing w:line="579" w:lineRule="exact"/>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（三）“三公”经费实物量情况</w:t>
      </w:r>
    </w:p>
    <w:p>
      <w:pPr>
        <w:pStyle w:val="6"/>
        <w:snapToGrid w:val="0"/>
        <w:spacing w:before="0" w:beforeAutospacing="0" w:after="0" w:afterAutospacing="0" w:line="579"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81.97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2.5</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79" w:lineRule="exact"/>
        <w:jc w:val="both"/>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b w:val="0"/>
          <w:sz w:val="32"/>
          <w:szCs w:val="32"/>
          <w:shd w:val="clear" w:color="auto" w:fill="FFFFFF"/>
        </w:rPr>
        <w:t>四、其他需要说明的事项</w:t>
      </w:r>
    </w:p>
    <w:p>
      <w:pPr>
        <w:pStyle w:val="11"/>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bookmarkStart w:id="12" w:name="OLE_LINK13"/>
      <w:bookmarkStart w:id="13" w:name="OLE_LINK14"/>
      <w:r>
        <w:rPr>
          <w:rFonts w:ascii="方正仿宋_GBK" w:hAnsi="方正仿宋_GBK" w:eastAsia="方正仿宋_GBK" w:cs="方正仿宋_GBK"/>
          <w:sz w:val="32"/>
          <w:szCs w:val="32"/>
          <w:shd w:val="clear" w:color="auto" w:fill="FFFFFF"/>
        </w:rPr>
        <w:t xml:space="preserve"> 本年度会议费支出</w:t>
      </w:r>
      <w:bookmarkStart w:id="14" w:name="OLE_LINK16"/>
      <w:bookmarkStart w:id="15" w:name="OLE_LINK15"/>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End w:id="14"/>
      <w:bookmarkEnd w:id="15"/>
      <w:r>
        <w:rPr>
          <w:rFonts w:ascii="方正仿宋_GBK" w:hAnsi="方正仿宋_GBK" w:eastAsia="方正仿宋_GBK" w:cs="方正仿宋_GBK"/>
          <w:sz w:val="32"/>
          <w:szCs w:val="32"/>
          <w:shd w:val="clear" w:color="auto" w:fill="FFFFFF"/>
        </w:rPr>
        <w:t>，较上年决算数无增减，主要原因是本单位2024年度未发生会议费用支出。 </w:t>
      </w:r>
    </w:p>
    <w:bookmarkEnd w:id="12"/>
    <w:bookmarkEnd w:id="13"/>
    <w:p>
      <w:pPr>
        <w:widowControl w:val="0"/>
        <w:overflowPunct w:val="0"/>
        <w:topLinePunct/>
        <w:spacing w:line="579" w:lineRule="exact"/>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 xml:space="preserve">    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万元万元，较上年决算数减少3.03万元，减少100.00%，主要原因是</w:t>
      </w:r>
      <w:r>
        <w:rPr>
          <w:rFonts w:ascii="方正仿宋_GBK" w:eastAsia="方正仿宋_GBK"/>
          <w:sz w:val="32"/>
          <w:szCs w:val="32"/>
        </w:rPr>
        <w:t>我单位本年在财政拨款经费里未开支培训费。</w:t>
      </w:r>
    </w:p>
    <w:p>
      <w:pPr>
        <w:pStyle w:val="11"/>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widowControl w:val="0"/>
        <w:overflowPunct w:val="0"/>
        <w:topLinePunct/>
        <w:spacing w:line="579" w:lineRule="exact"/>
        <w:ind w:firstLine="640" w:firstLineChars="200"/>
        <w:jc w:val="both"/>
        <w:rPr>
          <w:rFonts w:hint="default" w:ascii="方正仿宋_GBK" w:eastAsia="方正仿宋_GBK"/>
          <w:sz w:val="32"/>
          <w:szCs w:val="32"/>
        </w:rPr>
      </w:pPr>
      <w:r>
        <w:rPr>
          <w:rFonts w:ascii="方正仿宋_GBK" w:eastAsia="方正仿宋_GBK"/>
          <w:sz w:val="32"/>
          <w:szCs w:val="32"/>
        </w:rPr>
        <w:t xml:space="preserve">按照部门决算列报口径，我单位不在机关运行经费统计范围之内。 </w:t>
      </w:r>
    </w:p>
    <w:p>
      <w:pPr>
        <w:pStyle w:val="11"/>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6"/>
        <w:snapToGrid w:val="0"/>
        <w:spacing w:before="0" w:beforeAutospacing="0" w:after="0" w:afterAutospacing="0" w:line="579"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台（套）。</w:t>
      </w:r>
    </w:p>
    <w:p>
      <w:pPr>
        <w:pStyle w:val="11"/>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6"/>
        <w:snapToGrid w:val="0"/>
        <w:spacing w:before="0" w:beforeAutospacing="0" w:after="0" w:afterAutospacing="0" w:line="579" w:lineRule="exact"/>
        <w:ind w:firstLine="480" w:firstLineChars="15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592.10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64.30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527.80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264.10万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44.60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42.30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7.14</w:t>
      </w:r>
      <w:r>
        <w:rPr>
          <w:rFonts w:ascii="方正仿宋_GBK" w:hAnsi="方正仿宋_GBK" w:eastAsia="方正仿宋_GBK" w:cs="方正仿宋_GBK"/>
          <w:sz w:val="32"/>
          <w:szCs w:val="32"/>
          <w:shd w:val="clear" w:color="auto" w:fill="FFFFFF"/>
        </w:rPr>
        <w:t>%。主要用于采购荧光光度计和环境监测能力建设达标项目的仪器配置。</w:t>
      </w:r>
    </w:p>
    <w:p>
      <w:pPr>
        <w:pStyle w:val="6"/>
        <w:widowControl w:val="0"/>
        <w:numPr>
          <w:ilvl w:val="0"/>
          <w:numId w:val="1"/>
        </w:numPr>
        <w:shd w:val="clear" w:color="auto" w:fill="FFFFFF"/>
        <w:spacing w:before="0" w:beforeAutospacing="0" w:after="0" w:afterAutospacing="0" w:line="579" w:lineRule="exact"/>
        <w:jc w:val="both"/>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预算绩效管理情况说明</w:t>
      </w:r>
    </w:p>
    <w:p>
      <w:pPr>
        <w:pStyle w:val="11"/>
        <w:widowControl w:val="0"/>
        <w:autoSpaceDE w:val="0"/>
        <w:spacing w:line="579" w:lineRule="exact"/>
        <w:ind w:firstLine="0"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pPr>
        <w:pStyle w:val="12"/>
        <w:widowControl w:val="0"/>
        <w:autoSpaceDE w:val="0"/>
        <w:spacing w:before="0" w:beforeAutospacing="0" w:after="0" w:afterAutospacing="0" w:line="579" w:lineRule="exact"/>
        <w:ind w:firstLine="640" w:firstLineChars="200"/>
        <w:jc w:val="both"/>
        <w:rPr>
          <w:rFonts w:ascii="方正仿宋_GBK"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根据预算绩效管理要求，我单位对1个项目开展了绩效自评。（见附表）</w:t>
      </w:r>
    </w:p>
    <w:p>
      <w:pPr>
        <w:pStyle w:val="11"/>
        <w:widowControl w:val="0"/>
        <w:numPr>
          <w:ilvl w:val="0"/>
          <w:numId w:val="2"/>
        </w:numPr>
        <w:autoSpaceDE w:val="0"/>
        <w:spacing w:line="579" w:lineRule="exact"/>
        <w:ind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单位绩效评价情况</w:t>
      </w:r>
    </w:p>
    <w:p>
      <w:pPr>
        <w:pStyle w:val="14"/>
        <w:widowControl w:val="0"/>
        <w:autoSpaceDE w:val="0"/>
        <w:spacing w:line="579"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我单位没有委托第三方开展绩效评价。</w:t>
      </w:r>
    </w:p>
    <w:p>
      <w:pPr>
        <w:pStyle w:val="11"/>
        <w:widowControl w:val="0"/>
        <w:numPr>
          <w:ilvl w:val="0"/>
          <w:numId w:val="2"/>
        </w:numPr>
        <w:autoSpaceDE w:val="0"/>
        <w:spacing w:line="579" w:lineRule="exact"/>
        <w:ind w:firstLineChars="0"/>
        <w:jc w:val="both"/>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财政绩效评价情况</w:t>
      </w:r>
    </w:p>
    <w:p>
      <w:pPr>
        <w:pStyle w:val="14"/>
        <w:widowControl w:val="0"/>
        <w:autoSpaceDE w:val="0"/>
        <w:spacing w:line="579" w:lineRule="exact"/>
        <w:ind w:firstLine="64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区财政局未委托第三方（或政府委派财务总监）对我单位开展绩效评价。</w:t>
      </w:r>
    </w:p>
    <w:p>
      <w:pPr>
        <w:pStyle w:val="6"/>
        <w:shd w:val="clear" w:color="auto" w:fill="FFFFFF"/>
        <w:spacing w:before="0" w:beforeAutospacing="0" w:after="0" w:afterAutospacing="0" w:line="579" w:lineRule="exact"/>
        <w:jc w:val="both"/>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b w:val="0"/>
          <w:sz w:val="32"/>
          <w:szCs w:val="32"/>
          <w:shd w:val="clear" w:color="auto" w:fill="FFFFFF"/>
        </w:rPr>
        <w:t>六、专业名词解释</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（二）其他收入</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（三）年初结转和结余</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（四）结余分配</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（五）年末结转和结余</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（六）基本支出</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（七）项目支出</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（八）“三公”经费</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（九）工资福利支出（支出经济分类科目类级）</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（十）商品和服务支出（支出经济分类科目类级）</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（十一）对个人和家庭的补助（支出经济分类科目类级）</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79" w:lineRule="exact"/>
        <w:jc w:val="both"/>
        <w:rPr>
          <w:rFonts w:hint="default" w:ascii="方正仿宋_GBK" w:hAnsi="方正仿宋_GBK" w:eastAsia="方正仿宋_GBK" w:cs="方正仿宋_GBK"/>
          <w:sz w:val="32"/>
          <w:szCs w:val="32"/>
        </w:rPr>
      </w:pPr>
      <w:r>
        <w:rPr>
          <w:rStyle w:val="10"/>
          <w:rFonts w:ascii="方正楷体_GBK" w:hAnsi="楷体" w:eastAsia="方正楷体_GBK" w:cs="楷体"/>
          <w:b w:val="0"/>
          <w:sz w:val="32"/>
          <w:szCs w:val="32"/>
          <w:shd w:val="clear" w:color="auto" w:fill="FFFFFF"/>
        </w:rPr>
        <w:t>（十二）其他资本性支出（支出经济分类科目类级）</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79" w:lineRule="exact"/>
        <w:ind w:firstLine="640" w:firstLineChars="200"/>
        <w:jc w:val="both"/>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b w:val="0"/>
          <w:sz w:val="32"/>
          <w:szCs w:val="32"/>
          <w:shd w:val="clear" w:color="auto" w:fill="FFFFFF"/>
        </w:rPr>
        <w:t>七、决算公开联系方式及信息反馈渠道</w:t>
      </w:r>
    </w:p>
    <w:p>
      <w:pPr>
        <w:widowControl w:val="0"/>
        <w:overflowPunct w:val="0"/>
        <w:topLinePunct/>
        <w:spacing w:line="579" w:lineRule="exact"/>
        <w:ind w:firstLine="640" w:firstLineChars="200"/>
        <w:jc w:val="both"/>
        <w:rPr>
          <w:rStyle w:val="10"/>
          <w:rFonts w:hint="default" w:ascii="方正仿宋_GBK" w:eastAsia="方正仿宋_GBK"/>
          <w:b w:val="0"/>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sz w:val="32"/>
          <w:szCs w:val="32"/>
        </w:rPr>
        <w:t>本单位决算公开信息反馈和联系方式： 023-72899027</w:t>
      </w:r>
    </w:p>
    <w:p>
      <w:pPr>
        <w:rPr>
          <w:rFonts w:hint="default" w:cs="宋体"/>
          <w:sz w:val="21"/>
          <w:szCs w:val="21"/>
        </w:rPr>
      </w:pP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- 8 -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9 -</w:t>
                </w:r>
                <w:r>
                  <w:rPr>
                    <w:rFonts w:hint="default"/>
                  </w:rPr>
                  <w:fldChar w:fldCharType="end"/>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B6F8A"/>
    <w:multiLevelType w:val="multilevel"/>
    <w:tmpl w:val="00DB6F8A"/>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4B5A42"/>
    <w:multiLevelType w:val="multilevel"/>
    <w:tmpl w:val="594B5A42"/>
    <w:lvl w:ilvl="0" w:tentative="0">
      <w:start w:val="2"/>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475A"/>
    <w:rsid w:val="0001145E"/>
    <w:rsid w:val="00016E96"/>
    <w:rsid w:val="000444EF"/>
    <w:rsid w:val="000641B5"/>
    <w:rsid w:val="00067CF5"/>
    <w:rsid w:val="00074513"/>
    <w:rsid w:val="000823D2"/>
    <w:rsid w:val="000A29CC"/>
    <w:rsid w:val="000A4D26"/>
    <w:rsid w:val="000B1F8D"/>
    <w:rsid w:val="000B4D72"/>
    <w:rsid w:val="000B78C3"/>
    <w:rsid w:val="000C0735"/>
    <w:rsid w:val="000C11C6"/>
    <w:rsid w:val="000C6150"/>
    <w:rsid w:val="000C65FB"/>
    <w:rsid w:val="000E7DBE"/>
    <w:rsid w:val="000F34DA"/>
    <w:rsid w:val="00121A68"/>
    <w:rsid w:val="00121B66"/>
    <w:rsid w:val="001231F9"/>
    <w:rsid w:val="00142D60"/>
    <w:rsid w:val="001509A2"/>
    <w:rsid w:val="0015489E"/>
    <w:rsid w:val="00166A40"/>
    <w:rsid w:val="00171B90"/>
    <w:rsid w:val="0018079D"/>
    <w:rsid w:val="001928AA"/>
    <w:rsid w:val="0019444E"/>
    <w:rsid w:val="001A1779"/>
    <w:rsid w:val="001A59EC"/>
    <w:rsid w:val="001B26EE"/>
    <w:rsid w:val="001C7CBE"/>
    <w:rsid w:val="001E1F40"/>
    <w:rsid w:val="001E7479"/>
    <w:rsid w:val="001E7A10"/>
    <w:rsid w:val="001F203E"/>
    <w:rsid w:val="00202FCA"/>
    <w:rsid w:val="00223A48"/>
    <w:rsid w:val="002243B5"/>
    <w:rsid w:val="0024554C"/>
    <w:rsid w:val="00270E53"/>
    <w:rsid w:val="0028558A"/>
    <w:rsid w:val="00292960"/>
    <w:rsid w:val="002B254B"/>
    <w:rsid w:val="002B2F44"/>
    <w:rsid w:val="002B4277"/>
    <w:rsid w:val="002C0089"/>
    <w:rsid w:val="002D52CB"/>
    <w:rsid w:val="002E7E49"/>
    <w:rsid w:val="002F60E8"/>
    <w:rsid w:val="002F666C"/>
    <w:rsid w:val="002F706D"/>
    <w:rsid w:val="00304D11"/>
    <w:rsid w:val="00311FB2"/>
    <w:rsid w:val="003154A9"/>
    <w:rsid w:val="00321AA1"/>
    <w:rsid w:val="00324230"/>
    <w:rsid w:val="003572EB"/>
    <w:rsid w:val="00360E6E"/>
    <w:rsid w:val="003754CF"/>
    <w:rsid w:val="00392329"/>
    <w:rsid w:val="00392B6D"/>
    <w:rsid w:val="003A1DD9"/>
    <w:rsid w:val="003A3D92"/>
    <w:rsid w:val="003A6A32"/>
    <w:rsid w:val="003C7571"/>
    <w:rsid w:val="003D2A07"/>
    <w:rsid w:val="003D65DE"/>
    <w:rsid w:val="003E352F"/>
    <w:rsid w:val="003F05C8"/>
    <w:rsid w:val="003F0D41"/>
    <w:rsid w:val="003F153D"/>
    <w:rsid w:val="003F417C"/>
    <w:rsid w:val="00401865"/>
    <w:rsid w:val="0041723E"/>
    <w:rsid w:val="004533A7"/>
    <w:rsid w:val="00461F42"/>
    <w:rsid w:val="004636EF"/>
    <w:rsid w:val="004704BD"/>
    <w:rsid w:val="004733BF"/>
    <w:rsid w:val="004836EA"/>
    <w:rsid w:val="0049355C"/>
    <w:rsid w:val="00493882"/>
    <w:rsid w:val="0049760F"/>
    <w:rsid w:val="004A597F"/>
    <w:rsid w:val="004B5CEB"/>
    <w:rsid w:val="004C64EA"/>
    <w:rsid w:val="004D3240"/>
    <w:rsid w:val="004F1CED"/>
    <w:rsid w:val="005067FD"/>
    <w:rsid w:val="00513685"/>
    <w:rsid w:val="00534131"/>
    <w:rsid w:val="00535CA7"/>
    <w:rsid w:val="00550ABE"/>
    <w:rsid w:val="005525D4"/>
    <w:rsid w:val="0055632C"/>
    <w:rsid w:val="005577F6"/>
    <w:rsid w:val="005805B6"/>
    <w:rsid w:val="005A7273"/>
    <w:rsid w:val="005D34F1"/>
    <w:rsid w:val="005D3EE0"/>
    <w:rsid w:val="005F6BAA"/>
    <w:rsid w:val="006054AF"/>
    <w:rsid w:val="00607867"/>
    <w:rsid w:val="006206BE"/>
    <w:rsid w:val="0063359C"/>
    <w:rsid w:val="00633A29"/>
    <w:rsid w:val="00673413"/>
    <w:rsid w:val="00676D30"/>
    <w:rsid w:val="00680BCA"/>
    <w:rsid w:val="00697B5D"/>
    <w:rsid w:val="006B2A48"/>
    <w:rsid w:val="006B5323"/>
    <w:rsid w:val="006F4501"/>
    <w:rsid w:val="00706067"/>
    <w:rsid w:val="00707F39"/>
    <w:rsid w:val="00711E91"/>
    <w:rsid w:val="007303F0"/>
    <w:rsid w:val="00731F43"/>
    <w:rsid w:val="00735DDB"/>
    <w:rsid w:val="00747201"/>
    <w:rsid w:val="0074721D"/>
    <w:rsid w:val="00755ECC"/>
    <w:rsid w:val="00766B5E"/>
    <w:rsid w:val="00767CA8"/>
    <w:rsid w:val="00770383"/>
    <w:rsid w:val="007819D4"/>
    <w:rsid w:val="0078247A"/>
    <w:rsid w:val="00794C04"/>
    <w:rsid w:val="007962D5"/>
    <w:rsid w:val="007A157A"/>
    <w:rsid w:val="007B419D"/>
    <w:rsid w:val="007C2B42"/>
    <w:rsid w:val="007F640E"/>
    <w:rsid w:val="008247CE"/>
    <w:rsid w:val="00832822"/>
    <w:rsid w:val="0083395C"/>
    <w:rsid w:val="00845186"/>
    <w:rsid w:val="00850A07"/>
    <w:rsid w:val="00853209"/>
    <w:rsid w:val="00856071"/>
    <w:rsid w:val="00856F9F"/>
    <w:rsid w:val="00860C22"/>
    <w:rsid w:val="00875656"/>
    <w:rsid w:val="00881EB2"/>
    <w:rsid w:val="00897F30"/>
    <w:rsid w:val="008A204E"/>
    <w:rsid w:val="008A6D1B"/>
    <w:rsid w:val="008A7908"/>
    <w:rsid w:val="008B37CA"/>
    <w:rsid w:val="008B3C02"/>
    <w:rsid w:val="008B41B7"/>
    <w:rsid w:val="008C0471"/>
    <w:rsid w:val="008D14F8"/>
    <w:rsid w:val="008D72E6"/>
    <w:rsid w:val="008D7D7C"/>
    <w:rsid w:val="008E215A"/>
    <w:rsid w:val="008F40E8"/>
    <w:rsid w:val="008F57F9"/>
    <w:rsid w:val="009136E0"/>
    <w:rsid w:val="009664AE"/>
    <w:rsid w:val="00976809"/>
    <w:rsid w:val="0098636B"/>
    <w:rsid w:val="009931AE"/>
    <w:rsid w:val="00995605"/>
    <w:rsid w:val="009B67B8"/>
    <w:rsid w:val="009D1503"/>
    <w:rsid w:val="009D2B67"/>
    <w:rsid w:val="009F34E2"/>
    <w:rsid w:val="009F63AD"/>
    <w:rsid w:val="00A12751"/>
    <w:rsid w:val="00A7033F"/>
    <w:rsid w:val="00A81532"/>
    <w:rsid w:val="00A86F85"/>
    <w:rsid w:val="00AA681B"/>
    <w:rsid w:val="00AA6AB6"/>
    <w:rsid w:val="00AB3930"/>
    <w:rsid w:val="00AC7930"/>
    <w:rsid w:val="00B03CCD"/>
    <w:rsid w:val="00B05EC2"/>
    <w:rsid w:val="00B07884"/>
    <w:rsid w:val="00B40FDB"/>
    <w:rsid w:val="00B502E6"/>
    <w:rsid w:val="00B71F88"/>
    <w:rsid w:val="00BB6E58"/>
    <w:rsid w:val="00BD52B1"/>
    <w:rsid w:val="00BD7ED9"/>
    <w:rsid w:val="00BE3804"/>
    <w:rsid w:val="00C17A60"/>
    <w:rsid w:val="00C20C3E"/>
    <w:rsid w:val="00C45011"/>
    <w:rsid w:val="00C5368D"/>
    <w:rsid w:val="00C72C45"/>
    <w:rsid w:val="00C75020"/>
    <w:rsid w:val="00C8023B"/>
    <w:rsid w:val="00C84403"/>
    <w:rsid w:val="00C85E01"/>
    <w:rsid w:val="00C912A2"/>
    <w:rsid w:val="00C93587"/>
    <w:rsid w:val="00CB0D66"/>
    <w:rsid w:val="00CB40F6"/>
    <w:rsid w:val="00CC0122"/>
    <w:rsid w:val="00CC2351"/>
    <w:rsid w:val="00CE1792"/>
    <w:rsid w:val="00CF7328"/>
    <w:rsid w:val="00D036F8"/>
    <w:rsid w:val="00D133A5"/>
    <w:rsid w:val="00D311F0"/>
    <w:rsid w:val="00D32049"/>
    <w:rsid w:val="00D444FB"/>
    <w:rsid w:val="00D45AC0"/>
    <w:rsid w:val="00D81B7D"/>
    <w:rsid w:val="00D96792"/>
    <w:rsid w:val="00DA41E7"/>
    <w:rsid w:val="00DB47BC"/>
    <w:rsid w:val="00DD6579"/>
    <w:rsid w:val="00E16B80"/>
    <w:rsid w:val="00E26461"/>
    <w:rsid w:val="00E52A6D"/>
    <w:rsid w:val="00E53F3D"/>
    <w:rsid w:val="00E652C5"/>
    <w:rsid w:val="00E80659"/>
    <w:rsid w:val="00E81634"/>
    <w:rsid w:val="00EB12AA"/>
    <w:rsid w:val="00EB3F52"/>
    <w:rsid w:val="00EC7764"/>
    <w:rsid w:val="00EC78F4"/>
    <w:rsid w:val="00EE4132"/>
    <w:rsid w:val="00EE7298"/>
    <w:rsid w:val="00F0221D"/>
    <w:rsid w:val="00F14CDF"/>
    <w:rsid w:val="00F17B47"/>
    <w:rsid w:val="00F323C3"/>
    <w:rsid w:val="00F33E8F"/>
    <w:rsid w:val="00F3637B"/>
    <w:rsid w:val="00F40FF3"/>
    <w:rsid w:val="00F63885"/>
    <w:rsid w:val="00F73F90"/>
    <w:rsid w:val="00F77E9F"/>
    <w:rsid w:val="00F932E7"/>
    <w:rsid w:val="00FC005C"/>
    <w:rsid w:val="00FC034A"/>
    <w:rsid w:val="00FC33A2"/>
    <w:rsid w:val="00FC68EF"/>
    <w:rsid w:val="00FD0B9D"/>
    <w:rsid w:val="00FF3BC2"/>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1F1ADA"/>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635</Words>
  <Characters>3623</Characters>
  <Lines>30</Lines>
  <Paragraphs>8</Paragraphs>
  <TotalTime>165</TotalTime>
  <ScaleCrop>false</ScaleCrop>
  <LinksUpToDate>false</LinksUpToDate>
  <CharactersWithSpaces>4250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2025-11-03T10:59:00Z</dcterms:created>
  <dc:creator>Administrator</dc:creator>
  <cp:lastModifiedBy>苏娟</cp:lastModifiedBy>
  <dcterms:modified xsi:type="dcterms:W3CDTF">2025-11-08T10:50:27Z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