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BA95D">
      <w:pPr>
        <w:jc w:val="center"/>
        <w:rPr>
          <w:color w:val="auto"/>
          <w:sz w:val="72"/>
          <w:szCs w:val="20"/>
        </w:rPr>
      </w:pPr>
    </w:p>
    <w:p w14:paraId="07AD14D0">
      <w:pPr>
        <w:adjustRightInd w:val="0"/>
        <w:snapToGrid w:val="0"/>
        <w:jc w:val="center"/>
        <w:outlineLvl w:val="0"/>
        <w:rPr>
          <w:b/>
          <w:bCs/>
          <w:color w:val="auto"/>
          <w:sz w:val="72"/>
          <w:szCs w:val="72"/>
        </w:rPr>
      </w:pPr>
      <w:bookmarkStart w:id="0" w:name="_Toc68186245"/>
      <w:r>
        <w:rPr>
          <w:b/>
          <w:bCs/>
          <w:color w:val="auto"/>
          <w:sz w:val="72"/>
          <w:szCs w:val="72"/>
        </w:rPr>
        <w:t>建设项目环境影响报告表</w:t>
      </w:r>
      <w:bookmarkEnd w:id="0"/>
    </w:p>
    <w:p w14:paraId="6A210E84">
      <w:pPr>
        <w:adjustRightInd w:val="0"/>
        <w:snapToGrid w:val="0"/>
        <w:spacing w:line="288" w:lineRule="auto"/>
        <w:jc w:val="center"/>
        <w:outlineLvl w:val="0"/>
        <w:rPr>
          <w:color w:val="auto"/>
          <w:kern w:val="44"/>
          <w:sz w:val="36"/>
          <w:szCs w:val="36"/>
        </w:rPr>
      </w:pPr>
      <w:bookmarkStart w:id="1" w:name="_Toc68186246"/>
      <w:bookmarkStart w:id="2" w:name="_Hlk57883728"/>
      <w:r>
        <w:rPr>
          <w:color w:val="auto"/>
          <w:kern w:val="44"/>
          <w:sz w:val="36"/>
          <w:szCs w:val="36"/>
        </w:rPr>
        <w:t>（</w:t>
      </w:r>
      <w:r>
        <w:rPr>
          <w:rFonts w:hint="eastAsia"/>
          <w:b/>
          <w:bCs/>
          <w:color w:val="auto"/>
          <w:sz w:val="32"/>
          <w:szCs w:val="32"/>
          <w:lang w:eastAsia="zh-CN"/>
        </w:rPr>
        <w:t>全文公示</w:t>
      </w:r>
      <w:r>
        <w:rPr>
          <w:b/>
          <w:bCs/>
          <w:color w:val="auto"/>
          <w:sz w:val="32"/>
          <w:szCs w:val="32"/>
        </w:rPr>
        <w:t>版</w:t>
      </w:r>
      <w:r>
        <w:rPr>
          <w:color w:val="auto"/>
          <w:kern w:val="44"/>
          <w:sz w:val="36"/>
          <w:szCs w:val="36"/>
        </w:rPr>
        <w:t>）</w:t>
      </w:r>
      <w:bookmarkEnd w:id="1"/>
    </w:p>
    <w:p w14:paraId="450123C6">
      <w:pPr>
        <w:jc w:val="center"/>
        <w:rPr>
          <w:b/>
          <w:color w:val="auto"/>
          <w:sz w:val="52"/>
          <w:szCs w:val="52"/>
        </w:rPr>
      </w:pPr>
    </w:p>
    <w:p w14:paraId="22FF34DD">
      <w:pPr>
        <w:ind w:firstLine="1040"/>
        <w:rPr>
          <w:b/>
          <w:color w:val="auto"/>
          <w:sz w:val="44"/>
          <w:szCs w:val="44"/>
        </w:rPr>
      </w:pPr>
    </w:p>
    <w:p w14:paraId="3DCEFA95">
      <w:pPr>
        <w:pStyle w:val="2"/>
        <w:rPr>
          <w:rFonts w:ascii="Times New Roman" w:hAnsi="Times New Roman" w:cs="Times New Roman"/>
          <w:b/>
          <w:color w:val="auto"/>
          <w:sz w:val="44"/>
          <w:szCs w:val="44"/>
        </w:rPr>
      </w:pPr>
    </w:p>
    <w:p w14:paraId="6FA9446E">
      <w:pPr>
        <w:pStyle w:val="2"/>
        <w:rPr>
          <w:rFonts w:ascii="Times New Roman" w:hAnsi="Times New Roman" w:cs="Times New Roman"/>
          <w:b/>
          <w:color w:val="auto"/>
          <w:sz w:val="44"/>
          <w:szCs w:val="44"/>
        </w:rPr>
      </w:pPr>
      <w:r>
        <w:rPr>
          <w:rFonts w:hint="eastAsia" w:ascii="Times New Roman" w:hAnsi="Times New Roman" w:cs="Times New Roman"/>
          <w:b/>
          <w:color w:val="auto"/>
          <w:sz w:val="44"/>
          <w:szCs w:val="44"/>
        </w:rPr>
        <w:t xml:space="preserve"> </w:t>
      </w:r>
    </w:p>
    <w:p w14:paraId="49942ED2">
      <w:pPr>
        <w:pStyle w:val="2"/>
        <w:rPr>
          <w:rFonts w:ascii="Times New Roman" w:hAnsi="Times New Roman" w:cs="Times New Roman"/>
          <w:b/>
          <w:color w:val="auto"/>
          <w:sz w:val="44"/>
          <w:szCs w:val="44"/>
        </w:rPr>
      </w:pPr>
    </w:p>
    <w:p w14:paraId="5C561F01">
      <w:pPr>
        <w:pStyle w:val="2"/>
        <w:rPr>
          <w:rFonts w:ascii="Times New Roman" w:hAnsi="Times New Roman" w:cs="Times New Roman"/>
          <w:b/>
          <w:color w:val="auto"/>
          <w:sz w:val="44"/>
          <w:szCs w:val="44"/>
        </w:rPr>
      </w:pPr>
    </w:p>
    <w:p w14:paraId="41A0E884">
      <w:pPr>
        <w:autoSpaceDN w:val="0"/>
        <w:rPr>
          <w:color w:val="auto"/>
          <w:sz w:val="24"/>
        </w:rPr>
      </w:pPr>
    </w:p>
    <w:p w14:paraId="17D684BC">
      <w:pPr>
        <w:autoSpaceDN w:val="0"/>
        <w:rPr>
          <w:color w:val="auto"/>
          <w:sz w:val="24"/>
        </w:rPr>
      </w:pPr>
    </w:p>
    <w:p w14:paraId="4EF1BADB">
      <w:pPr>
        <w:autoSpaceDN w:val="0"/>
        <w:rPr>
          <w:color w:val="auto"/>
          <w:sz w:val="24"/>
        </w:rPr>
      </w:pPr>
    </w:p>
    <w:tbl>
      <w:tblPr>
        <w:tblStyle w:val="27"/>
        <w:tblW w:w="9120" w:type="dxa"/>
        <w:tblInd w:w="350" w:type="dxa"/>
        <w:tblLayout w:type="fixed"/>
        <w:tblCellMar>
          <w:top w:w="0" w:type="dxa"/>
          <w:left w:w="108" w:type="dxa"/>
          <w:bottom w:w="0" w:type="dxa"/>
          <w:right w:w="108" w:type="dxa"/>
        </w:tblCellMar>
      </w:tblPr>
      <w:tblGrid>
        <w:gridCol w:w="3173"/>
        <w:gridCol w:w="5947"/>
      </w:tblGrid>
      <w:tr w14:paraId="488C6BED">
        <w:tblPrEx>
          <w:tblCellMar>
            <w:top w:w="0" w:type="dxa"/>
            <w:left w:w="108" w:type="dxa"/>
            <w:bottom w:w="0" w:type="dxa"/>
            <w:right w:w="108" w:type="dxa"/>
          </w:tblCellMar>
        </w:tblPrEx>
        <w:trPr>
          <w:trHeight w:val="1051" w:hRule="atLeast"/>
        </w:trPr>
        <w:tc>
          <w:tcPr>
            <w:tcW w:w="3173" w:type="dxa"/>
            <w:vAlign w:val="center"/>
          </w:tcPr>
          <w:p w14:paraId="3AC0B2E6">
            <w:pPr>
              <w:autoSpaceDN w:val="0"/>
              <w:ind w:left="102" w:right="-108"/>
              <w:jc w:val="distribute"/>
              <w:rPr>
                <w:b/>
                <w:bCs/>
                <w:color w:val="auto"/>
                <w:spacing w:val="60"/>
                <w:sz w:val="28"/>
                <w:szCs w:val="28"/>
              </w:rPr>
            </w:pPr>
            <w:r>
              <w:rPr>
                <w:b/>
                <w:bCs/>
                <w:color w:val="auto"/>
                <w:spacing w:val="-28"/>
                <w:sz w:val="28"/>
                <w:szCs w:val="28"/>
              </w:rPr>
              <w:t>项目名称</w:t>
            </w:r>
            <w:r>
              <w:rPr>
                <w:b/>
                <w:bCs/>
                <w:color w:val="auto"/>
                <w:spacing w:val="60"/>
                <w:sz w:val="28"/>
                <w:szCs w:val="28"/>
              </w:rPr>
              <w:t>：</w:t>
            </w:r>
          </w:p>
        </w:tc>
        <w:tc>
          <w:tcPr>
            <w:tcW w:w="5947" w:type="dxa"/>
            <w:vAlign w:val="center"/>
          </w:tcPr>
          <w:p w14:paraId="103D232F">
            <w:pPr>
              <w:autoSpaceDN w:val="0"/>
              <w:ind w:left="102" w:right="136"/>
              <w:jc w:val="left"/>
              <w:rPr>
                <w:b/>
                <w:bCs/>
                <w:color w:val="auto"/>
                <w:spacing w:val="-20"/>
                <w:kern w:val="0"/>
                <w:sz w:val="28"/>
                <w:szCs w:val="28"/>
              </w:rPr>
            </w:pPr>
            <w:r>
              <w:rPr>
                <w:b/>
                <w:bCs/>
                <w:color w:val="auto"/>
                <w:spacing w:val="-20"/>
                <w:kern w:val="0"/>
                <w:sz w:val="28"/>
                <w:szCs w:val="28"/>
              </w:rPr>
              <w:t>白涛钛白粉场平电力线路迁改工程（110kV油华线）</w:t>
            </w:r>
          </w:p>
        </w:tc>
      </w:tr>
      <w:tr w14:paraId="5FB2F32B">
        <w:tblPrEx>
          <w:tblCellMar>
            <w:top w:w="0" w:type="dxa"/>
            <w:left w:w="108" w:type="dxa"/>
            <w:bottom w:w="0" w:type="dxa"/>
            <w:right w:w="108" w:type="dxa"/>
          </w:tblCellMar>
        </w:tblPrEx>
        <w:trPr>
          <w:trHeight w:val="1123" w:hRule="atLeast"/>
        </w:trPr>
        <w:tc>
          <w:tcPr>
            <w:tcW w:w="3173" w:type="dxa"/>
            <w:vAlign w:val="center"/>
          </w:tcPr>
          <w:p w14:paraId="70EA8D6E">
            <w:pPr>
              <w:autoSpaceDN w:val="0"/>
              <w:jc w:val="distribute"/>
              <w:rPr>
                <w:b/>
                <w:bCs/>
                <w:color w:val="auto"/>
                <w:spacing w:val="-28"/>
                <w:sz w:val="28"/>
                <w:szCs w:val="28"/>
              </w:rPr>
            </w:pPr>
            <w:r>
              <w:rPr>
                <w:b/>
                <w:bCs/>
                <w:color w:val="auto"/>
                <w:spacing w:val="-28"/>
                <w:sz w:val="28"/>
                <w:szCs w:val="28"/>
              </w:rPr>
              <w:t>建设单位(盖章)：</w:t>
            </w:r>
          </w:p>
        </w:tc>
        <w:tc>
          <w:tcPr>
            <w:tcW w:w="5947" w:type="dxa"/>
            <w:vAlign w:val="center"/>
          </w:tcPr>
          <w:p w14:paraId="7B98F789">
            <w:pPr>
              <w:autoSpaceDN w:val="0"/>
              <w:ind w:left="102" w:right="136"/>
              <w:jc w:val="distribute"/>
              <w:rPr>
                <w:b/>
                <w:bCs/>
                <w:color w:val="auto"/>
                <w:spacing w:val="-20"/>
                <w:kern w:val="0"/>
                <w:sz w:val="28"/>
                <w:szCs w:val="28"/>
              </w:rPr>
            </w:pPr>
            <w:r>
              <w:rPr>
                <w:b/>
                <w:bCs/>
                <w:color w:val="auto"/>
                <w:sz w:val="28"/>
                <w:szCs w:val="28"/>
              </w:rPr>
              <w:t>重庆涪陵聚龙电力有限公司</w:t>
            </w:r>
          </w:p>
        </w:tc>
      </w:tr>
    </w:tbl>
    <w:p w14:paraId="65733B6D">
      <w:pPr>
        <w:pStyle w:val="2"/>
        <w:rPr>
          <w:rFonts w:ascii="Times New Roman" w:hAnsi="Times New Roman" w:cs="Times New Roman"/>
          <w:b/>
          <w:color w:val="auto"/>
          <w:sz w:val="44"/>
          <w:szCs w:val="44"/>
        </w:rPr>
      </w:pPr>
    </w:p>
    <w:p w14:paraId="648E30D7">
      <w:pPr>
        <w:ind w:firstLine="1040"/>
        <w:rPr>
          <w:b/>
          <w:color w:val="auto"/>
          <w:sz w:val="44"/>
          <w:szCs w:val="44"/>
        </w:rPr>
      </w:pPr>
    </w:p>
    <w:bookmarkEnd w:id="2"/>
    <w:p w14:paraId="4432DAA4">
      <w:pPr>
        <w:adjustRightInd w:val="0"/>
        <w:snapToGrid w:val="0"/>
        <w:spacing w:line="480" w:lineRule="auto"/>
        <w:rPr>
          <w:color w:val="auto"/>
          <w:sz w:val="36"/>
          <w:szCs w:val="36"/>
        </w:rPr>
      </w:pPr>
    </w:p>
    <w:p w14:paraId="051921AE">
      <w:pPr>
        <w:autoSpaceDN w:val="0"/>
        <w:jc w:val="center"/>
        <w:rPr>
          <w:color w:val="auto"/>
          <w:sz w:val="24"/>
        </w:rPr>
      </w:pPr>
    </w:p>
    <w:p w14:paraId="6D6E2300">
      <w:pPr>
        <w:autoSpaceDN w:val="0"/>
        <w:snapToGrid w:val="0"/>
        <w:spacing w:line="300" w:lineRule="auto"/>
        <w:ind w:firstLine="1144" w:firstLineChars="300"/>
        <w:rPr>
          <w:b/>
          <w:bCs/>
          <w:color w:val="auto"/>
          <w:spacing w:val="40"/>
          <w:sz w:val="30"/>
          <w:szCs w:val="30"/>
        </w:rPr>
      </w:pPr>
      <w:r>
        <w:rPr>
          <w:b/>
          <w:bCs/>
          <w:color w:val="auto"/>
          <w:spacing w:val="40"/>
          <w:sz w:val="30"/>
          <w:szCs w:val="30"/>
        </w:rPr>
        <w:t>编制单位：湖北君邦环境技术有限责任公司</w:t>
      </w:r>
    </w:p>
    <w:p w14:paraId="66E883C7">
      <w:pPr>
        <w:autoSpaceDN w:val="0"/>
        <w:snapToGrid w:val="0"/>
        <w:spacing w:line="300" w:lineRule="auto"/>
        <w:ind w:firstLine="1144" w:firstLineChars="300"/>
        <w:rPr>
          <w:color w:val="auto"/>
          <w:sz w:val="30"/>
          <w:szCs w:val="30"/>
        </w:rPr>
      </w:pPr>
      <w:r>
        <w:rPr>
          <w:b/>
          <w:bCs/>
          <w:color w:val="auto"/>
          <w:spacing w:val="40"/>
          <w:sz w:val="30"/>
          <w:szCs w:val="30"/>
        </w:rPr>
        <w:t>编制时间：2022年</w:t>
      </w:r>
      <w:r>
        <w:rPr>
          <w:rFonts w:hint="eastAsia"/>
          <w:b/>
          <w:bCs/>
          <w:color w:val="auto"/>
          <w:spacing w:val="40"/>
          <w:sz w:val="30"/>
          <w:szCs w:val="30"/>
          <w:lang w:val="en-US" w:eastAsia="zh-CN"/>
        </w:rPr>
        <w:t>4</w:t>
      </w:r>
      <w:r>
        <w:rPr>
          <w:b/>
          <w:bCs/>
          <w:color w:val="auto"/>
          <w:spacing w:val="40"/>
          <w:sz w:val="30"/>
          <w:szCs w:val="30"/>
        </w:rPr>
        <w:t>月</w:t>
      </w:r>
    </w:p>
    <w:p w14:paraId="05354A85">
      <w:pPr>
        <w:adjustRightInd w:val="0"/>
        <w:snapToGrid w:val="0"/>
        <w:spacing w:line="480" w:lineRule="auto"/>
        <w:rPr>
          <w:color w:val="auto"/>
          <w:sz w:val="36"/>
          <w:szCs w:val="36"/>
        </w:rPr>
      </w:pPr>
    </w:p>
    <w:p w14:paraId="3D03D9AB">
      <w:pPr>
        <w:spacing w:line="360" w:lineRule="auto"/>
        <w:ind w:firstLine="723" w:firstLineChars="200"/>
        <w:jc w:val="center"/>
        <w:rPr>
          <w:b/>
          <w:color w:val="auto"/>
          <w:sz w:val="36"/>
          <w:szCs w:val="20"/>
        </w:rPr>
        <w:sectPr>
          <w:headerReference r:id="rId3" w:type="default"/>
          <w:footerReference r:id="rId4" w:type="even"/>
          <w:pgSz w:w="11906" w:h="16838"/>
          <w:pgMar w:top="1134" w:right="1134" w:bottom="1134" w:left="1134" w:header="851" w:footer="992" w:gutter="0"/>
          <w:pgNumType w:start="1"/>
          <w:cols w:space="720" w:num="1"/>
          <w:docGrid w:linePitch="312" w:charSpace="0"/>
        </w:sectPr>
      </w:pPr>
    </w:p>
    <w:p w14:paraId="55776A8E">
      <w:pPr>
        <w:adjustRightInd w:val="0"/>
        <w:snapToGrid w:val="0"/>
        <w:spacing w:line="288" w:lineRule="auto"/>
        <w:jc w:val="center"/>
        <w:rPr>
          <w:color w:val="auto"/>
          <w:sz w:val="30"/>
          <w:szCs w:val="30"/>
        </w:rPr>
      </w:pPr>
    </w:p>
    <w:p w14:paraId="44723178">
      <w:pPr>
        <w:adjustRightInd w:val="0"/>
        <w:snapToGrid w:val="0"/>
        <w:spacing w:line="288" w:lineRule="auto"/>
        <w:jc w:val="center"/>
        <w:rPr>
          <w:color w:val="auto"/>
          <w:sz w:val="30"/>
          <w:szCs w:val="30"/>
        </w:rPr>
      </w:pPr>
      <w:r>
        <w:rPr>
          <w:color w:val="auto"/>
          <w:sz w:val="30"/>
          <w:szCs w:val="30"/>
        </w:rPr>
        <w:t>目  录</w:t>
      </w:r>
    </w:p>
    <w:p w14:paraId="567CD96D">
      <w:pPr>
        <w:pStyle w:val="19"/>
        <w:tabs>
          <w:tab w:val="right" w:leader="dot" w:pos="8296"/>
        </w:tabs>
        <w:spacing w:line="360" w:lineRule="auto"/>
        <w:jc w:val="center"/>
        <w:rPr>
          <w:rFonts w:ascii="Times New Roman" w:hAnsi="Times New Roman" w:eastAsia="宋体" w:cs="Times New Roman"/>
          <w:color w:val="auto"/>
          <w:sz w:val="24"/>
          <w:szCs w:val="24"/>
        </w:rPr>
      </w:pPr>
    </w:p>
    <w:p w14:paraId="07C5E68F">
      <w:pPr>
        <w:pStyle w:val="19"/>
        <w:tabs>
          <w:tab w:val="right" w:leader="dot" w:pos="8296"/>
        </w:tabs>
        <w:adjustRightInd w:val="0"/>
        <w:snapToGrid w:val="0"/>
        <w:spacing w:after="0" w:line="360" w:lineRule="auto"/>
        <w:jc w:val="center"/>
        <w:rPr>
          <w:rFonts w:ascii="Times New Roman" w:hAnsi="Times New Roman" w:eastAsia="宋体" w:cs="Times New Roman"/>
          <w:color w:val="auto"/>
          <w:kern w:val="2"/>
          <w:sz w:val="24"/>
          <w:szCs w:val="24"/>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TOC \o "1-1" \h \z \u </w:instrText>
      </w:r>
      <w:r>
        <w:rPr>
          <w:rFonts w:ascii="Times New Roman" w:hAnsi="Times New Roman" w:eastAsia="宋体" w:cs="Times New Roman"/>
          <w:color w:val="auto"/>
          <w:sz w:val="24"/>
          <w:szCs w:val="24"/>
        </w:rPr>
        <w:fldChar w:fldCharType="separate"/>
      </w:r>
      <w:r>
        <w:rPr>
          <w:color w:val="auto"/>
        </w:rPr>
        <w:fldChar w:fldCharType="begin"/>
      </w:r>
      <w:r>
        <w:rPr>
          <w:color w:val="auto"/>
        </w:rPr>
        <w:instrText xml:space="preserve"> HYPERLINK \l "_Toc63026904" </w:instrText>
      </w:r>
      <w:r>
        <w:rPr>
          <w:color w:val="auto"/>
        </w:rPr>
        <w:fldChar w:fldCharType="separate"/>
      </w:r>
      <w:r>
        <w:rPr>
          <w:rStyle w:val="32"/>
          <w:rFonts w:ascii="Times New Roman" w:hAnsi="Times New Roman" w:eastAsia="宋体" w:cs="Times New Roman"/>
          <w:snapToGrid w:val="0"/>
          <w:color w:val="auto"/>
          <w:sz w:val="24"/>
          <w:szCs w:val="24"/>
        </w:rPr>
        <w:t>一、建设项目基本情况</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_Toc63026904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1</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0733BE67">
      <w:pPr>
        <w:pStyle w:val="19"/>
        <w:tabs>
          <w:tab w:val="right" w:leader="dot" w:pos="8296"/>
        </w:tabs>
        <w:adjustRightInd w:val="0"/>
        <w:snapToGrid w:val="0"/>
        <w:spacing w:after="0" w:line="360" w:lineRule="auto"/>
        <w:jc w:val="center"/>
        <w:rPr>
          <w:rFonts w:ascii="Times New Roman" w:hAnsi="Times New Roman" w:eastAsia="宋体" w:cs="Times New Roman"/>
          <w:color w:val="auto"/>
          <w:kern w:val="2"/>
          <w:sz w:val="24"/>
          <w:szCs w:val="24"/>
        </w:rPr>
      </w:pPr>
      <w:r>
        <w:rPr>
          <w:color w:val="auto"/>
        </w:rPr>
        <w:fldChar w:fldCharType="begin"/>
      </w:r>
      <w:r>
        <w:rPr>
          <w:color w:val="auto"/>
        </w:rPr>
        <w:instrText xml:space="preserve"> HYPERLINK \l "_Toc63026905" </w:instrText>
      </w:r>
      <w:r>
        <w:rPr>
          <w:color w:val="auto"/>
        </w:rPr>
        <w:fldChar w:fldCharType="separate"/>
      </w:r>
      <w:r>
        <w:rPr>
          <w:rStyle w:val="32"/>
          <w:rFonts w:ascii="Times New Roman" w:hAnsi="Times New Roman" w:eastAsia="宋体" w:cs="Times New Roman"/>
          <w:snapToGrid w:val="0"/>
          <w:color w:val="auto"/>
          <w:sz w:val="24"/>
          <w:szCs w:val="24"/>
        </w:rPr>
        <w:t>二、建设内容</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_Toc63026905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7</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54CE7664">
      <w:pPr>
        <w:pStyle w:val="19"/>
        <w:tabs>
          <w:tab w:val="right" w:leader="dot" w:pos="8296"/>
        </w:tabs>
        <w:adjustRightInd w:val="0"/>
        <w:snapToGrid w:val="0"/>
        <w:spacing w:after="0" w:line="360" w:lineRule="auto"/>
        <w:jc w:val="center"/>
        <w:rPr>
          <w:rFonts w:ascii="Times New Roman" w:hAnsi="Times New Roman" w:eastAsia="宋体" w:cs="Times New Roman"/>
          <w:color w:val="auto"/>
          <w:kern w:val="2"/>
          <w:sz w:val="24"/>
          <w:szCs w:val="24"/>
        </w:rPr>
      </w:pPr>
      <w:r>
        <w:rPr>
          <w:color w:val="auto"/>
        </w:rPr>
        <w:fldChar w:fldCharType="begin"/>
      </w:r>
      <w:r>
        <w:rPr>
          <w:color w:val="auto"/>
        </w:rPr>
        <w:instrText xml:space="preserve"> HYPERLINK \l "_Toc63026906" </w:instrText>
      </w:r>
      <w:r>
        <w:rPr>
          <w:color w:val="auto"/>
        </w:rPr>
        <w:fldChar w:fldCharType="separate"/>
      </w:r>
      <w:r>
        <w:rPr>
          <w:rStyle w:val="32"/>
          <w:rFonts w:ascii="Times New Roman" w:hAnsi="Times New Roman" w:eastAsia="宋体" w:cs="Times New Roman"/>
          <w:snapToGrid w:val="0"/>
          <w:color w:val="auto"/>
          <w:sz w:val="24"/>
          <w:szCs w:val="24"/>
        </w:rPr>
        <w:t>三、生态环境现状、保护目标及评价标准</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_Toc63026906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13</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3929F3CA">
      <w:pPr>
        <w:pStyle w:val="19"/>
        <w:tabs>
          <w:tab w:val="right" w:leader="dot" w:pos="8296"/>
        </w:tabs>
        <w:adjustRightInd w:val="0"/>
        <w:snapToGrid w:val="0"/>
        <w:spacing w:after="0" w:line="360" w:lineRule="auto"/>
        <w:jc w:val="center"/>
        <w:rPr>
          <w:rFonts w:ascii="Times New Roman" w:hAnsi="Times New Roman" w:eastAsia="宋体" w:cs="Times New Roman"/>
          <w:color w:val="auto"/>
          <w:kern w:val="2"/>
          <w:sz w:val="24"/>
          <w:szCs w:val="24"/>
        </w:rPr>
      </w:pPr>
      <w:r>
        <w:rPr>
          <w:color w:val="auto"/>
        </w:rPr>
        <w:fldChar w:fldCharType="begin"/>
      </w:r>
      <w:r>
        <w:rPr>
          <w:color w:val="auto"/>
        </w:rPr>
        <w:instrText xml:space="preserve"> HYPERLINK \l "_Toc63026907" </w:instrText>
      </w:r>
      <w:r>
        <w:rPr>
          <w:color w:val="auto"/>
        </w:rPr>
        <w:fldChar w:fldCharType="separate"/>
      </w:r>
      <w:r>
        <w:rPr>
          <w:rStyle w:val="32"/>
          <w:rFonts w:ascii="Times New Roman" w:hAnsi="Times New Roman" w:eastAsia="宋体" w:cs="Times New Roman"/>
          <w:snapToGrid w:val="0"/>
          <w:color w:val="auto"/>
          <w:sz w:val="24"/>
          <w:szCs w:val="24"/>
        </w:rPr>
        <w:t>四、生态环境影响分析</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_Toc63026907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22</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4D1BA070">
      <w:pPr>
        <w:pStyle w:val="19"/>
        <w:tabs>
          <w:tab w:val="right" w:leader="dot" w:pos="8296"/>
        </w:tabs>
        <w:adjustRightInd w:val="0"/>
        <w:snapToGrid w:val="0"/>
        <w:spacing w:after="0" w:line="360" w:lineRule="auto"/>
        <w:jc w:val="center"/>
        <w:rPr>
          <w:rFonts w:ascii="Times New Roman" w:hAnsi="Times New Roman" w:eastAsia="宋体" w:cs="Times New Roman"/>
          <w:color w:val="auto"/>
          <w:kern w:val="2"/>
          <w:sz w:val="24"/>
          <w:szCs w:val="24"/>
        </w:rPr>
      </w:pPr>
      <w:r>
        <w:rPr>
          <w:color w:val="auto"/>
        </w:rPr>
        <w:fldChar w:fldCharType="begin"/>
      </w:r>
      <w:r>
        <w:rPr>
          <w:color w:val="auto"/>
        </w:rPr>
        <w:instrText xml:space="preserve"> HYPERLINK \l "_Toc63026908" </w:instrText>
      </w:r>
      <w:r>
        <w:rPr>
          <w:color w:val="auto"/>
        </w:rPr>
        <w:fldChar w:fldCharType="separate"/>
      </w:r>
      <w:r>
        <w:rPr>
          <w:rStyle w:val="32"/>
          <w:rFonts w:ascii="Times New Roman" w:hAnsi="Times New Roman" w:eastAsia="宋体" w:cs="Times New Roman"/>
          <w:snapToGrid w:val="0"/>
          <w:color w:val="auto"/>
          <w:sz w:val="24"/>
          <w:szCs w:val="24"/>
        </w:rPr>
        <w:t>五、主要生态环境保护措施</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_Toc63026908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29</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53847A2E">
      <w:pPr>
        <w:pStyle w:val="19"/>
        <w:tabs>
          <w:tab w:val="right" w:leader="dot" w:pos="8296"/>
        </w:tabs>
        <w:adjustRightInd w:val="0"/>
        <w:snapToGrid w:val="0"/>
        <w:spacing w:after="0" w:line="360" w:lineRule="auto"/>
        <w:jc w:val="center"/>
        <w:rPr>
          <w:rFonts w:ascii="Times New Roman" w:hAnsi="Times New Roman" w:eastAsia="宋体" w:cs="Times New Roman"/>
          <w:color w:val="auto"/>
          <w:kern w:val="2"/>
          <w:sz w:val="24"/>
          <w:szCs w:val="24"/>
        </w:rPr>
      </w:pPr>
      <w:r>
        <w:rPr>
          <w:color w:val="auto"/>
        </w:rPr>
        <w:fldChar w:fldCharType="begin"/>
      </w:r>
      <w:r>
        <w:rPr>
          <w:color w:val="auto"/>
        </w:rPr>
        <w:instrText xml:space="preserve"> HYPERLINK \l "_Toc63026909" </w:instrText>
      </w:r>
      <w:r>
        <w:rPr>
          <w:color w:val="auto"/>
        </w:rPr>
        <w:fldChar w:fldCharType="separate"/>
      </w:r>
      <w:r>
        <w:rPr>
          <w:rStyle w:val="32"/>
          <w:rFonts w:ascii="Times New Roman" w:hAnsi="Times New Roman" w:eastAsia="宋体" w:cs="Times New Roman"/>
          <w:snapToGrid w:val="0"/>
          <w:color w:val="auto"/>
          <w:sz w:val="24"/>
          <w:szCs w:val="24"/>
        </w:rPr>
        <w:t>六、主要环境保护措施监督检查清单</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_Toc63026909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34</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696768FF">
      <w:pPr>
        <w:pStyle w:val="19"/>
        <w:tabs>
          <w:tab w:val="right" w:leader="dot" w:pos="8296"/>
        </w:tabs>
        <w:adjustRightInd w:val="0"/>
        <w:snapToGrid w:val="0"/>
        <w:spacing w:after="0" w:line="360" w:lineRule="auto"/>
        <w:jc w:val="center"/>
        <w:rPr>
          <w:rFonts w:ascii="Times New Roman" w:hAnsi="Times New Roman" w:eastAsia="宋体" w:cs="Times New Roman"/>
          <w:color w:val="auto"/>
          <w:kern w:val="2"/>
          <w:sz w:val="24"/>
          <w:szCs w:val="24"/>
        </w:rPr>
      </w:pPr>
      <w:r>
        <w:rPr>
          <w:color w:val="auto"/>
        </w:rPr>
        <w:fldChar w:fldCharType="begin"/>
      </w:r>
      <w:r>
        <w:rPr>
          <w:color w:val="auto"/>
        </w:rPr>
        <w:instrText xml:space="preserve"> HYPERLINK \l "_Toc63026910" </w:instrText>
      </w:r>
      <w:r>
        <w:rPr>
          <w:color w:val="auto"/>
        </w:rPr>
        <w:fldChar w:fldCharType="separate"/>
      </w:r>
      <w:r>
        <w:rPr>
          <w:rStyle w:val="32"/>
          <w:rFonts w:ascii="Times New Roman" w:hAnsi="Times New Roman" w:eastAsia="宋体" w:cs="Times New Roman"/>
          <w:snapToGrid w:val="0"/>
          <w:color w:val="auto"/>
          <w:sz w:val="24"/>
          <w:szCs w:val="24"/>
        </w:rPr>
        <w:t>七、结论</w:t>
      </w:r>
      <w:r>
        <w:rPr>
          <w:rFonts w:ascii="Times New Roman" w:hAnsi="Times New Roman" w:eastAsia="宋体" w:cs="Times New Roman"/>
          <w:color w:val="auto"/>
          <w:sz w:val="24"/>
          <w:szCs w:val="24"/>
        </w:rPr>
        <w:tab/>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PAGEREF _Toc63026910 \h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38</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fldChar w:fldCharType="end"/>
      </w:r>
    </w:p>
    <w:p w14:paraId="5680E808">
      <w:pPr>
        <w:autoSpaceDN w:val="0"/>
        <w:adjustRightInd w:val="0"/>
        <w:snapToGrid w:val="0"/>
        <w:spacing w:line="360" w:lineRule="auto"/>
        <w:ind w:firstLine="480" w:firstLineChars="200"/>
        <w:rPr>
          <w:color w:val="auto"/>
          <w:sz w:val="24"/>
        </w:rPr>
      </w:pPr>
      <w:r>
        <w:rPr>
          <w:color w:val="auto"/>
          <w:sz w:val="24"/>
        </w:rPr>
        <w:fldChar w:fldCharType="end"/>
      </w:r>
      <w:bookmarkStart w:id="3" w:name="_Toc63026904"/>
    </w:p>
    <w:p w14:paraId="0C19BA35">
      <w:pPr>
        <w:autoSpaceDN w:val="0"/>
        <w:adjustRightInd w:val="0"/>
        <w:snapToGrid w:val="0"/>
        <w:spacing w:line="360" w:lineRule="auto"/>
        <w:rPr>
          <w:b/>
          <w:color w:val="auto"/>
          <w:sz w:val="24"/>
        </w:rPr>
      </w:pPr>
      <w:r>
        <w:rPr>
          <w:b/>
          <w:color w:val="auto"/>
          <w:sz w:val="24"/>
        </w:rPr>
        <w:t>附图：</w:t>
      </w:r>
    </w:p>
    <w:p w14:paraId="1EE547BF">
      <w:pPr>
        <w:autoSpaceDN w:val="0"/>
        <w:adjustRightInd w:val="0"/>
        <w:snapToGrid w:val="0"/>
        <w:spacing w:line="360" w:lineRule="auto"/>
        <w:ind w:firstLine="480" w:firstLineChars="200"/>
        <w:rPr>
          <w:color w:val="auto"/>
          <w:sz w:val="24"/>
        </w:rPr>
      </w:pPr>
      <w:r>
        <w:rPr>
          <w:color w:val="auto"/>
          <w:sz w:val="24"/>
        </w:rPr>
        <w:t>附图1、本项目地理位置图</w:t>
      </w:r>
    </w:p>
    <w:p w14:paraId="5613F722">
      <w:pPr>
        <w:autoSpaceDN w:val="0"/>
        <w:adjustRightInd w:val="0"/>
        <w:snapToGrid w:val="0"/>
        <w:spacing w:line="360" w:lineRule="auto"/>
        <w:ind w:firstLine="480" w:firstLineChars="200"/>
        <w:rPr>
          <w:color w:val="auto"/>
          <w:sz w:val="24"/>
        </w:rPr>
      </w:pPr>
    </w:p>
    <w:p w14:paraId="121C0F98">
      <w:pPr>
        <w:autoSpaceDN w:val="0"/>
        <w:adjustRightInd w:val="0"/>
        <w:snapToGrid w:val="0"/>
        <w:spacing w:line="360" w:lineRule="auto"/>
        <w:ind w:firstLine="480" w:firstLineChars="200"/>
        <w:rPr>
          <w:color w:val="auto"/>
          <w:sz w:val="24"/>
        </w:rPr>
        <w:sectPr>
          <w:footerReference r:id="rId5" w:type="default"/>
          <w:pgSz w:w="11906" w:h="16838"/>
          <w:pgMar w:top="1134" w:right="1134" w:bottom="1134" w:left="1134" w:header="851" w:footer="992" w:gutter="0"/>
          <w:pgNumType w:start="1"/>
          <w:cols w:space="425" w:num="1"/>
          <w:docGrid w:linePitch="312" w:charSpace="0"/>
        </w:sectPr>
      </w:pPr>
    </w:p>
    <w:p w14:paraId="3E8E1A5A">
      <w:pPr>
        <w:autoSpaceDN w:val="0"/>
        <w:adjustRightInd w:val="0"/>
        <w:snapToGrid w:val="0"/>
        <w:spacing w:line="324" w:lineRule="auto"/>
        <w:ind w:firstLine="480" w:firstLineChars="200"/>
        <w:rPr>
          <w:color w:val="auto"/>
          <w:sz w:val="24"/>
        </w:rPr>
      </w:pPr>
    </w:p>
    <w:p w14:paraId="6EEDD764">
      <w:pPr>
        <w:pStyle w:val="24"/>
        <w:spacing w:before="0" w:beforeAutospacing="0" w:after="0" w:afterAutospacing="0" w:line="360" w:lineRule="auto"/>
        <w:jc w:val="center"/>
        <w:outlineLvl w:val="0"/>
        <w:rPr>
          <w:rFonts w:ascii="Times New Roman" w:hAnsi="Times New Roman"/>
          <w:b/>
          <w:snapToGrid w:val="0"/>
          <w:color w:val="auto"/>
          <w:sz w:val="30"/>
          <w:szCs w:val="30"/>
        </w:rPr>
      </w:pPr>
      <w:r>
        <w:rPr>
          <w:rFonts w:ascii="Times New Roman" w:hAnsi="Times New Roman"/>
          <w:b/>
          <w:snapToGrid w:val="0"/>
          <w:color w:val="auto"/>
          <w:sz w:val="30"/>
          <w:szCs w:val="30"/>
        </w:rPr>
        <w:t>一、建设项目基本情况</w:t>
      </w:r>
      <w:bookmarkEnd w:id="3"/>
    </w:p>
    <w:tbl>
      <w:tblPr>
        <w:tblStyle w:val="27"/>
        <w:tblW w:w="96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3"/>
        <w:gridCol w:w="2281"/>
        <w:gridCol w:w="178"/>
        <w:gridCol w:w="2217"/>
        <w:gridCol w:w="278"/>
        <w:gridCol w:w="3137"/>
      </w:tblGrid>
      <w:tr w14:paraId="45C82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3" w:type="dxa"/>
            <w:tcMar>
              <w:top w:w="16" w:type="dxa"/>
              <w:left w:w="16" w:type="dxa"/>
              <w:right w:w="16" w:type="dxa"/>
            </w:tcMar>
            <w:vAlign w:val="center"/>
          </w:tcPr>
          <w:p w14:paraId="4C9956B9">
            <w:pPr>
              <w:jc w:val="center"/>
              <w:rPr>
                <w:b/>
                <w:color w:val="auto"/>
                <w:sz w:val="24"/>
              </w:rPr>
            </w:pPr>
            <w:r>
              <w:rPr>
                <w:b/>
                <w:color w:val="auto"/>
                <w:sz w:val="24"/>
              </w:rPr>
              <w:t>建设项目</w:t>
            </w:r>
          </w:p>
          <w:p w14:paraId="6A1DD33C">
            <w:pPr>
              <w:jc w:val="center"/>
              <w:rPr>
                <w:b/>
                <w:color w:val="auto"/>
                <w:sz w:val="24"/>
              </w:rPr>
            </w:pPr>
            <w:r>
              <w:rPr>
                <w:b/>
                <w:color w:val="auto"/>
                <w:sz w:val="24"/>
              </w:rPr>
              <w:t>名称</w:t>
            </w:r>
          </w:p>
        </w:tc>
        <w:tc>
          <w:tcPr>
            <w:tcW w:w="8091" w:type="dxa"/>
            <w:gridSpan w:val="5"/>
            <w:vAlign w:val="center"/>
          </w:tcPr>
          <w:p w14:paraId="700A6A3B">
            <w:pPr>
              <w:jc w:val="center"/>
              <w:rPr>
                <w:color w:val="auto"/>
                <w:sz w:val="24"/>
              </w:rPr>
            </w:pPr>
            <w:r>
              <w:rPr>
                <w:color w:val="auto"/>
                <w:sz w:val="24"/>
              </w:rPr>
              <w:t>白涛钛白粉场平电力线路迁改工程（110kV油华线）</w:t>
            </w:r>
          </w:p>
        </w:tc>
      </w:tr>
      <w:tr w14:paraId="394F3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73" w:type="dxa"/>
            <w:tcMar>
              <w:top w:w="16" w:type="dxa"/>
              <w:left w:w="16" w:type="dxa"/>
              <w:right w:w="16" w:type="dxa"/>
            </w:tcMar>
            <w:vAlign w:val="center"/>
          </w:tcPr>
          <w:p w14:paraId="47438FF9">
            <w:pPr>
              <w:jc w:val="center"/>
              <w:rPr>
                <w:b/>
                <w:color w:val="auto"/>
                <w:sz w:val="24"/>
              </w:rPr>
            </w:pPr>
            <w:r>
              <w:rPr>
                <w:b/>
                <w:color w:val="auto"/>
                <w:sz w:val="24"/>
              </w:rPr>
              <w:t>项目代码</w:t>
            </w:r>
          </w:p>
        </w:tc>
        <w:tc>
          <w:tcPr>
            <w:tcW w:w="8091" w:type="dxa"/>
            <w:gridSpan w:val="5"/>
            <w:vAlign w:val="center"/>
          </w:tcPr>
          <w:p w14:paraId="7DD8BAC2">
            <w:pPr>
              <w:jc w:val="center"/>
              <w:rPr>
                <w:color w:val="auto"/>
                <w:sz w:val="24"/>
              </w:rPr>
            </w:pPr>
            <w:r>
              <w:rPr>
                <w:color w:val="auto"/>
                <w:sz w:val="24"/>
              </w:rPr>
              <w:t>2108-500102-04-01-621607</w:t>
            </w:r>
          </w:p>
        </w:tc>
      </w:tr>
      <w:tr w14:paraId="26CE3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573" w:type="dxa"/>
            <w:tcMar>
              <w:top w:w="16" w:type="dxa"/>
              <w:left w:w="16" w:type="dxa"/>
              <w:right w:w="16" w:type="dxa"/>
            </w:tcMar>
            <w:vAlign w:val="center"/>
          </w:tcPr>
          <w:p w14:paraId="15C3ABA4">
            <w:pPr>
              <w:jc w:val="center"/>
              <w:rPr>
                <w:b/>
                <w:color w:val="auto"/>
                <w:sz w:val="24"/>
              </w:rPr>
            </w:pPr>
            <w:r>
              <w:rPr>
                <w:b/>
                <w:color w:val="auto"/>
                <w:sz w:val="24"/>
              </w:rPr>
              <w:t>建设单位联系人</w:t>
            </w:r>
          </w:p>
        </w:tc>
        <w:tc>
          <w:tcPr>
            <w:tcW w:w="2459" w:type="dxa"/>
            <w:gridSpan w:val="2"/>
            <w:vAlign w:val="center"/>
          </w:tcPr>
          <w:p w14:paraId="27FDFE57">
            <w:pPr>
              <w:jc w:val="center"/>
              <w:rPr>
                <w:color w:val="auto"/>
                <w:sz w:val="24"/>
              </w:rPr>
            </w:pPr>
            <w:r>
              <w:rPr>
                <w:color w:val="auto"/>
                <w:sz w:val="24"/>
              </w:rPr>
              <w:t>夏艳伟</w:t>
            </w:r>
          </w:p>
        </w:tc>
        <w:tc>
          <w:tcPr>
            <w:tcW w:w="2495" w:type="dxa"/>
            <w:gridSpan w:val="2"/>
            <w:vAlign w:val="center"/>
          </w:tcPr>
          <w:p w14:paraId="2E3067D1">
            <w:pPr>
              <w:jc w:val="center"/>
              <w:rPr>
                <w:b/>
                <w:color w:val="auto"/>
                <w:sz w:val="24"/>
              </w:rPr>
            </w:pPr>
            <w:r>
              <w:rPr>
                <w:b/>
                <w:color w:val="auto"/>
                <w:sz w:val="24"/>
              </w:rPr>
              <w:t>联系方式</w:t>
            </w:r>
          </w:p>
        </w:tc>
        <w:tc>
          <w:tcPr>
            <w:tcW w:w="3137" w:type="dxa"/>
            <w:vAlign w:val="center"/>
          </w:tcPr>
          <w:p w14:paraId="54A74141">
            <w:pPr>
              <w:jc w:val="center"/>
              <w:rPr>
                <w:color w:val="auto"/>
                <w:sz w:val="24"/>
              </w:rPr>
            </w:pPr>
            <w:r>
              <w:rPr>
                <w:color w:val="auto"/>
                <w:sz w:val="24"/>
              </w:rPr>
              <w:t>152</w:t>
            </w:r>
            <w:r>
              <w:rPr>
                <w:rFonts w:hint="eastAsia"/>
                <w:color w:val="auto"/>
                <w:sz w:val="24"/>
                <w:lang w:val="en-US" w:eastAsia="zh-CN"/>
              </w:rPr>
              <w:t>****</w:t>
            </w:r>
            <w:r>
              <w:rPr>
                <w:color w:val="auto"/>
                <w:sz w:val="24"/>
              </w:rPr>
              <w:t>5507</w:t>
            </w:r>
          </w:p>
        </w:tc>
      </w:tr>
      <w:tr w14:paraId="6504F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573" w:type="dxa"/>
            <w:tcMar>
              <w:top w:w="16" w:type="dxa"/>
              <w:left w:w="16" w:type="dxa"/>
              <w:right w:w="16" w:type="dxa"/>
            </w:tcMar>
            <w:vAlign w:val="center"/>
          </w:tcPr>
          <w:p w14:paraId="051DA9CE">
            <w:pPr>
              <w:jc w:val="center"/>
              <w:rPr>
                <w:b/>
                <w:color w:val="auto"/>
                <w:sz w:val="24"/>
              </w:rPr>
            </w:pPr>
            <w:r>
              <w:rPr>
                <w:b/>
                <w:color w:val="auto"/>
                <w:sz w:val="24"/>
              </w:rPr>
              <w:t>建设地点</w:t>
            </w:r>
          </w:p>
        </w:tc>
        <w:tc>
          <w:tcPr>
            <w:tcW w:w="8091" w:type="dxa"/>
            <w:gridSpan w:val="5"/>
            <w:vAlign w:val="center"/>
          </w:tcPr>
          <w:p w14:paraId="7314270D">
            <w:pPr>
              <w:jc w:val="center"/>
              <w:rPr>
                <w:color w:val="auto"/>
                <w:sz w:val="24"/>
              </w:rPr>
            </w:pPr>
            <w:r>
              <w:rPr>
                <w:bCs/>
                <w:color w:val="auto"/>
                <w:sz w:val="24"/>
              </w:rPr>
              <w:t>重庆市涪陵区白涛街道</w:t>
            </w:r>
          </w:p>
        </w:tc>
      </w:tr>
      <w:tr w14:paraId="478B3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1573" w:type="dxa"/>
            <w:tcMar>
              <w:top w:w="16" w:type="dxa"/>
              <w:left w:w="16" w:type="dxa"/>
              <w:right w:w="16" w:type="dxa"/>
            </w:tcMar>
            <w:vAlign w:val="center"/>
          </w:tcPr>
          <w:p w14:paraId="78016808">
            <w:pPr>
              <w:jc w:val="center"/>
              <w:rPr>
                <w:b/>
                <w:color w:val="auto"/>
                <w:sz w:val="24"/>
              </w:rPr>
            </w:pPr>
            <w:r>
              <w:rPr>
                <w:b/>
                <w:color w:val="auto"/>
                <w:sz w:val="24"/>
              </w:rPr>
              <w:t>地理坐标</w:t>
            </w:r>
          </w:p>
        </w:tc>
        <w:tc>
          <w:tcPr>
            <w:tcW w:w="8091" w:type="dxa"/>
            <w:gridSpan w:val="5"/>
            <w:vAlign w:val="center"/>
          </w:tcPr>
          <w:p w14:paraId="3378A8F0">
            <w:pPr>
              <w:jc w:val="center"/>
              <w:rPr>
                <w:color w:val="auto"/>
                <w:sz w:val="24"/>
              </w:rPr>
            </w:pPr>
            <w:r>
              <w:rPr>
                <w:rFonts w:hint="eastAsia"/>
                <w:color w:val="auto"/>
                <w:sz w:val="24"/>
                <w:lang w:val="en-US" w:eastAsia="zh-CN"/>
              </w:rPr>
              <w:t>****</w:t>
            </w:r>
          </w:p>
        </w:tc>
      </w:tr>
      <w:tr w14:paraId="5B840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79" w:hRule="atLeast"/>
          <w:jc w:val="center"/>
        </w:trPr>
        <w:tc>
          <w:tcPr>
            <w:tcW w:w="1573" w:type="dxa"/>
            <w:tcMar>
              <w:top w:w="16" w:type="dxa"/>
              <w:left w:w="16" w:type="dxa"/>
              <w:right w:w="16" w:type="dxa"/>
            </w:tcMar>
            <w:vAlign w:val="center"/>
          </w:tcPr>
          <w:p w14:paraId="05F802E4">
            <w:pPr>
              <w:jc w:val="center"/>
              <w:rPr>
                <w:b/>
                <w:color w:val="auto"/>
                <w:sz w:val="24"/>
              </w:rPr>
            </w:pPr>
            <w:r>
              <w:rPr>
                <w:b/>
                <w:color w:val="auto"/>
                <w:sz w:val="24"/>
              </w:rPr>
              <w:t>建设项目</w:t>
            </w:r>
          </w:p>
          <w:p w14:paraId="3B089741">
            <w:pPr>
              <w:jc w:val="center"/>
              <w:rPr>
                <w:b/>
                <w:color w:val="auto"/>
                <w:sz w:val="24"/>
              </w:rPr>
            </w:pPr>
            <w:r>
              <w:rPr>
                <w:b/>
                <w:color w:val="auto"/>
                <w:sz w:val="24"/>
              </w:rPr>
              <w:t>行业类别</w:t>
            </w:r>
          </w:p>
        </w:tc>
        <w:tc>
          <w:tcPr>
            <w:tcW w:w="2281" w:type="dxa"/>
            <w:vAlign w:val="center"/>
          </w:tcPr>
          <w:p w14:paraId="4A26A1F3">
            <w:pPr>
              <w:jc w:val="center"/>
              <w:rPr>
                <w:color w:val="auto"/>
                <w:sz w:val="24"/>
              </w:rPr>
            </w:pPr>
            <w:r>
              <w:rPr>
                <w:color w:val="auto"/>
                <w:sz w:val="24"/>
              </w:rPr>
              <w:t>161输变电工程</w:t>
            </w:r>
          </w:p>
        </w:tc>
        <w:tc>
          <w:tcPr>
            <w:tcW w:w="2395" w:type="dxa"/>
            <w:gridSpan w:val="2"/>
            <w:vAlign w:val="center"/>
          </w:tcPr>
          <w:p w14:paraId="6B87EF03">
            <w:pPr>
              <w:jc w:val="center"/>
              <w:rPr>
                <w:b/>
                <w:color w:val="auto"/>
                <w:sz w:val="24"/>
              </w:rPr>
            </w:pPr>
            <w:r>
              <w:rPr>
                <w:b/>
                <w:color w:val="auto"/>
                <w:sz w:val="24"/>
              </w:rPr>
              <w:t>用地面积（m</w:t>
            </w:r>
            <w:r>
              <w:rPr>
                <w:b/>
                <w:color w:val="auto"/>
                <w:sz w:val="24"/>
                <w:vertAlign w:val="superscript"/>
              </w:rPr>
              <w:t>2</w:t>
            </w:r>
            <w:r>
              <w:rPr>
                <w:b/>
                <w:color w:val="auto"/>
                <w:sz w:val="24"/>
              </w:rPr>
              <w:t>）</w:t>
            </w:r>
          </w:p>
          <w:p w14:paraId="2F0F648B">
            <w:pPr>
              <w:jc w:val="center"/>
              <w:rPr>
                <w:b/>
                <w:color w:val="auto"/>
                <w:sz w:val="24"/>
              </w:rPr>
            </w:pPr>
            <w:r>
              <w:rPr>
                <w:b/>
                <w:color w:val="auto"/>
                <w:sz w:val="24"/>
              </w:rPr>
              <w:t>/长度（km）</w:t>
            </w:r>
          </w:p>
        </w:tc>
        <w:tc>
          <w:tcPr>
            <w:tcW w:w="3415" w:type="dxa"/>
            <w:gridSpan w:val="2"/>
            <w:vAlign w:val="center"/>
          </w:tcPr>
          <w:p w14:paraId="61E2AD98">
            <w:pPr>
              <w:rPr>
                <w:color w:val="auto"/>
                <w:sz w:val="24"/>
              </w:rPr>
            </w:pPr>
            <w:r>
              <w:rPr>
                <w:color w:val="auto"/>
                <w:sz w:val="24"/>
              </w:rPr>
              <w:t>用地面积：约1704m</w:t>
            </w:r>
            <w:r>
              <w:rPr>
                <w:color w:val="auto"/>
                <w:sz w:val="24"/>
                <w:vertAlign w:val="superscript"/>
              </w:rPr>
              <w:t>2</w:t>
            </w:r>
            <w:r>
              <w:rPr>
                <w:color w:val="auto"/>
                <w:sz w:val="24"/>
              </w:rPr>
              <w:t>，其中永久用地面积约704m</w:t>
            </w:r>
            <w:r>
              <w:rPr>
                <w:color w:val="auto"/>
                <w:sz w:val="24"/>
                <w:vertAlign w:val="superscript"/>
              </w:rPr>
              <w:t>2</w:t>
            </w:r>
            <w:r>
              <w:rPr>
                <w:color w:val="auto"/>
                <w:sz w:val="24"/>
              </w:rPr>
              <w:t>（塔基占地），临时用地面积约1000m</w:t>
            </w:r>
            <w:r>
              <w:rPr>
                <w:color w:val="auto"/>
                <w:sz w:val="24"/>
                <w:vertAlign w:val="superscript"/>
              </w:rPr>
              <w:t>2</w:t>
            </w:r>
            <w:r>
              <w:rPr>
                <w:color w:val="auto"/>
                <w:sz w:val="24"/>
              </w:rPr>
              <w:t>（</w:t>
            </w:r>
            <w:r>
              <w:rPr>
                <w:bCs/>
                <w:color w:val="auto"/>
                <w:sz w:val="24"/>
              </w:rPr>
              <w:t>牵张场及施工挖方临时堆放点等占地</w:t>
            </w:r>
            <w:r>
              <w:rPr>
                <w:color w:val="auto"/>
                <w:sz w:val="24"/>
              </w:rPr>
              <w:t>）；</w:t>
            </w:r>
          </w:p>
          <w:p w14:paraId="58F7A853">
            <w:pPr>
              <w:rPr>
                <w:color w:val="auto"/>
                <w:sz w:val="24"/>
              </w:rPr>
            </w:pPr>
            <w:r>
              <w:rPr>
                <w:color w:val="auto"/>
                <w:sz w:val="24"/>
              </w:rPr>
              <w:t>线路长度：约4.1km</w:t>
            </w:r>
          </w:p>
        </w:tc>
      </w:tr>
      <w:tr w14:paraId="6BE1A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85" w:hRule="atLeast"/>
          <w:jc w:val="center"/>
        </w:trPr>
        <w:tc>
          <w:tcPr>
            <w:tcW w:w="1573" w:type="dxa"/>
            <w:tcMar>
              <w:top w:w="16" w:type="dxa"/>
              <w:left w:w="16" w:type="dxa"/>
              <w:right w:w="16" w:type="dxa"/>
            </w:tcMar>
            <w:vAlign w:val="center"/>
          </w:tcPr>
          <w:p w14:paraId="0FACCF0A">
            <w:pPr>
              <w:jc w:val="center"/>
              <w:rPr>
                <w:b/>
                <w:color w:val="auto"/>
                <w:sz w:val="24"/>
              </w:rPr>
            </w:pPr>
            <w:r>
              <w:rPr>
                <w:b/>
                <w:color w:val="auto"/>
                <w:sz w:val="24"/>
              </w:rPr>
              <w:t>建设性质</w:t>
            </w:r>
          </w:p>
        </w:tc>
        <w:tc>
          <w:tcPr>
            <w:tcW w:w="2281" w:type="dxa"/>
            <w:vAlign w:val="center"/>
          </w:tcPr>
          <w:p w14:paraId="732E478E">
            <w:pPr>
              <w:rPr>
                <w:color w:val="auto"/>
                <w:sz w:val="24"/>
              </w:rPr>
            </w:pPr>
            <w:r>
              <w:rPr>
                <w:color w:val="auto"/>
                <w:sz w:val="24"/>
              </w:rPr>
              <w:t>☑新建（迁建）</w:t>
            </w:r>
          </w:p>
          <w:p w14:paraId="6EA1DCB3">
            <w:pPr>
              <w:rPr>
                <w:color w:val="auto"/>
                <w:sz w:val="24"/>
              </w:rPr>
            </w:pPr>
            <w:r>
              <w:rPr>
                <w:color w:val="auto"/>
                <w:sz w:val="24"/>
              </w:rPr>
              <w:t>□改建</w:t>
            </w:r>
          </w:p>
          <w:p w14:paraId="4AC78ADA">
            <w:pPr>
              <w:rPr>
                <w:color w:val="auto"/>
                <w:sz w:val="24"/>
              </w:rPr>
            </w:pPr>
            <w:r>
              <w:rPr>
                <w:color w:val="auto"/>
                <w:sz w:val="24"/>
              </w:rPr>
              <w:t>□扩建</w:t>
            </w:r>
          </w:p>
          <w:p w14:paraId="338E84D7">
            <w:pPr>
              <w:rPr>
                <w:color w:val="auto"/>
                <w:sz w:val="24"/>
              </w:rPr>
            </w:pPr>
            <w:r>
              <w:rPr>
                <w:color w:val="auto"/>
                <w:sz w:val="24"/>
              </w:rPr>
              <w:t>□技术改造</w:t>
            </w:r>
          </w:p>
        </w:tc>
        <w:tc>
          <w:tcPr>
            <w:tcW w:w="2395" w:type="dxa"/>
            <w:gridSpan w:val="2"/>
            <w:vAlign w:val="center"/>
          </w:tcPr>
          <w:p w14:paraId="6A01DDC8">
            <w:pPr>
              <w:jc w:val="center"/>
              <w:rPr>
                <w:b/>
                <w:color w:val="auto"/>
                <w:sz w:val="24"/>
              </w:rPr>
            </w:pPr>
            <w:r>
              <w:rPr>
                <w:b/>
                <w:color w:val="auto"/>
                <w:sz w:val="24"/>
              </w:rPr>
              <w:t>建设项目</w:t>
            </w:r>
          </w:p>
          <w:p w14:paraId="63E97670">
            <w:pPr>
              <w:jc w:val="center"/>
              <w:rPr>
                <w:b/>
                <w:color w:val="auto"/>
                <w:sz w:val="24"/>
              </w:rPr>
            </w:pPr>
            <w:r>
              <w:rPr>
                <w:b/>
                <w:color w:val="auto"/>
                <w:sz w:val="24"/>
              </w:rPr>
              <w:t>申报情形</w:t>
            </w:r>
          </w:p>
        </w:tc>
        <w:tc>
          <w:tcPr>
            <w:tcW w:w="3415" w:type="dxa"/>
            <w:gridSpan w:val="2"/>
            <w:vAlign w:val="center"/>
          </w:tcPr>
          <w:p w14:paraId="743BBBEC">
            <w:pPr>
              <w:rPr>
                <w:color w:val="auto"/>
                <w:sz w:val="24"/>
              </w:rPr>
            </w:pPr>
            <w:r>
              <w:rPr>
                <w:color w:val="auto"/>
                <w:sz w:val="24"/>
              </w:rPr>
              <w:t>☑首次申报项目</w:t>
            </w:r>
          </w:p>
          <w:p w14:paraId="7AF3C835">
            <w:pPr>
              <w:rPr>
                <w:color w:val="auto"/>
                <w:sz w:val="24"/>
              </w:rPr>
            </w:pPr>
            <w:r>
              <w:rPr>
                <w:color w:val="auto"/>
                <w:sz w:val="24"/>
              </w:rPr>
              <w:t>□不予批准后再次申报项目</w:t>
            </w:r>
          </w:p>
          <w:p w14:paraId="679231D5">
            <w:pPr>
              <w:rPr>
                <w:color w:val="auto"/>
                <w:sz w:val="24"/>
              </w:rPr>
            </w:pPr>
            <w:r>
              <w:rPr>
                <w:color w:val="auto"/>
                <w:sz w:val="24"/>
              </w:rPr>
              <w:t>□超五年重新审核项目</w:t>
            </w:r>
          </w:p>
          <w:p w14:paraId="56D744E9">
            <w:pPr>
              <w:rPr>
                <w:color w:val="auto"/>
                <w:sz w:val="24"/>
              </w:rPr>
            </w:pPr>
            <w:r>
              <w:rPr>
                <w:color w:val="auto"/>
                <w:sz w:val="24"/>
              </w:rPr>
              <w:t>□重大变动重新报批项目</w:t>
            </w:r>
          </w:p>
        </w:tc>
      </w:tr>
      <w:tr w14:paraId="01795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3" w:type="dxa"/>
            <w:tcMar>
              <w:top w:w="16" w:type="dxa"/>
              <w:left w:w="16" w:type="dxa"/>
              <w:right w:w="16" w:type="dxa"/>
            </w:tcMar>
            <w:vAlign w:val="center"/>
          </w:tcPr>
          <w:p w14:paraId="70854424">
            <w:pPr>
              <w:jc w:val="center"/>
              <w:rPr>
                <w:b/>
                <w:color w:val="auto"/>
                <w:sz w:val="24"/>
              </w:rPr>
            </w:pPr>
            <w:r>
              <w:rPr>
                <w:b/>
                <w:color w:val="auto"/>
                <w:sz w:val="24"/>
              </w:rPr>
              <w:t>项目审批（核准/备案）部门（选填）</w:t>
            </w:r>
          </w:p>
        </w:tc>
        <w:tc>
          <w:tcPr>
            <w:tcW w:w="2281" w:type="dxa"/>
            <w:vAlign w:val="center"/>
          </w:tcPr>
          <w:p w14:paraId="73915E40">
            <w:pPr>
              <w:jc w:val="center"/>
              <w:rPr>
                <w:color w:val="auto"/>
                <w:sz w:val="24"/>
              </w:rPr>
            </w:pPr>
            <w:r>
              <w:rPr>
                <w:color w:val="auto"/>
                <w:sz w:val="24"/>
              </w:rPr>
              <w:t>重庆市涪陵区发展和改革委员会</w:t>
            </w:r>
          </w:p>
        </w:tc>
        <w:tc>
          <w:tcPr>
            <w:tcW w:w="2395" w:type="dxa"/>
            <w:gridSpan w:val="2"/>
            <w:vAlign w:val="center"/>
          </w:tcPr>
          <w:p w14:paraId="70A770DF">
            <w:pPr>
              <w:jc w:val="center"/>
              <w:rPr>
                <w:b/>
                <w:color w:val="auto"/>
                <w:sz w:val="24"/>
              </w:rPr>
            </w:pPr>
            <w:r>
              <w:rPr>
                <w:b/>
                <w:color w:val="auto"/>
                <w:sz w:val="24"/>
              </w:rPr>
              <w:t>项目审批（核准/</w:t>
            </w:r>
          </w:p>
          <w:p w14:paraId="221038F2">
            <w:pPr>
              <w:jc w:val="center"/>
              <w:rPr>
                <w:b/>
                <w:color w:val="auto"/>
                <w:sz w:val="24"/>
              </w:rPr>
            </w:pPr>
            <w:r>
              <w:rPr>
                <w:b/>
                <w:color w:val="auto"/>
                <w:sz w:val="24"/>
              </w:rPr>
              <w:t>备案）文号（选填）</w:t>
            </w:r>
          </w:p>
        </w:tc>
        <w:tc>
          <w:tcPr>
            <w:tcW w:w="3415" w:type="dxa"/>
            <w:gridSpan w:val="2"/>
            <w:vAlign w:val="center"/>
          </w:tcPr>
          <w:p w14:paraId="667B2654">
            <w:pPr>
              <w:jc w:val="center"/>
              <w:rPr>
                <w:color w:val="auto"/>
                <w:sz w:val="24"/>
              </w:rPr>
            </w:pPr>
            <w:r>
              <w:rPr>
                <w:color w:val="auto"/>
                <w:sz w:val="24"/>
              </w:rPr>
              <w:t>涪发改委发[2021]804号</w:t>
            </w:r>
          </w:p>
        </w:tc>
      </w:tr>
      <w:tr w14:paraId="5FB78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573" w:type="dxa"/>
            <w:tcMar>
              <w:top w:w="16" w:type="dxa"/>
              <w:left w:w="16" w:type="dxa"/>
              <w:right w:w="16" w:type="dxa"/>
            </w:tcMar>
            <w:vAlign w:val="center"/>
          </w:tcPr>
          <w:p w14:paraId="3FD98BF5">
            <w:pPr>
              <w:jc w:val="center"/>
              <w:rPr>
                <w:b/>
                <w:color w:val="auto"/>
                <w:sz w:val="24"/>
              </w:rPr>
            </w:pPr>
            <w:r>
              <w:rPr>
                <w:b/>
                <w:color w:val="auto"/>
                <w:sz w:val="24"/>
              </w:rPr>
              <w:t>总投资（万元）</w:t>
            </w:r>
          </w:p>
        </w:tc>
        <w:tc>
          <w:tcPr>
            <w:tcW w:w="2281" w:type="dxa"/>
            <w:vAlign w:val="center"/>
          </w:tcPr>
          <w:p w14:paraId="0E8C132E">
            <w:pPr>
              <w:adjustRightInd w:val="0"/>
              <w:snapToGrid w:val="0"/>
              <w:jc w:val="center"/>
              <w:rPr>
                <w:color w:val="auto"/>
                <w:sz w:val="24"/>
              </w:rPr>
            </w:pPr>
            <w:r>
              <w:rPr>
                <w:rFonts w:hint="eastAsia"/>
                <w:color w:val="auto"/>
                <w:sz w:val="24"/>
                <w:lang w:val="en-US" w:eastAsia="zh-CN"/>
              </w:rPr>
              <w:t>****</w:t>
            </w:r>
          </w:p>
        </w:tc>
        <w:tc>
          <w:tcPr>
            <w:tcW w:w="2395" w:type="dxa"/>
            <w:gridSpan w:val="2"/>
            <w:tcMar>
              <w:top w:w="16" w:type="dxa"/>
              <w:left w:w="16" w:type="dxa"/>
              <w:right w:w="16" w:type="dxa"/>
            </w:tcMar>
            <w:vAlign w:val="center"/>
          </w:tcPr>
          <w:p w14:paraId="5DCB4C8C">
            <w:pPr>
              <w:jc w:val="center"/>
              <w:rPr>
                <w:b/>
                <w:color w:val="auto"/>
                <w:sz w:val="24"/>
              </w:rPr>
            </w:pPr>
            <w:r>
              <w:rPr>
                <w:b/>
                <w:color w:val="auto"/>
                <w:sz w:val="24"/>
              </w:rPr>
              <w:t>环保投资（万元）</w:t>
            </w:r>
          </w:p>
        </w:tc>
        <w:tc>
          <w:tcPr>
            <w:tcW w:w="3415" w:type="dxa"/>
            <w:gridSpan w:val="2"/>
            <w:vAlign w:val="center"/>
          </w:tcPr>
          <w:p w14:paraId="04308972">
            <w:pPr>
              <w:adjustRightInd w:val="0"/>
              <w:snapToGrid w:val="0"/>
              <w:jc w:val="center"/>
              <w:rPr>
                <w:color w:val="auto"/>
                <w:sz w:val="24"/>
              </w:rPr>
            </w:pPr>
            <w:r>
              <w:rPr>
                <w:rFonts w:hint="eastAsia"/>
                <w:color w:val="auto"/>
                <w:sz w:val="24"/>
                <w:lang w:val="en-US" w:eastAsia="zh-CN"/>
              </w:rPr>
              <w:t>****</w:t>
            </w:r>
          </w:p>
        </w:tc>
      </w:tr>
      <w:tr w14:paraId="30A2C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573" w:type="dxa"/>
            <w:tcMar>
              <w:top w:w="16" w:type="dxa"/>
              <w:left w:w="16" w:type="dxa"/>
              <w:right w:w="16" w:type="dxa"/>
            </w:tcMar>
            <w:vAlign w:val="center"/>
          </w:tcPr>
          <w:p w14:paraId="46BAB312">
            <w:pPr>
              <w:jc w:val="center"/>
              <w:rPr>
                <w:b/>
                <w:color w:val="auto"/>
                <w:sz w:val="24"/>
              </w:rPr>
            </w:pPr>
            <w:r>
              <w:rPr>
                <w:b/>
                <w:color w:val="auto"/>
                <w:sz w:val="24"/>
              </w:rPr>
              <w:t>环保投资占比（%）</w:t>
            </w:r>
          </w:p>
        </w:tc>
        <w:tc>
          <w:tcPr>
            <w:tcW w:w="2281" w:type="dxa"/>
            <w:vAlign w:val="center"/>
          </w:tcPr>
          <w:p w14:paraId="4B18E2BD">
            <w:pPr>
              <w:adjustRightInd w:val="0"/>
              <w:snapToGrid w:val="0"/>
              <w:jc w:val="center"/>
              <w:rPr>
                <w:color w:val="auto"/>
                <w:sz w:val="24"/>
              </w:rPr>
            </w:pPr>
            <w:r>
              <w:rPr>
                <w:rFonts w:hint="eastAsia"/>
                <w:color w:val="auto"/>
                <w:sz w:val="24"/>
                <w:lang w:val="en-US" w:eastAsia="zh-CN"/>
              </w:rPr>
              <w:t>****</w:t>
            </w:r>
          </w:p>
        </w:tc>
        <w:tc>
          <w:tcPr>
            <w:tcW w:w="2395" w:type="dxa"/>
            <w:gridSpan w:val="2"/>
            <w:tcMar>
              <w:top w:w="16" w:type="dxa"/>
              <w:left w:w="16" w:type="dxa"/>
              <w:right w:w="16" w:type="dxa"/>
            </w:tcMar>
            <w:vAlign w:val="center"/>
          </w:tcPr>
          <w:p w14:paraId="183FF0D2">
            <w:pPr>
              <w:jc w:val="center"/>
              <w:rPr>
                <w:b/>
                <w:color w:val="auto"/>
                <w:sz w:val="24"/>
              </w:rPr>
            </w:pPr>
            <w:r>
              <w:rPr>
                <w:b/>
                <w:color w:val="auto"/>
                <w:sz w:val="24"/>
              </w:rPr>
              <w:t>施工工期</w:t>
            </w:r>
          </w:p>
        </w:tc>
        <w:tc>
          <w:tcPr>
            <w:tcW w:w="3415" w:type="dxa"/>
            <w:gridSpan w:val="2"/>
            <w:vAlign w:val="center"/>
          </w:tcPr>
          <w:p w14:paraId="49D7F24F">
            <w:pPr>
              <w:adjustRightInd w:val="0"/>
              <w:snapToGrid w:val="0"/>
              <w:jc w:val="center"/>
              <w:rPr>
                <w:color w:val="auto"/>
                <w:sz w:val="24"/>
              </w:rPr>
            </w:pPr>
            <w:r>
              <w:rPr>
                <w:color w:val="auto"/>
                <w:sz w:val="24"/>
              </w:rPr>
              <w:t>4个月</w:t>
            </w:r>
          </w:p>
        </w:tc>
      </w:tr>
      <w:tr w14:paraId="4FA83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3" w:type="dxa"/>
            <w:tcMar>
              <w:top w:w="16" w:type="dxa"/>
              <w:left w:w="16" w:type="dxa"/>
              <w:right w:w="16" w:type="dxa"/>
            </w:tcMar>
            <w:vAlign w:val="center"/>
          </w:tcPr>
          <w:p w14:paraId="751AF0E5">
            <w:pPr>
              <w:jc w:val="center"/>
              <w:rPr>
                <w:b/>
                <w:color w:val="auto"/>
                <w:sz w:val="24"/>
              </w:rPr>
            </w:pPr>
            <w:r>
              <w:rPr>
                <w:b/>
                <w:color w:val="auto"/>
                <w:sz w:val="24"/>
              </w:rPr>
              <w:t>是否开工建设</w:t>
            </w:r>
          </w:p>
        </w:tc>
        <w:tc>
          <w:tcPr>
            <w:tcW w:w="8091" w:type="dxa"/>
            <w:gridSpan w:val="5"/>
            <w:vAlign w:val="center"/>
          </w:tcPr>
          <w:p w14:paraId="6549380D">
            <w:pPr>
              <w:jc w:val="left"/>
              <w:rPr>
                <w:color w:val="auto"/>
                <w:sz w:val="24"/>
              </w:rPr>
            </w:pPr>
            <w:r>
              <w:rPr>
                <w:bCs/>
                <w:color w:val="auto"/>
                <w:sz w:val="24"/>
              </w:rPr>
              <w:t>☑</w:t>
            </w:r>
            <w:r>
              <w:rPr>
                <w:color w:val="auto"/>
                <w:sz w:val="24"/>
              </w:rPr>
              <w:t>否</w:t>
            </w:r>
          </w:p>
          <w:p w14:paraId="6F261059">
            <w:pPr>
              <w:jc w:val="left"/>
              <w:rPr>
                <w:color w:val="auto"/>
                <w:sz w:val="24"/>
              </w:rPr>
            </w:pPr>
            <w:r>
              <w:rPr>
                <w:color w:val="auto"/>
                <w:sz w:val="24"/>
              </w:rPr>
              <w:t>□是：</w:t>
            </w:r>
          </w:p>
        </w:tc>
      </w:tr>
      <w:tr w14:paraId="7FDC0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3" w:type="dxa"/>
            <w:tcMar>
              <w:top w:w="16" w:type="dxa"/>
              <w:left w:w="16" w:type="dxa"/>
              <w:right w:w="16" w:type="dxa"/>
            </w:tcMar>
            <w:vAlign w:val="center"/>
          </w:tcPr>
          <w:p w14:paraId="6FC08443">
            <w:pPr>
              <w:spacing w:line="360" w:lineRule="auto"/>
              <w:jc w:val="center"/>
              <w:rPr>
                <w:b/>
                <w:color w:val="auto"/>
                <w:sz w:val="24"/>
              </w:rPr>
            </w:pPr>
            <w:r>
              <w:rPr>
                <w:b/>
                <w:color w:val="auto"/>
                <w:sz w:val="24"/>
              </w:rPr>
              <w:t>专项评价设置情况</w:t>
            </w:r>
          </w:p>
        </w:tc>
        <w:tc>
          <w:tcPr>
            <w:tcW w:w="8091" w:type="dxa"/>
            <w:gridSpan w:val="5"/>
            <w:tcMar>
              <w:top w:w="16" w:type="dxa"/>
              <w:left w:w="16" w:type="dxa"/>
              <w:right w:w="16" w:type="dxa"/>
            </w:tcMar>
            <w:vAlign w:val="center"/>
          </w:tcPr>
          <w:p w14:paraId="1264B4A9">
            <w:pPr>
              <w:spacing w:line="360" w:lineRule="auto"/>
              <w:ind w:firstLine="480" w:firstLineChars="200"/>
              <w:jc w:val="left"/>
              <w:rPr>
                <w:color w:val="auto"/>
                <w:sz w:val="24"/>
              </w:rPr>
            </w:pPr>
            <w:r>
              <w:rPr>
                <w:color w:val="auto"/>
                <w:sz w:val="24"/>
              </w:rPr>
              <w:t>根据《环境影响评价技术导则  输变电》（HJ24-2020）“B.2.1专题评价”，本项目应设电磁环境影响专题评价。</w:t>
            </w:r>
          </w:p>
        </w:tc>
      </w:tr>
      <w:tr w14:paraId="2850F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3" w:type="dxa"/>
            <w:tcMar>
              <w:top w:w="16" w:type="dxa"/>
              <w:left w:w="16" w:type="dxa"/>
              <w:right w:w="16" w:type="dxa"/>
            </w:tcMar>
            <w:vAlign w:val="center"/>
          </w:tcPr>
          <w:p w14:paraId="18C4B940">
            <w:pPr>
              <w:spacing w:line="360" w:lineRule="auto"/>
              <w:jc w:val="center"/>
              <w:rPr>
                <w:b/>
                <w:color w:val="auto"/>
                <w:sz w:val="24"/>
              </w:rPr>
            </w:pPr>
            <w:r>
              <w:rPr>
                <w:b/>
                <w:color w:val="auto"/>
                <w:sz w:val="24"/>
              </w:rPr>
              <w:t>规划情况</w:t>
            </w:r>
          </w:p>
        </w:tc>
        <w:tc>
          <w:tcPr>
            <w:tcW w:w="8091" w:type="dxa"/>
            <w:gridSpan w:val="5"/>
            <w:tcMar>
              <w:top w:w="16" w:type="dxa"/>
              <w:left w:w="16" w:type="dxa"/>
              <w:right w:w="16" w:type="dxa"/>
            </w:tcMar>
            <w:vAlign w:val="center"/>
          </w:tcPr>
          <w:p w14:paraId="642DB4B1">
            <w:pPr>
              <w:spacing w:line="360" w:lineRule="auto"/>
              <w:ind w:firstLine="480" w:firstLineChars="200"/>
              <w:jc w:val="left"/>
              <w:rPr>
                <w:color w:val="auto"/>
                <w:sz w:val="24"/>
              </w:rPr>
            </w:pPr>
            <w:r>
              <w:rPr>
                <w:color w:val="auto"/>
                <w:sz w:val="24"/>
              </w:rPr>
              <w:t>项目线路路径方案已经取得重庆市涪陵区规划和自然资源局选址意见书（用字第市政500102202100029号），符合城乡规划要求。</w:t>
            </w:r>
          </w:p>
        </w:tc>
      </w:tr>
      <w:tr w14:paraId="5A36A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1573" w:type="dxa"/>
            <w:tcMar>
              <w:top w:w="16" w:type="dxa"/>
              <w:left w:w="16" w:type="dxa"/>
              <w:right w:w="16" w:type="dxa"/>
            </w:tcMar>
            <w:vAlign w:val="center"/>
          </w:tcPr>
          <w:p w14:paraId="1BC7E218">
            <w:pPr>
              <w:jc w:val="center"/>
              <w:rPr>
                <w:b/>
                <w:color w:val="auto"/>
                <w:sz w:val="24"/>
              </w:rPr>
            </w:pPr>
            <w:r>
              <w:rPr>
                <w:b/>
                <w:color w:val="auto"/>
                <w:sz w:val="24"/>
              </w:rPr>
              <w:t>规划环境影响评价情况</w:t>
            </w:r>
          </w:p>
        </w:tc>
        <w:tc>
          <w:tcPr>
            <w:tcW w:w="8091" w:type="dxa"/>
            <w:gridSpan w:val="5"/>
            <w:tcMar>
              <w:top w:w="16" w:type="dxa"/>
              <w:left w:w="16" w:type="dxa"/>
              <w:right w:w="16" w:type="dxa"/>
            </w:tcMar>
            <w:vAlign w:val="center"/>
          </w:tcPr>
          <w:p w14:paraId="4276DFFA">
            <w:pPr>
              <w:jc w:val="left"/>
              <w:rPr>
                <w:color w:val="auto"/>
                <w:sz w:val="24"/>
              </w:rPr>
            </w:pPr>
            <w:r>
              <w:rPr>
                <w:color w:val="auto"/>
                <w:sz w:val="24"/>
              </w:rPr>
              <w:t>无</w:t>
            </w:r>
          </w:p>
        </w:tc>
      </w:tr>
      <w:tr w14:paraId="53B19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3" w:type="dxa"/>
            <w:tcMar>
              <w:top w:w="16" w:type="dxa"/>
              <w:left w:w="16" w:type="dxa"/>
              <w:right w:w="16" w:type="dxa"/>
            </w:tcMar>
            <w:vAlign w:val="center"/>
          </w:tcPr>
          <w:p w14:paraId="61D3569E">
            <w:pPr>
              <w:jc w:val="center"/>
              <w:rPr>
                <w:b/>
                <w:color w:val="auto"/>
                <w:sz w:val="24"/>
              </w:rPr>
            </w:pPr>
            <w:r>
              <w:rPr>
                <w:b/>
                <w:color w:val="auto"/>
                <w:sz w:val="24"/>
              </w:rPr>
              <w:t>规划及规划环境影响评价符合性分析</w:t>
            </w:r>
          </w:p>
        </w:tc>
        <w:tc>
          <w:tcPr>
            <w:tcW w:w="8091" w:type="dxa"/>
            <w:gridSpan w:val="5"/>
            <w:tcMar>
              <w:top w:w="16" w:type="dxa"/>
              <w:left w:w="16" w:type="dxa"/>
              <w:right w:w="16" w:type="dxa"/>
            </w:tcMar>
            <w:vAlign w:val="center"/>
          </w:tcPr>
          <w:p w14:paraId="7826CAF8">
            <w:pPr>
              <w:jc w:val="left"/>
              <w:rPr>
                <w:color w:val="auto"/>
              </w:rPr>
            </w:pPr>
            <w:r>
              <w:rPr>
                <w:color w:val="auto"/>
                <w:sz w:val="24"/>
              </w:rPr>
              <w:t>无</w:t>
            </w:r>
          </w:p>
          <w:p w14:paraId="01C17836">
            <w:pPr>
              <w:pStyle w:val="2"/>
              <w:rPr>
                <w:rFonts w:ascii="Times New Roman" w:hAnsi="Times New Roman" w:cs="Times New Roman"/>
                <w:color w:val="auto"/>
              </w:rPr>
            </w:pPr>
          </w:p>
        </w:tc>
      </w:tr>
      <w:tr w14:paraId="09643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3" w:type="dxa"/>
            <w:tcMar>
              <w:top w:w="16" w:type="dxa"/>
              <w:left w:w="16" w:type="dxa"/>
              <w:right w:w="16" w:type="dxa"/>
            </w:tcMar>
            <w:vAlign w:val="center"/>
          </w:tcPr>
          <w:p w14:paraId="0F2E9D17">
            <w:pPr>
              <w:jc w:val="center"/>
              <w:rPr>
                <w:b/>
                <w:color w:val="auto"/>
                <w:sz w:val="24"/>
              </w:rPr>
            </w:pPr>
            <w:bookmarkStart w:id="4" w:name="_Hlk56690880"/>
            <w:r>
              <w:rPr>
                <w:b/>
                <w:color w:val="auto"/>
                <w:sz w:val="24"/>
              </w:rPr>
              <w:t>其他符合性分析</w:t>
            </w:r>
            <w:bookmarkEnd w:id="4"/>
          </w:p>
        </w:tc>
        <w:tc>
          <w:tcPr>
            <w:tcW w:w="8091" w:type="dxa"/>
            <w:gridSpan w:val="5"/>
            <w:tcMar>
              <w:top w:w="16" w:type="dxa"/>
              <w:left w:w="16" w:type="dxa"/>
              <w:right w:w="16" w:type="dxa"/>
            </w:tcMar>
            <w:vAlign w:val="center"/>
          </w:tcPr>
          <w:p w14:paraId="186F4396">
            <w:pPr>
              <w:autoSpaceDN w:val="0"/>
              <w:adjustRightInd w:val="0"/>
              <w:snapToGrid w:val="0"/>
              <w:spacing w:line="360" w:lineRule="auto"/>
              <w:rPr>
                <w:b/>
                <w:bCs/>
                <w:color w:val="auto"/>
                <w:sz w:val="24"/>
              </w:rPr>
            </w:pPr>
            <w:r>
              <w:rPr>
                <w:b/>
                <w:bCs/>
                <w:color w:val="auto"/>
                <w:sz w:val="24"/>
              </w:rPr>
              <w:t>1、与“三线一单”符合性分析</w:t>
            </w:r>
          </w:p>
          <w:p w14:paraId="1108D493">
            <w:pPr>
              <w:tabs>
                <w:tab w:val="left" w:pos="4"/>
              </w:tabs>
              <w:adjustRightInd w:val="0"/>
              <w:snapToGrid w:val="0"/>
              <w:spacing w:line="360" w:lineRule="auto"/>
              <w:ind w:firstLine="482" w:firstLineChars="200"/>
              <w:rPr>
                <w:b/>
                <w:bCs/>
                <w:color w:val="auto"/>
                <w:sz w:val="24"/>
              </w:rPr>
            </w:pPr>
            <w:r>
              <w:rPr>
                <w:b/>
                <w:bCs/>
                <w:color w:val="auto"/>
                <w:sz w:val="24"/>
              </w:rPr>
              <w:t>（1）与重庆市“三线一单”符合性分析</w:t>
            </w:r>
          </w:p>
          <w:p w14:paraId="6784B872">
            <w:pPr>
              <w:pStyle w:val="2"/>
              <w:snapToGrid w:val="0"/>
              <w:spacing w:line="360" w:lineRule="auto"/>
              <w:ind w:firstLine="480" w:firstLineChars="20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根据《重庆市人民政府关于落实生态保护红线、环境质量底线、资源利用上线制定生态环境准入清单实施生态环境分区管控的实施意见》（渝府发〔2020〕11号）及重庆市环境管控单元分布图，本项目位于重点管控单元内（详见附图8-1），重点管控单元指涉及水、大气、土壤、自然资源等资源环境要素重点管控的区域，主要包括人口密集的城镇规划区和产业集聚的工业园区（工业集聚区）。重点管控单元的管控要求为：优化空间布局，不断提升资源利用效率，有针对性地加强污染物排放控制和环境风险防控，解决生态环境质量不达标、生态环境风险高等问题。</w:t>
            </w:r>
          </w:p>
          <w:p w14:paraId="3D087248">
            <w:pPr>
              <w:autoSpaceDN w:val="0"/>
              <w:adjustRightInd w:val="0"/>
              <w:snapToGrid w:val="0"/>
              <w:spacing w:line="360" w:lineRule="auto"/>
              <w:ind w:firstLine="480" w:firstLineChars="200"/>
              <w:rPr>
                <w:color w:val="auto"/>
                <w:sz w:val="24"/>
                <w:shd w:val="clear" w:color="auto" w:fill="FFFFFF"/>
              </w:rPr>
            </w:pPr>
            <w:r>
              <w:rPr>
                <w:color w:val="auto"/>
                <w:sz w:val="24"/>
                <w:shd w:val="clear" w:color="auto" w:fill="FFFFFF"/>
              </w:rPr>
              <w:t>本项目为基础设施建设项目，运营期具有无工业废水、废气等环境污染物排放，对生态环境质量影响较小，无生态环境风险等特点，且本评价在项目施工期和运营期均提出了针对周边环境和环境保护目标的环保措施，施工期及运营期对周边环境影响均可满足国家相关标准要求，因此，项目符合重庆市“三线一单”提出的相应管控要求。</w:t>
            </w:r>
          </w:p>
          <w:p w14:paraId="1B93F2EA">
            <w:pPr>
              <w:tabs>
                <w:tab w:val="left" w:pos="4"/>
              </w:tabs>
              <w:adjustRightInd w:val="0"/>
              <w:snapToGrid w:val="0"/>
              <w:spacing w:line="360" w:lineRule="auto"/>
              <w:ind w:firstLine="482" w:firstLineChars="200"/>
              <w:rPr>
                <w:b/>
                <w:bCs/>
                <w:color w:val="auto"/>
                <w:sz w:val="24"/>
              </w:rPr>
            </w:pPr>
            <w:r>
              <w:rPr>
                <w:b/>
                <w:bCs/>
                <w:color w:val="auto"/>
                <w:sz w:val="24"/>
              </w:rPr>
              <w:t>（2）与涪陵区“三线一单”符合性分析</w:t>
            </w:r>
          </w:p>
          <w:p w14:paraId="4B361215">
            <w:pPr>
              <w:autoSpaceDN w:val="0"/>
              <w:adjustRightInd w:val="0"/>
              <w:snapToGrid w:val="0"/>
              <w:spacing w:line="360" w:lineRule="auto"/>
              <w:ind w:firstLine="480" w:firstLineChars="200"/>
              <w:rPr>
                <w:color w:val="auto"/>
                <w:sz w:val="24"/>
                <w:shd w:val="clear" w:color="auto" w:fill="FFFFFF"/>
              </w:rPr>
            </w:pPr>
            <w:r>
              <w:rPr>
                <w:color w:val="auto"/>
                <w:sz w:val="24"/>
                <w:shd w:val="clear" w:color="auto" w:fill="FFFFFF"/>
              </w:rPr>
              <w:t>根据《长江经济带战略环境评价 重庆市涪陵区“三线一单”研究报告》及涪陵区环境管控单元分布图，本项目均位于重点管控单元内（详见附图8-2）。重点管控单元指涉及水、大气等资源环境要素重点管控的区域，主要包括人口密集的城镇规划区和产业集聚的工业园区（工业集聚区）。重点管控单元的管控要求为：优化空间布局，不断提升资源利用效率，有针对性地加强污染物排放控制和环境风险防控，解决生态环境质量不达标、生态环境风险高等问题。</w:t>
            </w:r>
          </w:p>
          <w:p w14:paraId="480958E0">
            <w:pPr>
              <w:autoSpaceDN w:val="0"/>
              <w:adjustRightInd w:val="0"/>
              <w:snapToGrid w:val="0"/>
              <w:spacing w:line="360" w:lineRule="auto"/>
              <w:ind w:firstLine="480" w:firstLineChars="200"/>
              <w:rPr>
                <w:color w:val="auto"/>
                <w:sz w:val="24"/>
                <w:shd w:val="clear" w:color="auto" w:fill="FFFFFF"/>
              </w:rPr>
            </w:pPr>
            <w:r>
              <w:rPr>
                <w:color w:val="auto"/>
                <w:sz w:val="24"/>
                <w:shd w:val="clear" w:color="auto" w:fill="FFFFFF"/>
              </w:rPr>
              <w:t>本项目为基础设施建设项目，运营期具有无工业废水、废气等环境污染物排放，对生态环境质量影响较小，无生态环境风险等特点，且本评价在项目施工期和运营期均提出了针对周边环境和环境保护目标的环保措施，施工期及运营期对周边环境影响均可满足国家相关标准要求，因此，项目符合涪陵区“三线一单”提出的相应管控要求。</w:t>
            </w:r>
          </w:p>
          <w:p w14:paraId="4A15B633">
            <w:pPr>
              <w:autoSpaceDN w:val="0"/>
              <w:adjustRightInd w:val="0"/>
              <w:snapToGrid w:val="0"/>
              <w:spacing w:line="360" w:lineRule="auto"/>
              <w:ind w:firstLine="482" w:firstLineChars="200"/>
              <w:rPr>
                <w:b/>
                <w:bCs/>
                <w:color w:val="auto"/>
                <w:sz w:val="24"/>
              </w:rPr>
            </w:pPr>
            <w:r>
              <w:rPr>
                <w:b/>
                <w:bCs/>
                <w:color w:val="auto"/>
                <w:sz w:val="24"/>
              </w:rPr>
              <w:t>（3）与涪陵区重点管控单元-乌江麻柳嘴符合性分析</w:t>
            </w:r>
          </w:p>
          <w:p w14:paraId="11631565">
            <w:pPr>
              <w:tabs>
                <w:tab w:val="left" w:pos="4"/>
              </w:tabs>
              <w:adjustRightInd w:val="0"/>
              <w:snapToGrid w:val="0"/>
              <w:spacing w:line="360" w:lineRule="auto"/>
              <w:ind w:firstLine="480" w:firstLineChars="200"/>
              <w:rPr>
                <w:color w:val="auto"/>
                <w:sz w:val="24"/>
              </w:rPr>
            </w:pPr>
            <w:r>
              <w:rPr>
                <w:color w:val="auto"/>
                <w:sz w:val="24"/>
              </w:rPr>
              <w:t>根据重庆市“三线一单”智检服务查询结果（查询结果见附件</w:t>
            </w:r>
            <w:r>
              <w:rPr>
                <w:rFonts w:hint="eastAsia"/>
                <w:color w:val="auto"/>
                <w:sz w:val="24"/>
              </w:rPr>
              <w:t>6</w:t>
            </w:r>
            <w:r>
              <w:rPr>
                <w:color w:val="auto"/>
                <w:sz w:val="24"/>
              </w:rPr>
              <w:t>及附图8-3），项目所在地位于涪陵区重点管控单元-乌江麻柳嘴范围内，管控单元编码：ZH50010220001。项目与重庆市“三线一单”管控要求符合性分析见下表1-1。</w:t>
            </w:r>
          </w:p>
          <w:p w14:paraId="3A2B5A44">
            <w:pPr>
              <w:adjustRightInd w:val="0"/>
              <w:snapToGrid w:val="0"/>
              <w:spacing w:line="360" w:lineRule="auto"/>
              <w:jc w:val="center"/>
              <w:rPr>
                <w:b/>
                <w:bCs/>
                <w:color w:val="auto"/>
                <w:sz w:val="24"/>
              </w:rPr>
            </w:pPr>
            <w:r>
              <w:rPr>
                <w:b/>
                <w:color w:val="auto"/>
                <w:sz w:val="24"/>
              </w:rPr>
              <w:t>表1-1本</w:t>
            </w:r>
            <w:r>
              <w:rPr>
                <w:b/>
                <w:bCs/>
                <w:color w:val="auto"/>
                <w:sz w:val="24"/>
              </w:rPr>
              <w:t>项目与重庆市“三线一单”管控要求符合性分析</w:t>
            </w:r>
          </w:p>
          <w:tbl>
            <w:tblPr>
              <w:tblStyle w:val="2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47"/>
              <w:gridCol w:w="660"/>
              <w:gridCol w:w="3661"/>
              <w:gridCol w:w="1077"/>
              <w:gridCol w:w="678"/>
            </w:tblGrid>
            <w:tr w14:paraId="7843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118D7B78">
                  <w:pPr>
                    <w:pStyle w:val="2"/>
                    <w:spacing w:line="240" w:lineRule="auto"/>
                    <w:jc w:val="center"/>
                    <w:rPr>
                      <w:rFonts w:ascii="Times New Roman" w:hAnsi="Times New Roman" w:cs="Times New Roman"/>
                      <w:color w:val="auto"/>
                    </w:rPr>
                  </w:pPr>
                  <w:r>
                    <w:rPr>
                      <w:rFonts w:ascii="Times New Roman" w:hAnsi="Times New Roman" w:cs="Times New Roman"/>
                      <w:color w:val="auto"/>
                    </w:rPr>
                    <w:t>环境管控单元名称及编码</w:t>
                  </w:r>
                </w:p>
              </w:tc>
              <w:tc>
                <w:tcPr>
                  <w:tcW w:w="947" w:type="dxa"/>
                  <w:vAlign w:val="center"/>
                </w:tcPr>
                <w:p w14:paraId="017040E1">
                  <w:pPr>
                    <w:pStyle w:val="2"/>
                    <w:spacing w:line="240" w:lineRule="auto"/>
                    <w:jc w:val="center"/>
                    <w:rPr>
                      <w:rFonts w:ascii="Times New Roman" w:hAnsi="Times New Roman" w:cs="Times New Roman"/>
                      <w:color w:val="auto"/>
                    </w:rPr>
                  </w:pPr>
                  <w:r>
                    <w:rPr>
                      <w:rFonts w:ascii="Times New Roman" w:hAnsi="Times New Roman" w:cs="Times New Roman"/>
                      <w:color w:val="auto"/>
                    </w:rPr>
                    <w:t>执行的市级总体管控要求</w:t>
                  </w:r>
                </w:p>
              </w:tc>
              <w:tc>
                <w:tcPr>
                  <w:tcW w:w="660" w:type="dxa"/>
                  <w:vAlign w:val="center"/>
                </w:tcPr>
                <w:p w14:paraId="176A26AE">
                  <w:pPr>
                    <w:pStyle w:val="2"/>
                    <w:spacing w:line="240" w:lineRule="auto"/>
                    <w:jc w:val="center"/>
                    <w:rPr>
                      <w:rFonts w:ascii="Times New Roman" w:hAnsi="Times New Roman" w:cs="Times New Roman"/>
                      <w:color w:val="auto"/>
                    </w:rPr>
                  </w:pPr>
                  <w:r>
                    <w:rPr>
                      <w:rFonts w:ascii="Times New Roman" w:hAnsi="Times New Roman" w:cs="Times New Roman"/>
                      <w:color w:val="auto"/>
                    </w:rPr>
                    <w:t>管控类别</w:t>
                  </w:r>
                </w:p>
              </w:tc>
              <w:tc>
                <w:tcPr>
                  <w:tcW w:w="3661" w:type="dxa"/>
                  <w:vAlign w:val="center"/>
                </w:tcPr>
                <w:p w14:paraId="2AB70C6D">
                  <w:pPr>
                    <w:pStyle w:val="2"/>
                    <w:spacing w:line="240" w:lineRule="auto"/>
                    <w:jc w:val="center"/>
                    <w:rPr>
                      <w:rFonts w:ascii="Times New Roman" w:hAnsi="Times New Roman" w:cs="Times New Roman"/>
                      <w:color w:val="auto"/>
                    </w:rPr>
                  </w:pPr>
                  <w:r>
                    <w:rPr>
                      <w:rFonts w:ascii="Times New Roman" w:hAnsi="Times New Roman" w:cs="Times New Roman"/>
                      <w:color w:val="auto"/>
                    </w:rPr>
                    <w:t>管控要求</w:t>
                  </w:r>
                </w:p>
              </w:tc>
              <w:tc>
                <w:tcPr>
                  <w:tcW w:w="1077" w:type="dxa"/>
                  <w:vAlign w:val="center"/>
                </w:tcPr>
                <w:p w14:paraId="344FF62B">
                  <w:pPr>
                    <w:pStyle w:val="2"/>
                    <w:spacing w:line="240" w:lineRule="auto"/>
                    <w:jc w:val="center"/>
                    <w:rPr>
                      <w:rFonts w:ascii="Times New Roman" w:hAnsi="Times New Roman" w:cs="Times New Roman"/>
                      <w:color w:val="auto"/>
                    </w:rPr>
                  </w:pPr>
                  <w:r>
                    <w:rPr>
                      <w:rFonts w:ascii="Times New Roman" w:hAnsi="Times New Roman" w:cs="Times New Roman"/>
                      <w:color w:val="auto"/>
                    </w:rPr>
                    <w:t>本项目情况</w:t>
                  </w:r>
                </w:p>
              </w:tc>
              <w:tc>
                <w:tcPr>
                  <w:tcW w:w="678" w:type="dxa"/>
                  <w:vAlign w:val="center"/>
                </w:tcPr>
                <w:p w14:paraId="497ACF47">
                  <w:pPr>
                    <w:pStyle w:val="2"/>
                    <w:spacing w:line="240" w:lineRule="auto"/>
                    <w:jc w:val="center"/>
                    <w:rPr>
                      <w:rFonts w:ascii="Times New Roman" w:hAnsi="Times New Roman" w:cs="Times New Roman"/>
                      <w:color w:val="auto"/>
                    </w:rPr>
                  </w:pPr>
                  <w:r>
                    <w:rPr>
                      <w:rFonts w:ascii="Times New Roman" w:hAnsi="Times New Roman" w:cs="Times New Roman"/>
                      <w:color w:val="auto"/>
                    </w:rPr>
                    <w:t>符合性</w:t>
                  </w:r>
                </w:p>
              </w:tc>
            </w:tr>
            <w:tr w14:paraId="7B8E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restart"/>
                  <w:vAlign w:val="center"/>
                </w:tcPr>
                <w:p w14:paraId="6B37B941">
                  <w:pPr>
                    <w:pStyle w:val="2"/>
                    <w:wordWrap w:val="0"/>
                    <w:spacing w:line="240" w:lineRule="auto"/>
                    <w:jc w:val="center"/>
                    <w:rPr>
                      <w:rFonts w:ascii="Times New Roman" w:hAnsi="Times New Roman" w:cs="Times New Roman"/>
                      <w:color w:val="auto"/>
                    </w:rPr>
                  </w:pPr>
                  <w:r>
                    <w:rPr>
                      <w:rFonts w:ascii="Times New Roman" w:hAnsi="Times New Roman" w:cs="Times New Roman"/>
                      <w:color w:val="auto"/>
                    </w:rPr>
                    <w:t>涪陵区重点管控单元-乌江麻柳嘴（ZH50010220001）</w:t>
                  </w:r>
                </w:p>
              </w:tc>
              <w:tc>
                <w:tcPr>
                  <w:tcW w:w="947" w:type="dxa"/>
                  <w:vMerge w:val="restart"/>
                  <w:vAlign w:val="center"/>
                </w:tcPr>
                <w:p w14:paraId="55E6646B">
                  <w:pPr>
                    <w:pStyle w:val="2"/>
                    <w:spacing w:line="240" w:lineRule="auto"/>
                    <w:jc w:val="center"/>
                    <w:rPr>
                      <w:rFonts w:ascii="Times New Roman" w:hAnsi="Times New Roman" w:cs="Times New Roman"/>
                      <w:color w:val="auto"/>
                    </w:rPr>
                  </w:pPr>
                  <w:r>
                    <w:rPr>
                      <w:rFonts w:ascii="Times New Roman" w:hAnsi="Times New Roman" w:cs="Times New Roman"/>
                      <w:color w:val="auto"/>
                    </w:rPr>
                    <w:t>涪陵区总体管控要求，重点管控单元，近郊区（主城东）总体管控方向</w:t>
                  </w:r>
                </w:p>
              </w:tc>
              <w:tc>
                <w:tcPr>
                  <w:tcW w:w="660" w:type="dxa"/>
                  <w:vAlign w:val="center"/>
                </w:tcPr>
                <w:p w14:paraId="2EFBF3D9">
                  <w:pPr>
                    <w:pStyle w:val="2"/>
                    <w:spacing w:line="240" w:lineRule="auto"/>
                    <w:jc w:val="center"/>
                    <w:rPr>
                      <w:rFonts w:ascii="Times New Roman" w:hAnsi="Times New Roman" w:cs="Times New Roman"/>
                      <w:color w:val="auto"/>
                    </w:rPr>
                  </w:pPr>
                  <w:r>
                    <w:rPr>
                      <w:rFonts w:ascii="Times New Roman" w:hAnsi="Times New Roman" w:cs="Times New Roman"/>
                      <w:color w:val="auto"/>
                    </w:rPr>
                    <w:t>空间布局约束</w:t>
                  </w:r>
                </w:p>
              </w:tc>
              <w:tc>
                <w:tcPr>
                  <w:tcW w:w="3661" w:type="dxa"/>
                  <w:vAlign w:val="center"/>
                </w:tcPr>
                <w:p w14:paraId="7D906653">
                  <w:pPr>
                    <w:adjustRightInd w:val="0"/>
                    <w:snapToGrid w:val="0"/>
                    <w:rPr>
                      <w:color w:val="auto"/>
                      <w:szCs w:val="21"/>
                    </w:rPr>
                  </w:pPr>
                  <w:r>
                    <w:rPr>
                      <w:color w:val="auto"/>
                      <w:szCs w:val="21"/>
                    </w:rPr>
                    <w:t>重庆白涛工业园区不规划食品加工企业等与园区主导产业环境相冲突的项目。禁止新建或扩建合成氨项目（区域规划搬迁、综合利用项目除外）。禁止在乌江干流岸线1公里范围内新建重化工、纺织、造纸等存在污染风险的工业项目；白涛工业园区外禁止新建、扩建在化工园区外化工项目。禁止在乌江干岸线175米库岸沿线至第一山脊线范围内建设露天采矿项目。</w:t>
                  </w:r>
                </w:p>
              </w:tc>
              <w:tc>
                <w:tcPr>
                  <w:tcW w:w="1077" w:type="dxa"/>
                  <w:vAlign w:val="center"/>
                </w:tcPr>
                <w:p w14:paraId="208CC45B">
                  <w:pPr>
                    <w:pStyle w:val="2"/>
                    <w:spacing w:line="240" w:lineRule="auto"/>
                    <w:jc w:val="left"/>
                    <w:rPr>
                      <w:rFonts w:ascii="Times New Roman" w:hAnsi="Times New Roman" w:cs="Times New Roman"/>
                      <w:color w:val="auto"/>
                    </w:rPr>
                  </w:pPr>
                  <w:r>
                    <w:rPr>
                      <w:rFonts w:ascii="Times New Roman" w:hAnsi="Times New Roman" w:cs="Times New Roman"/>
                      <w:color w:val="auto"/>
                    </w:rPr>
                    <w:t>本项目为电力基础设施项目</w:t>
                  </w:r>
                </w:p>
              </w:tc>
              <w:tc>
                <w:tcPr>
                  <w:tcW w:w="678" w:type="dxa"/>
                  <w:vAlign w:val="center"/>
                </w:tcPr>
                <w:p w14:paraId="44BFC88F">
                  <w:pPr>
                    <w:pStyle w:val="2"/>
                    <w:spacing w:line="240" w:lineRule="auto"/>
                    <w:jc w:val="left"/>
                    <w:rPr>
                      <w:rFonts w:ascii="Times New Roman" w:hAnsi="Times New Roman" w:cs="Times New Roman"/>
                      <w:color w:val="auto"/>
                    </w:rPr>
                  </w:pPr>
                  <w:r>
                    <w:rPr>
                      <w:rFonts w:ascii="Times New Roman" w:hAnsi="Times New Roman" w:cs="Times New Roman"/>
                      <w:color w:val="auto"/>
                    </w:rPr>
                    <w:t>符合</w:t>
                  </w:r>
                </w:p>
              </w:tc>
            </w:tr>
            <w:tr w14:paraId="0092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vAlign w:val="center"/>
                </w:tcPr>
                <w:p w14:paraId="736910C2">
                  <w:pPr>
                    <w:pStyle w:val="2"/>
                    <w:spacing w:line="240" w:lineRule="auto"/>
                    <w:jc w:val="center"/>
                    <w:rPr>
                      <w:rFonts w:ascii="Times New Roman" w:hAnsi="Times New Roman" w:cs="Times New Roman"/>
                      <w:color w:val="auto"/>
                    </w:rPr>
                  </w:pPr>
                </w:p>
              </w:tc>
              <w:tc>
                <w:tcPr>
                  <w:tcW w:w="947" w:type="dxa"/>
                  <w:vMerge w:val="continue"/>
                  <w:vAlign w:val="center"/>
                </w:tcPr>
                <w:p w14:paraId="5E54EA59">
                  <w:pPr>
                    <w:pStyle w:val="2"/>
                    <w:spacing w:line="240" w:lineRule="auto"/>
                    <w:jc w:val="center"/>
                    <w:rPr>
                      <w:rFonts w:ascii="Times New Roman" w:hAnsi="Times New Roman" w:cs="Times New Roman"/>
                      <w:color w:val="auto"/>
                    </w:rPr>
                  </w:pPr>
                </w:p>
              </w:tc>
              <w:tc>
                <w:tcPr>
                  <w:tcW w:w="660" w:type="dxa"/>
                  <w:vAlign w:val="center"/>
                </w:tcPr>
                <w:p w14:paraId="218E371D">
                  <w:pPr>
                    <w:pStyle w:val="2"/>
                    <w:spacing w:line="240" w:lineRule="auto"/>
                    <w:jc w:val="center"/>
                    <w:rPr>
                      <w:rFonts w:ascii="Times New Roman" w:hAnsi="Times New Roman" w:cs="Times New Roman"/>
                      <w:color w:val="auto"/>
                    </w:rPr>
                  </w:pPr>
                  <w:r>
                    <w:rPr>
                      <w:rFonts w:ascii="Times New Roman" w:hAnsi="Times New Roman" w:cs="Times New Roman"/>
                      <w:color w:val="auto"/>
                    </w:rPr>
                    <w:t>污染物排放管控</w:t>
                  </w:r>
                </w:p>
              </w:tc>
              <w:tc>
                <w:tcPr>
                  <w:tcW w:w="3661" w:type="dxa"/>
                  <w:vAlign w:val="center"/>
                </w:tcPr>
                <w:p w14:paraId="57C45363">
                  <w:pPr>
                    <w:adjustRightInd w:val="0"/>
                    <w:snapToGrid w:val="0"/>
                    <w:rPr>
                      <w:color w:val="auto"/>
                      <w:szCs w:val="21"/>
                    </w:rPr>
                  </w:pPr>
                  <w:r>
                    <w:rPr>
                      <w:color w:val="auto"/>
                      <w:szCs w:val="21"/>
                    </w:rPr>
                    <w:t>严控涪陵工业园区龙桥组团南岸浦片区燃煤热电项目建设。涪陵江南主城区逐步实施城市建成区国Ⅰ排放标准汽油车、国Ⅲ排放标准柴油车限行、推进国三及以下排放标准营运柴油车提前淘汰更新；江南主城区禁止新建扩建工业企业，现有城区大气污染严重企业逐步退城入园（现有实施清洁生产改造企业除外）。建设页岩气田产出水收集及处理系统，集中处理区域内页岩气田产出水；完善城区和乡镇集中污水处理厂和二三级污水管网。</w:t>
                  </w:r>
                </w:p>
              </w:tc>
              <w:tc>
                <w:tcPr>
                  <w:tcW w:w="1077" w:type="dxa"/>
                  <w:vAlign w:val="center"/>
                </w:tcPr>
                <w:p w14:paraId="3FE7EEFA">
                  <w:pPr>
                    <w:pStyle w:val="2"/>
                    <w:spacing w:line="240" w:lineRule="auto"/>
                    <w:jc w:val="left"/>
                    <w:rPr>
                      <w:rFonts w:ascii="Times New Roman" w:hAnsi="Times New Roman" w:cs="Times New Roman"/>
                      <w:color w:val="auto"/>
                    </w:rPr>
                  </w:pPr>
                  <w:r>
                    <w:rPr>
                      <w:rFonts w:ascii="Times New Roman" w:hAnsi="Times New Roman" w:cs="Times New Roman"/>
                      <w:color w:val="auto"/>
                    </w:rPr>
                    <w:t>本项目为电力基础设施项目，运营期无废水、废气产生排放</w:t>
                  </w:r>
                </w:p>
              </w:tc>
              <w:tc>
                <w:tcPr>
                  <w:tcW w:w="678" w:type="dxa"/>
                  <w:vAlign w:val="center"/>
                </w:tcPr>
                <w:p w14:paraId="45867F2A">
                  <w:pPr>
                    <w:pStyle w:val="2"/>
                    <w:spacing w:line="240" w:lineRule="auto"/>
                    <w:jc w:val="left"/>
                    <w:rPr>
                      <w:rFonts w:ascii="Times New Roman" w:hAnsi="Times New Roman" w:cs="Times New Roman"/>
                      <w:color w:val="auto"/>
                    </w:rPr>
                  </w:pPr>
                  <w:r>
                    <w:rPr>
                      <w:rFonts w:ascii="Times New Roman" w:hAnsi="Times New Roman" w:cs="Times New Roman"/>
                      <w:color w:val="auto"/>
                    </w:rPr>
                    <w:t>符合</w:t>
                  </w:r>
                </w:p>
              </w:tc>
            </w:tr>
            <w:tr w14:paraId="51D2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vAlign w:val="center"/>
                </w:tcPr>
                <w:p w14:paraId="472DA5BA">
                  <w:pPr>
                    <w:pStyle w:val="2"/>
                    <w:spacing w:line="240" w:lineRule="auto"/>
                    <w:jc w:val="center"/>
                    <w:rPr>
                      <w:rFonts w:ascii="Times New Roman" w:hAnsi="Times New Roman" w:cs="Times New Roman"/>
                      <w:color w:val="auto"/>
                    </w:rPr>
                  </w:pPr>
                </w:p>
              </w:tc>
              <w:tc>
                <w:tcPr>
                  <w:tcW w:w="947" w:type="dxa"/>
                  <w:vMerge w:val="continue"/>
                  <w:vAlign w:val="center"/>
                </w:tcPr>
                <w:p w14:paraId="2990EBE9">
                  <w:pPr>
                    <w:pStyle w:val="2"/>
                    <w:spacing w:line="240" w:lineRule="auto"/>
                    <w:jc w:val="center"/>
                    <w:rPr>
                      <w:rFonts w:ascii="Times New Roman" w:hAnsi="Times New Roman" w:cs="Times New Roman"/>
                      <w:color w:val="auto"/>
                    </w:rPr>
                  </w:pPr>
                </w:p>
              </w:tc>
              <w:tc>
                <w:tcPr>
                  <w:tcW w:w="660" w:type="dxa"/>
                  <w:vAlign w:val="center"/>
                </w:tcPr>
                <w:p w14:paraId="65E4A20E">
                  <w:pPr>
                    <w:pStyle w:val="2"/>
                    <w:spacing w:line="240" w:lineRule="auto"/>
                    <w:jc w:val="center"/>
                    <w:rPr>
                      <w:rFonts w:ascii="Times New Roman" w:hAnsi="Times New Roman" w:cs="Times New Roman"/>
                      <w:color w:val="auto"/>
                    </w:rPr>
                  </w:pPr>
                  <w:r>
                    <w:rPr>
                      <w:rFonts w:ascii="Times New Roman" w:hAnsi="Times New Roman" w:cs="Times New Roman"/>
                      <w:color w:val="auto"/>
                    </w:rPr>
                    <w:t>环境风险防控</w:t>
                  </w:r>
                </w:p>
              </w:tc>
              <w:tc>
                <w:tcPr>
                  <w:tcW w:w="3661" w:type="dxa"/>
                  <w:vAlign w:val="center"/>
                </w:tcPr>
                <w:p w14:paraId="3F925B52">
                  <w:pPr>
                    <w:adjustRightInd w:val="0"/>
                    <w:snapToGrid w:val="0"/>
                    <w:rPr>
                      <w:color w:val="auto"/>
                      <w:szCs w:val="21"/>
                    </w:rPr>
                  </w:pPr>
                  <w:r>
                    <w:rPr>
                      <w:color w:val="auto"/>
                      <w:szCs w:val="21"/>
                    </w:rPr>
                    <w:t>完善白涛工业园区环境风险防范体系，严格控制项目环境风险，合理布局生产装置及危险化学品仓储等设施；强化乌江岸线1公里范围内危化品码头的环境风险防范措施。加强区域页岩气开发中的水污染风险管控，采用先进环保的钻采工艺，切实保护区域水环境。</w:t>
                  </w:r>
                </w:p>
              </w:tc>
              <w:tc>
                <w:tcPr>
                  <w:tcW w:w="1077" w:type="dxa"/>
                  <w:vAlign w:val="center"/>
                </w:tcPr>
                <w:p w14:paraId="1D6EA518">
                  <w:pPr>
                    <w:pStyle w:val="2"/>
                    <w:spacing w:line="240" w:lineRule="auto"/>
                    <w:jc w:val="left"/>
                    <w:rPr>
                      <w:rFonts w:ascii="Times New Roman" w:hAnsi="Times New Roman" w:cs="Times New Roman"/>
                      <w:color w:val="auto"/>
                    </w:rPr>
                  </w:pPr>
                  <w:r>
                    <w:rPr>
                      <w:rFonts w:ascii="Times New Roman" w:hAnsi="Times New Roman" w:cs="Times New Roman"/>
                      <w:color w:val="auto"/>
                    </w:rPr>
                    <w:t>本项目为电力基础设施项目，运营期无废水、危险化学品排放</w:t>
                  </w:r>
                </w:p>
              </w:tc>
              <w:tc>
                <w:tcPr>
                  <w:tcW w:w="678" w:type="dxa"/>
                  <w:vAlign w:val="center"/>
                </w:tcPr>
                <w:p w14:paraId="5D8CBF6C">
                  <w:pPr>
                    <w:pStyle w:val="2"/>
                    <w:spacing w:line="240" w:lineRule="auto"/>
                    <w:jc w:val="left"/>
                    <w:rPr>
                      <w:rFonts w:ascii="Times New Roman" w:hAnsi="Times New Roman" w:cs="Times New Roman"/>
                      <w:color w:val="auto"/>
                    </w:rPr>
                  </w:pPr>
                  <w:r>
                    <w:rPr>
                      <w:rFonts w:ascii="Times New Roman" w:hAnsi="Times New Roman" w:cs="Times New Roman"/>
                      <w:color w:val="auto"/>
                    </w:rPr>
                    <w:t>符合</w:t>
                  </w:r>
                </w:p>
              </w:tc>
            </w:tr>
            <w:tr w14:paraId="2556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vAlign w:val="center"/>
                </w:tcPr>
                <w:p w14:paraId="6C993DAB">
                  <w:pPr>
                    <w:pStyle w:val="2"/>
                    <w:spacing w:line="240" w:lineRule="auto"/>
                    <w:jc w:val="center"/>
                    <w:rPr>
                      <w:rFonts w:ascii="Times New Roman" w:hAnsi="Times New Roman" w:cs="Times New Roman"/>
                      <w:color w:val="auto"/>
                    </w:rPr>
                  </w:pPr>
                </w:p>
              </w:tc>
              <w:tc>
                <w:tcPr>
                  <w:tcW w:w="947" w:type="dxa"/>
                  <w:vMerge w:val="continue"/>
                  <w:vAlign w:val="center"/>
                </w:tcPr>
                <w:p w14:paraId="45704230">
                  <w:pPr>
                    <w:pStyle w:val="2"/>
                    <w:spacing w:line="240" w:lineRule="auto"/>
                    <w:jc w:val="center"/>
                    <w:rPr>
                      <w:rFonts w:ascii="Times New Roman" w:hAnsi="Times New Roman" w:cs="Times New Roman"/>
                      <w:color w:val="auto"/>
                    </w:rPr>
                  </w:pPr>
                </w:p>
              </w:tc>
              <w:tc>
                <w:tcPr>
                  <w:tcW w:w="660" w:type="dxa"/>
                  <w:vAlign w:val="center"/>
                </w:tcPr>
                <w:p w14:paraId="6033DF2C">
                  <w:pPr>
                    <w:pStyle w:val="2"/>
                    <w:spacing w:line="240" w:lineRule="auto"/>
                    <w:jc w:val="center"/>
                    <w:rPr>
                      <w:rFonts w:ascii="Times New Roman" w:hAnsi="Times New Roman" w:cs="Times New Roman"/>
                      <w:color w:val="auto"/>
                    </w:rPr>
                  </w:pPr>
                  <w:r>
                    <w:rPr>
                      <w:rFonts w:ascii="Times New Roman" w:hAnsi="Times New Roman" w:cs="Times New Roman"/>
                      <w:color w:val="auto"/>
                    </w:rPr>
                    <w:t>资源开发</w:t>
                  </w:r>
                </w:p>
                <w:p w14:paraId="1B5CF9F4">
                  <w:pPr>
                    <w:pStyle w:val="2"/>
                    <w:spacing w:line="240" w:lineRule="auto"/>
                    <w:jc w:val="center"/>
                    <w:rPr>
                      <w:rFonts w:ascii="Times New Roman" w:hAnsi="Times New Roman" w:cs="Times New Roman"/>
                      <w:color w:val="auto"/>
                    </w:rPr>
                  </w:pPr>
                  <w:r>
                    <w:rPr>
                      <w:rFonts w:ascii="Times New Roman" w:hAnsi="Times New Roman" w:cs="Times New Roman"/>
                      <w:color w:val="auto"/>
                    </w:rPr>
                    <w:t>效率要求</w:t>
                  </w:r>
                </w:p>
              </w:tc>
              <w:tc>
                <w:tcPr>
                  <w:tcW w:w="3661" w:type="dxa"/>
                  <w:vAlign w:val="center"/>
                </w:tcPr>
                <w:p w14:paraId="2F3FAFE8">
                  <w:pPr>
                    <w:adjustRightInd w:val="0"/>
                    <w:snapToGrid w:val="0"/>
                    <w:rPr>
                      <w:color w:val="auto"/>
                      <w:szCs w:val="21"/>
                    </w:rPr>
                  </w:pPr>
                  <w:r>
                    <w:rPr>
                      <w:color w:val="auto"/>
                      <w:szCs w:val="21"/>
                    </w:rPr>
                    <w:t>对建峰化工自来水厂、蒿枝坝自来水厂、马脚溪自来水厂集中式饮用水源保护区，以及小溪风景名胜区、乌江森林公园、乌江沿线自然生态岸线要严加保护，不得违规侵占，严禁进行影响饮用水源保护和破坏生态环境的开发活动。</w:t>
                  </w:r>
                </w:p>
              </w:tc>
              <w:tc>
                <w:tcPr>
                  <w:tcW w:w="1077" w:type="dxa"/>
                  <w:vAlign w:val="center"/>
                </w:tcPr>
                <w:p w14:paraId="31BB7754">
                  <w:pPr>
                    <w:pStyle w:val="2"/>
                    <w:spacing w:line="240" w:lineRule="auto"/>
                    <w:jc w:val="left"/>
                    <w:rPr>
                      <w:rFonts w:ascii="Times New Roman" w:hAnsi="Times New Roman" w:cs="Times New Roman"/>
                      <w:color w:val="auto"/>
                    </w:rPr>
                  </w:pPr>
                  <w:r>
                    <w:rPr>
                      <w:rFonts w:ascii="Times New Roman" w:hAnsi="Times New Roman" w:cs="Times New Roman"/>
                      <w:color w:val="auto"/>
                    </w:rPr>
                    <w:t>本项目不涉及该区域</w:t>
                  </w:r>
                </w:p>
              </w:tc>
              <w:tc>
                <w:tcPr>
                  <w:tcW w:w="678" w:type="dxa"/>
                  <w:vAlign w:val="center"/>
                </w:tcPr>
                <w:p w14:paraId="477B334E">
                  <w:pPr>
                    <w:pStyle w:val="2"/>
                    <w:spacing w:line="240" w:lineRule="auto"/>
                    <w:jc w:val="left"/>
                    <w:rPr>
                      <w:rFonts w:ascii="Times New Roman" w:hAnsi="Times New Roman" w:cs="Times New Roman"/>
                      <w:color w:val="auto"/>
                    </w:rPr>
                  </w:pPr>
                  <w:r>
                    <w:rPr>
                      <w:rFonts w:ascii="Times New Roman" w:hAnsi="Times New Roman" w:cs="Times New Roman"/>
                      <w:color w:val="auto"/>
                    </w:rPr>
                    <w:t>符合</w:t>
                  </w:r>
                </w:p>
              </w:tc>
            </w:tr>
          </w:tbl>
          <w:p w14:paraId="04215B42">
            <w:pPr>
              <w:autoSpaceDN w:val="0"/>
              <w:adjustRightInd w:val="0"/>
              <w:snapToGrid w:val="0"/>
              <w:spacing w:line="360" w:lineRule="auto"/>
              <w:ind w:firstLine="480" w:firstLineChars="200"/>
              <w:rPr>
                <w:color w:val="auto"/>
                <w:sz w:val="24"/>
              </w:rPr>
            </w:pPr>
            <w:r>
              <w:rPr>
                <w:color w:val="auto"/>
                <w:sz w:val="24"/>
              </w:rPr>
              <w:t>综上，本项目符合重庆市“三线一单”、涪陵区“三线一单”及重点管控单元-乌江麻柳嘴的相应管控要求。</w:t>
            </w:r>
          </w:p>
          <w:p w14:paraId="3672CDDE">
            <w:pPr>
              <w:autoSpaceDN w:val="0"/>
              <w:adjustRightInd w:val="0"/>
              <w:snapToGrid w:val="0"/>
              <w:spacing w:line="360" w:lineRule="auto"/>
              <w:rPr>
                <w:b/>
                <w:bCs/>
                <w:color w:val="auto"/>
                <w:sz w:val="24"/>
              </w:rPr>
            </w:pPr>
            <w:r>
              <w:rPr>
                <w:b/>
                <w:bCs/>
                <w:color w:val="auto"/>
                <w:sz w:val="24"/>
              </w:rPr>
              <w:t>2、与生态保护红线的符合性分析</w:t>
            </w:r>
          </w:p>
          <w:p w14:paraId="717DC21D">
            <w:pPr>
              <w:autoSpaceDN w:val="0"/>
              <w:adjustRightInd w:val="0"/>
              <w:snapToGrid w:val="0"/>
              <w:spacing w:line="360" w:lineRule="auto"/>
              <w:ind w:firstLine="480" w:firstLineChars="200"/>
              <w:rPr>
                <w:color w:val="auto"/>
                <w:sz w:val="24"/>
                <w:shd w:val="clear" w:color="auto" w:fill="FFFFFF"/>
              </w:rPr>
            </w:pPr>
            <w:r>
              <w:rPr>
                <w:color w:val="auto"/>
                <w:sz w:val="24"/>
              </w:rPr>
              <w:t>经核实，本项目未涉及重庆市涪陵区生态保护红线，项目未占用及跨越生态保护红线，符合生态保护红线政策。本项目与涪陵区生态红线保护范围的相对位置关系见附图9。</w:t>
            </w:r>
            <w:r>
              <w:rPr>
                <w:color w:val="auto"/>
                <w:sz w:val="24"/>
                <w:shd w:val="clear" w:color="auto" w:fill="FFFFFF"/>
              </w:rPr>
              <w:t xml:space="preserve">   </w:t>
            </w:r>
            <w:bookmarkStart w:id="5" w:name="_Toc22468"/>
          </w:p>
          <w:bookmarkEnd w:id="5"/>
          <w:p w14:paraId="626E6DE1">
            <w:pPr>
              <w:autoSpaceDN w:val="0"/>
              <w:adjustRightInd w:val="0"/>
              <w:snapToGrid w:val="0"/>
              <w:spacing w:line="360" w:lineRule="auto"/>
              <w:rPr>
                <w:b/>
                <w:bCs/>
                <w:color w:val="auto"/>
                <w:sz w:val="24"/>
              </w:rPr>
            </w:pPr>
            <w:r>
              <w:rPr>
                <w:b/>
                <w:bCs/>
                <w:color w:val="auto"/>
                <w:sz w:val="24"/>
              </w:rPr>
              <w:t>3、与《输变电建设项目环境保护技术要求》（HJ 1113-2020）符合性分析</w:t>
            </w:r>
          </w:p>
          <w:p w14:paraId="57A4F88A">
            <w:pPr>
              <w:adjustRightInd w:val="0"/>
              <w:snapToGrid w:val="0"/>
              <w:spacing w:line="360" w:lineRule="auto"/>
              <w:ind w:firstLine="480" w:firstLineChars="200"/>
              <w:rPr>
                <w:b/>
                <w:color w:val="auto"/>
                <w:sz w:val="24"/>
              </w:rPr>
            </w:pPr>
            <w:r>
              <w:rPr>
                <w:color w:val="auto"/>
                <w:sz w:val="24"/>
              </w:rPr>
              <w:t>《输变电建设项目环境保护技术要求》（HJ1113-2020）从选址、设计方面提出了相关要求，本项目与其符合性分析见下表1-2。</w:t>
            </w:r>
          </w:p>
          <w:p w14:paraId="1082E604">
            <w:pPr>
              <w:adjustRightInd w:val="0"/>
              <w:snapToGrid w:val="0"/>
              <w:spacing w:line="360" w:lineRule="auto"/>
              <w:jc w:val="center"/>
              <w:rPr>
                <w:b/>
                <w:bCs/>
                <w:color w:val="auto"/>
                <w:sz w:val="24"/>
              </w:rPr>
            </w:pPr>
            <w:r>
              <w:rPr>
                <w:b/>
                <w:color w:val="auto"/>
                <w:sz w:val="24"/>
              </w:rPr>
              <w:t xml:space="preserve">表1-2  </w:t>
            </w:r>
            <w:r>
              <w:rPr>
                <w:b/>
                <w:bCs/>
                <w:color w:val="auto"/>
                <w:sz w:val="24"/>
                <w:lang w:bidi="ar"/>
              </w:rPr>
              <w:t>与</w:t>
            </w:r>
            <w:r>
              <w:rPr>
                <w:b/>
                <w:bCs/>
                <w:color w:val="auto"/>
                <w:sz w:val="24"/>
              </w:rPr>
              <w:t>《输变电建设项目环境保护技术要求》符合性分析（线路相关）</w:t>
            </w:r>
          </w:p>
          <w:tbl>
            <w:tblPr>
              <w:tblStyle w:val="27"/>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91"/>
              <w:gridCol w:w="3245"/>
              <w:gridCol w:w="3142"/>
              <w:gridCol w:w="745"/>
            </w:tblGrid>
            <w:tr w14:paraId="6B1D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gridSpan w:val="2"/>
                  <w:vAlign w:val="center"/>
                </w:tcPr>
                <w:p w14:paraId="60B26F67">
                  <w:pPr>
                    <w:tabs>
                      <w:tab w:val="left" w:pos="4"/>
                    </w:tabs>
                    <w:snapToGrid w:val="0"/>
                    <w:jc w:val="center"/>
                    <w:rPr>
                      <w:b/>
                      <w:bCs/>
                      <w:color w:val="auto"/>
                    </w:rPr>
                  </w:pPr>
                  <w:r>
                    <w:rPr>
                      <w:b/>
                      <w:bCs/>
                      <w:color w:val="auto"/>
                    </w:rPr>
                    <w:t>类型</w:t>
                  </w:r>
                </w:p>
              </w:tc>
              <w:tc>
                <w:tcPr>
                  <w:tcW w:w="3245" w:type="dxa"/>
                  <w:vAlign w:val="center"/>
                </w:tcPr>
                <w:p w14:paraId="3173CBAE">
                  <w:pPr>
                    <w:tabs>
                      <w:tab w:val="left" w:pos="4"/>
                    </w:tabs>
                    <w:snapToGrid w:val="0"/>
                    <w:jc w:val="center"/>
                    <w:rPr>
                      <w:b/>
                      <w:bCs/>
                      <w:color w:val="auto"/>
                    </w:rPr>
                  </w:pPr>
                  <w:r>
                    <w:rPr>
                      <w:b/>
                      <w:bCs/>
                      <w:color w:val="auto"/>
                    </w:rPr>
                    <w:t>涉及输电线路的要求</w:t>
                  </w:r>
                </w:p>
              </w:tc>
              <w:tc>
                <w:tcPr>
                  <w:tcW w:w="3142" w:type="dxa"/>
                  <w:vAlign w:val="center"/>
                </w:tcPr>
                <w:p w14:paraId="3C235B29">
                  <w:pPr>
                    <w:tabs>
                      <w:tab w:val="left" w:pos="4"/>
                    </w:tabs>
                    <w:snapToGrid w:val="0"/>
                    <w:jc w:val="center"/>
                    <w:rPr>
                      <w:b/>
                      <w:bCs/>
                      <w:color w:val="auto"/>
                    </w:rPr>
                  </w:pPr>
                  <w:r>
                    <w:rPr>
                      <w:b/>
                      <w:bCs/>
                      <w:color w:val="auto"/>
                    </w:rPr>
                    <w:t>本项目情况</w:t>
                  </w:r>
                </w:p>
              </w:tc>
              <w:tc>
                <w:tcPr>
                  <w:tcW w:w="745" w:type="dxa"/>
                  <w:vAlign w:val="center"/>
                </w:tcPr>
                <w:p w14:paraId="5D131D23">
                  <w:pPr>
                    <w:tabs>
                      <w:tab w:val="left" w:pos="4"/>
                    </w:tabs>
                    <w:snapToGrid w:val="0"/>
                    <w:jc w:val="center"/>
                    <w:rPr>
                      <w:b/>
                      <w:bCs/>
                      <w:color w:val="auto"/>
                    </w:rPr>
                  </w:pPr>
                  <w:r>
                    <w:rPr>
                      <w:b/>
                      <w:bCs/>
                      <w:color w:val="auto"/>
                    </w:rPr>
                    <w:t>符合性</w:t>
                  </w:r>
                </w:p>
              </w:tc>
            </w:tr>
            <w:tr w14:paraId="135D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gridSpan w:val="2"/>
                  <w:vMerge w:val="restart"/>
                  <w:vAlign w:val="center"/>
                </w:tcPr>
                <w:p w14:paraId="124860EB">
                  <w:pPr>
                    <w:tabs>
                      <w:tab w:val="left" w:pos="4"/>
                    </w:tabs>
                    <w:snapToGrid w:val="0"/>
                    <w:jc w:val="center"/>
                    <w:rPr>
                      <w:color w:val="auto"/>
                    </w:rPr>
                  </w:pPr>
                  <w:r>
                    <w:rPr>
                      <w:color w:val="auto"/>
                    </w:rPr>
                    <w:t>选址选线</w:t>
                  </w:r>
                </w:p>
              </w:tc>
              <w:tc>
                <w:tcPr>
                  <w:tcW w:w="3245" w:type="dxa"/>
                  <w:vAlign w:val="center"/>
                </w:tcPr>
                <w:p w14:paraId="6D274B1B">
                  <w:pPr>
                    <w:tabs>
                      <w:tab w:val="left" w:pos="4"/>
                    </w:tabs>
                    <w:snapToGrid w:val="0"/>
                    <w:jc w:val="left"/>
                    <w:rPr>
                      <w:color w:val="auto"/>
                    </w:rPr>
                  </w:pPr>
                  <w:r>
                    <w:rPr>
                      <w:color w:val="auto"/>
                    </w:rPr>
                    <w:t>工程选址选线应符合规划环境影响评价文件的要求。</w:t>
                  </w:r>
                </w:p>
              </w:tc>
              <w:tc>
                <w:tcPr>
                  <w:tcW w:w="3142" w:type="dxa"/>
                  <w:vAlign w:val="center"/>
                </w:tcPr>
                <w:p w14:paraId="18C48C91">
                  <w:pPr>
                    <w:tabs>
                      <w:tab w:val="left" w:pos="4"/>
                    </w:tabs>
                    <w:snapToGrid w:val="0"/>
                    <w:jc w:val="left"/>
                    <w:rPr>
                      <w:color w:val="auto"/>
                    </w:rPr>
                  </w:pPr>
                  <w:r>
                    <w:rPr>
                      <w:color w:val="auto"/>
                    </w:rPr>
                    <w:t>本</w:t>
                  </w:r>
                  <w:r>
                    <w:rPr>
                      <w:rFonts w:hint="eastAsia"/>
                      <w:color w:val="auto"/>
                    </w:rPr>
                    <w:t>项目</w:t>
                  </w:r>
                  <w:r>
                    <w:rPr>
                      <w:color w:val="auto"/>
                    </w:rPr>
                    <w:t>已取得重庆市涪陵区规划和自然资源局选址意见书（用字第市政500102202100029号）</w:t>
                  </w:r>
                </w:p>
              </w:tc>
              <w:tc>
                <w:tcPr>
                  <w:tcW w:w="745" w:type="dxa"/>
                  <w:vAlign w:val="center"/>
                </w:tcPr>
                <w:p w14:paraId="7DFD3272">
                  <w:pPr>
                    <w:tabs>
                      <w:tab w:val="left" w:pos="4"/>
                    </w:tabs>
                    <w:snapToGrid w:val="0"/>
                    <w:jc w:val="center"/>
                    <w:rPr>
                      <w:color w:val="auto"/>
                    </w:rPr>
                  </w:pPr>
                  <w:r>
                    <w:rPr>
                      <w:color w:val="auto"/>
                    </w:rPr>
                    <w:t>符合</w:t>
                  </w:r>
                </w:p>
              </w:tc>
            </w:tr>
            <w:tr w14:paraId="46EA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gridSpan w:val="2"/>
                  <w:vMerge w:val="continue"/>
                  <w:vAlign w:val="center"/>
                </w:tcPr>
                <w:p w14:paraId="7696B606">
                  <w:pPr>
                    <w:tabs>
                      <w:tab w:val="left" w:pos="4"/>
                    </w:tabs>
                    <w:snapToGrid w:val="0"/>
                    <w:jc w:val="center"/>
                    <w:rPr>
                      <w:color w:val="auto"/>
                    </w:rPr>
                  </w:pPr>
                </w:p>
              </w:tc>
              <w:tc>
                <w:tcPr>
                  <w:tcW w:w="3245" w:type="dxa"/>
                  <w:vAlign w:val="center"/>
                </w:tcPr>
                <w:p w14:paraId="079DDCFF">
                  <w:pPr>
                    <w:tabs>
                      <w:tab w:val="left" w:pos="4"/>
                    </w:tabs>
                    <w:snapToGrid w:val="0"/>
                    <w:jc w:val="left"/>
                    <w:rPr>
                      <w:color w:val="auto"/>
                    </w:rPr>
                  </w:pPr>
                  <w:r>
                    <w:rPr>
                      <w:color w:val="auto"/>
                    </w:rPr>
                    <w:t>输变电建设项目选址选线应符合生态保护红线管控要求，避让自然保护区、饮用水水源保护区等环境敏感区。确实因自然条件等因素限制无法避让自然保护区实验区、饮用水水源二级保护区等环境敏感区的输电线路，应在满足相关法律法规及管理要求的前提下对线路方案进行唯一性论证，并采取无害化方式通过。</w:t>
                  </w:r>
                </w:p>
              </w:tc>
              <w:tc>
                <w:tcPr>
                  <w:tcW w:w="3142" w:type="dxa"/>
                  <w:vAlign w:val="center"/>
                </w:tcPr>
                <w:p w14:paraId="5D9B9A46">
                  <w:pPr>
                    <w:tabs>
                      <w:tab w:val="left" w:pos="4"/>
                    </w:tabs>
                    <w:snapToGrid w:val="0"/>
                    <w:jc w:val="left"/>
                    <w:rPr>
                      <w:color w:val="auto"/>
                    </w:rPr>
                  </w:pPr>
                  <w:r>
                    <w:rPr>
                      <w:color w:val="auto"/>
                    </w:rPr>
                    <w:t>本项目不涉及生态保护红线，不涉及自然保护区、饮用水水源保护区等环境敏感区</w:t>
                  </w:r>
                </w:p>
              </w:tc>
              <w:tc>
                <w:tcPr>
                  <w:tcW w:w="745" w:type="dxa"/>
                  <w:vAlign w:val="center"/>
                </w:tcPr>
                <w:p w14:paraId="06DBC3F9">
                  <w:pPr>
                    <w:tabs>
                      <w:tab w:val="left" w:pos="4"/>
                    </w:tabs>
                    <w:snapToGrid w:val="0"/>
                    <w:jc w:val="center"/>
                    <w:rPr>
                      <w:color w:val="auto"/>
                    </w:rPr>
                  </w:pPr>
                  <w:r>
                    <w:rPr>
                      <w:color w:val="auto"/>
                    </w:rPr>
                    <w:t>符合</w:t>
                  </w:r>
                </w:p>
              </w:tc>
            </w:tr>
            <w:tr w14:paraId="5D3A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gridSpan w:val="2"/>
                  <w:vMerge w:val="continue"/>
                  <w:vAlign w:val="center"/>
                </w:tcPr>
                <w:p w14:paraId="057BB3FD">
                  <w:pPr>
                    <w:tabs>
                      <w:tab w:val="left" w:pos="4"/>
                    </w:tabs>
                    <w:snapToGrid w:val="0"/>
                    <w:jc w:val="center"/>
                    <w:rPr>
                      <w:color w:val="auto"/>
                    </w:rPr>
                  </w:pPr>
                </w:p>
              </w:tc>
              <w:tc>
                <w:tcPr>
                  <w:tcW w:w="3245" w:type="dxa"/>
                  <w:vAlign w:val="center"/>
                </w:tcPr>
                <w:p w14:paraId="66D09D3B">
                  <w:pPr>
                    <w:tabs>
                      <w:tab w:val="left" w:pos="4"/>
                    </w:tabs>
                    <w:snapToGrid w:val="0"/>
                    <w:jc w:val="left"/>
                    <w:rPr>
                      <w:color w:val="auto"/>
                    </w:rPr>
                  </w:pPr>
                  <w:r>
                    <w:rPr>
                      <w:color w:val="auto"/>
                    </w:rPr>
                    <w:t>同一走廊内的多回输电线路，宜采取同塔多回架设、并行架设等形式，减少新开辟走廊，优化线路走廊间距，降低环境影响。</w:t>
                  </w:r>
                </w:p>
              </w:tc>
              <w:tc>
                <w:tcPr>
                  <w:tcW w:w="3142" w:type="dxa"/>
                  <w:vAlign w:val="center"/>
                </w:tcPr>
                <w:p w14:paraId="278118B2">
                  <w:pPr>
                    <w:tabs>
                      <w:tab w:val="left" w:pos="4"/>
                    </w:tabs>
                    <w:snapToGrid w:val="0"/>
                    <w:jc w:val="left"/>
                    <w:rPr>
                      <w:color w:val="auto"/>
                    </w:rPr>
                  </w:pPr>
                  <w:r>
                    <w:rPr>
                      <w:color w:val="auto"/>
                    </w:rPr>
                    <w:t>本项目仅新建1回架空线路，不涉及多回架空线路建设</w:t>
                  </w:r>
                </w:p>
              </w:tc>
              <w:tc>
                <w:tcPr>
                  <w:tcW w:w="745" w:type="dxa"/>
                  <w:vAlign w:val="center"/>
                </w:tcPr>
                <w:p w14:paraId="72D92B0B">
                  <w:pPr>
                    <w:tabs>
                      <w:tab w:val="left" w:pos="4"/>
                    </w:tabs>
                    <w:snapToGrid w:val="0"/>
                    <w:jc w:val="center"/>
                    <w:rPr>
                      <w:color w:val="auto"/>
                    </w:rPr>
                  </w:pPr>
                  <w:r>
                    <w:rPr>
                      <w:color w:val="auto"/>
                    </w:rPr>
                    <w:t>符合</w:t>
                  </w:r>
                </w:p>
              </w:tc>
            </w:tr>
            <w:tr w14:paraId="494A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gridSpan w:val="2"/>
                  <w:vMerge w:val="continue"/>
                  <w:vAlign w:val="center"/>
                </w:tcPr>
                <w:p w14:paraId="6A8C6F7E">
                  <w:pPr>
                    <w:tabs>
                      <w:tab w:val="left" w:pos="4"/>
                    </w:tabs>
                    <w:snapToGrid w:val="0"/>
                    <w:jc w:val="center"/>
                    <w:rPr>
                      <w:color w:val="auto"/>
                    </w:rPr>
                  </w:pPr>
                </w:p>
              </w:tc>
              <w:tc>
                <w:tcPr>
                  <w:tcW w:w="3245" w:type="dxa"/>
                  <w:vAlign w:val="center"/>
                </w:tcPr>
                <w:p w14:paraId="213FE475">
                  <w:pPr>
                    <w:tabs>
                      <w:tab w:val="left" w:pos="4"/>
                    </w:tabs>
                    <w:snapToGrid w:val="0"/>
                    <w:jc w:val="left"/>
                    <w:rPr>
                      <w:color w:val="auto"/>
                    </w:rPr>
                  </w:pPr>
                  <w:r>
                    <w:rPr>
                      <w:color w:val="auto"/>
                    </w:rPr>
                    <w:t>原则上避免在0类声环境功能区建设变电工程。</w:t>
                  </w:r>
                </w:p>
              </w:tc>
              <w:tc>
                <w:tcPr>
                  <w:tcW w:w="3142" w:type="dxa"/>
                  <w:vAlign w:val="center"/>
                </w:tcPr>
                <w:p w14:paraId="5B5BA592">
                  <w:pPr>
                    <w:tabs>
                      <w:tab w:val="left" w:pos="4"/>
                    </w:tabs>
                    <w:snapToGrid w:val="0"/>
                    <w:jc w:val="left"/>
                    <w:rPr>
                      <w:color w:val="auto"/>
                    </w:rPr>
                  </w:pPr>
                  <w:r>
                    <w:rPr>
                      <w:color w:val="auto"/>
                    </w:rPr>
                    <w:t>经核实，本项目评价范围内无0类声环境功能区</w:t>
                  </w:r>
                </w:p>
              </w:tc>
              <w:tc>
                <w:tcPr>
                  <w:tcW w:w="745" w:type="dxa"/>
                  <w:vAlign w:val="center"/>
                </w:tcPr>
                <w:p w14:paraId="37A74097">
                  <w:pPr>
                    <w:tabs>
                      <w:tab w:val="left" w:pos="4"/>
                    </w:tabs>
                    <w:snapToGrid w:val="0"/>
                    <w:jc w:val="center"/>
                    <w:rPr>
                      <w:color w:val="auto"/>
                    </w:rPr>
                  </w:pPr>
                  <w:r>
                    <w:rPr>
                      <w:color w:val="auto"/>
                    </w:rPr>
                    <w:t>符合</w:t>
                  </w:r>
                </w:p>
              </w:tc>
            </w:tr>
            <w:tr w14:paraId="0F3D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gridSpan w:val="2"/>
                  <w:vMerge w:val="continue"/>
                  <w:vAlign w:val="center"/>
                </w:tcPr>
                <w:p w14:paraId="752B49C6">
                  <w:pPr>
                    <w:tabs>
                      <w:tab w:val="left" w:pos="4"/>
                    </w:tabs>
                    <w:snapToGrid w:val="0"/>
                    <w:jc w:val="center"/>
                    <w:rPr>
                      <w:color w:val="auto"/>
                    </w:rPr>
                  </w:pPr>
                </w:p>
              </w:tc>
              <w:tc>
                <w:tcPr>
                  <w:tcW w:w="3245" w:type="dxa"/>
                  <w:vAlign w:val="center"/>
                </w:tcPr>
                <w:p w14:paraId="144CF002">
                  <w:pPr>
                    <w:tabs>
                      <w:tab w:val="left" w:pos="4"/>
                    </w:tabs>
                    <w:snapToGrid w:val="0"/>
                    <w:jc w:val="left"/>
                    <w:rPr>
                      <w:color w:val="auto"/>
                    </w:rPr>
                  </w:pPr>
                  <w:r>
                    <w:rPr>
                      <w:color w:val="auto"/>
                    </w:rPr>
                    <w:t>输电线路宜避让集中林区，以减少林木砍伐，保护生态环境。</w:t>
                  </w:r>
                </w:p>
              </w:tc>
              <w:tc>
                <w:tcPr>
                  <w:tcW w:w="3142" w:type="dxa"/>
                  <w:vAlign w:val="center"/>
                </w:tcPr>
                <w:p w14:paraId="71B9329B">
                  <w:pPr>
                    <w:tabs>
                      <w:tab w:val="left" w:pos="4"/>
                    </w:tabs>
                    <w:snapToGrid w:val="0"/>
                    <w:jc w:val="left"/>
                    <w:rPr>
                      <w:color w:val="auto"/>
                    </w:rPr>
                  </w:pPr>
                  <w:r>
                    <w:rPr>
                      <w:color w:val="auto"/>
                    </w:rPr>
                    <w:t>本工程新建塔基数较少，塔基占地处无集中林区</w:t>
                  </w:r>
                </w:p>
              </w:tc>
              <w:tc>
                <w:tcPr>
                  <w:tcW w:w="745" w:type="dxa"/>
                  <w:vAlign w:val="center"/>
                </w:tcPr>
                <w:p w14:paraId="3EBC215E">
                  <w:pPr>
                    <w:tabs>
                      <w:tab w:val="left" w:pos="4"/>
                    </w:tabs>
                    <w:snapToGrid w:val="0"/>
                    <w:jc w:val="center"/>
                    <w:rPr>
                      <w:color w:val="auto"/>
                    </w:rPr>
                  </w:pPr>
                  <w:r>
                    <w:rPr>
                      <w:color w:val="auto"/>
                    </w:rPr>
                    <w:t>符合</w:t>
                  </w:r>
                </w:p>
              </w:tc>
            </w:tr>
            <w:tr w14:paraId="4CB0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gridSpan w:val="2"/>
                  <w:vMerge w:val="continue"/>
                  <w:vAlign w:val="center"/>
                </w:tcPr>
                <w:p w14:paraId="6B6AE9CA">
                  <w:pPr>
                    <w:tabs>
                      <w:tab w:val="left" w:pos="4"/>
                    </w:tabs>
                    <w:snapToGrid w:val="0"/>
                    <w:jc w:val="center"/>
                    <w:rPr>
                      <w:color w:val="auto"/>
                    </w:rPr>
                  </w:pPr>
                </w:p>
              </w:tc>
              <w:tc>
                <w:tcPr>
                  <w:tcW w:w="3245" w:type="dxa"/>
                  <w:vAlign w:val="center"/>
                </w:tcPr>
                <w:p w14:paraId="4178BC4D">
                  <w:pPr>
                    <w:tabs>
                      <w:tab w:val="left" w:pos="4"/>
                    </w:tabs>
                    <w:snapToGrid w:val="0"/>
                    <w:jc w:val="left"/>
                    <w:rPr>
                      <w:color w:val="auto"/>
                    </w:rPr>
                  </w:pPr>
                  <w:r>
                    <w:rPr>
                      <w:color w:val="auto"/>
                    </w:rPr>
                    <w:t>进入自然保护区的输电线路，应按照HJ 19 的要求开展生态现状调查，避让保护对象的集中分布区。</w:t>
                  </w:r>
                </w:p>
              </w:tc>
              <w:tc>
                <w:tcPr>
                  <w:tcW w:w="3142" w:type="dxa"/>
                  <w:vAlign w:val="center"/>
                </w:tcPr>
                <w:p w14:paraId="1A3CCE88">
                  <w:pPr>
                    <w:tabs>
                      <w:tab w:val="left" w:pos="4"/>
                    </w:tabs>
                    <w:snapToGrid w:val="0"/>
                    <w:jc w:val="left"/>
                    <w:rPr>
                      <w:color w:val="auto"/>
                    </w:rPr>
                  </w:pPr>
                  <w:r>
                    <w:rPr>
                      <w:color w:val="auto"/>
                    </w:rPr>
                    <w:t>本工程不涉及自然保护区</w:t>
                  </w:r>
                </w:p>
              </w:tc>
              <w:tc>
                <w:tcPr>
                  <w:tcW w:w="745" w:type="dxa"/>
                  <w:vAlign w:val="center"/>
                </w:tcPr>
                <w:p w14:paraId="4EDD6283">
                  <w:pPr>
                    <w:tabs>
                      <w:tab w:val="left" w:pos="4"/>
                    </w:tabs>
                    <w:snapToGrid w:val="0"/>
                    <w:jc w:val="center"/>
                    <w:rPr>
                      <w:color w:val="auto"/>
                    </w:rPr>
                  </w:pPr>
                  <w:r>
                    <w:rPr>
                      <w:color w:val="auto"/>
                    </w:rPr>
                    <w:t>符合</w:t>
                  </w:r>
                </w:p>
              </w:tc>
            </w:tr>
            <w:tr w14:paraId="1543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vAlign w:val="center"/>
                </w:tcPr>
                <w:p w14:paraId="299CA26D">
                  <w:pPr>
                    <w:tabs>
                      <w:tab w:val="left" w:pos="4"/>
                    </w:tabs>
                    <w:snapToGrid w:val="0"/>
                    <w:jc w:val="center"/>
                    <w:rPr>
                      <w:color w:val="auto"/>
                    </w:rPr>
                  </w:pPr>
                  <w:r>
                    <w:rPr>
                      <w:color w:val="auto"/>
                    </w:rPr>
                    <w:t>设计</w:t>
                  </w:r>
                </w:p>
              </w:tc>
              <w:tc>
                <w:tcPr>
                  <w:tcW w:w="491" w:type="dxa"/>
                  <w:vMerge w:val="restart"/>
                  <w:vAlign w:val="center"/>
                </w:tcPr>
                <w:p w14:paraId="1E7AB131">
                  <w:pPr>
                    <w:tabs>
                      <w:tab w:val="left" w:pos="4"/>
                    </w:tabs>
                    <w:snapToGrid w:val="0"/>
                    <w:jc w:val="center"/>
                    <w:rPr>
                      <w:color w:val="auto"/>
                    </w:rPr>
                  </w:pPr>
                  <w:r>
                    <w:rPr>
                      <w:color w:val="auto"/>
                    </w:rPr>
                    <w:t>总体要求</w:t>
                  </w:r>
                </w:p>
              </w:tc>
              <w:tc>
                <w:tcPr>
                  <w:tcW w:w="3245" w:type="dxa"/>
                  <w:vAlign w:val="center"/>
                </w:tcPr>
                <w:p w14:paraId="15F52CE5">
                  <w:pPr>
                    <w:snapToGrid w:val="0"/>
                    <w:jc w:val="left"/>
                    <w:rPr>
                      <w:color w:val="auto"/>
                    </w:rPr>
                  </w:pPr>
                  <w:r>
                    <w:rPr>
                      <w:color w:val="auto"/>
                    </w:rPr>
                    <w:t>输变电建设项目的初步设计、施工图设计文件中应包含相关的环境保护内容，编制环境保护篇章、开展环境保护专项设计，落实防治环境污染和生态破坏的措施、设施及相应资金。</w:t>
                  </w:r>
                </w:p>
              </w:tc>
              <w:tc>
                <w:tcPr>
                  <w:tcW w:w="3142" w:type="dxa"/>
                  <w:vAlign w:val="center"/>
                </w:tcPr>
                <w:p w14:paraId="17D420AD">
                  <w:pPr>
                    <w:tabs>
                      <w:tab w:val="left" w:pos="4"/>
                    </w:tabs>
                    <w:snapToGrid w:val="0"/>
                    <w:jc w:val="left"/>
                    <w:rPr>
                      <w:color w:val="auto"/>
                    </w:rPr>
                  </w:pPr>
                  <w:r>
                    <w:rPr>
                      <w:color w:val="auto"/>
                    </w:rPr>
                    <w:t>本项目在可研报告中设置有环境保护专章，在初步设计阶段将开展环境保护专项设计</w:t>
                  </w:r>
                </w:p>
              </w:tc>
              <w:tc>
                <w:tcPr>
                  <w:tcW w:w="745" w:type="dxa"/>
                  <w:vAlign w:val="center"/>
                </w:tcPr>
                <w:p w14:paraId="7DBA730D">
                  <w:pPr>
                    <w:tabs>
                      <w:tab w:val="left" w:pos="4"/>
                    </w:tabs>
                    <w:snapToGrid w:val="0"/>
                    <w:jc w:val="center"/>
                    <w:rPr>
                      <w:color w:val="auto"/>
                    </w:rPr>
                  </w:pPr>
                  <w:r>
                    <w:rPr>
                      <w:color w:val="auto"/>
                    </w:rPr>
                    <w:t>符合</w:t>
                  </w:r>
                </w:p>
              </w:tc>
            </w:tr>
            <w:tr w14:paraId="08C7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48E99F31">
                  <w:pPr>
                    <w:tabs>
                      <w:tab w:val="left" w:pos="4"/>
                    </w:tabs>
                    <w:snapToGrid w:val="0"/>
                    <w:jc w:val="center"/>
                    <w:rPr>
                      <w:color w:val="auto"/>
                    </w:rPr>
                  </w:pPr>
                </w:p>
              </w:tc>
              <w:tc>
                <w:tcPr>
                  <w:tcW w:w="491" w:type="dxa"/>
                  <w:vMerge w:val="continue"/>
                  <w:vAlign w:val="center"/>
                </w:tcPr>
                <w:p w14:paraId="34B5DE75">
                  <w:pPr>
                    <w:tabs>
                      <w:tab w:val="left" w:pos="4"/>
                    </w:tabs>
                    <w:snapToGrid w:val="0"/>
                    <w:jc w:val="center"/>
                    <w:rPr>
                      <w:color w:val="auto"/>
                    </w:rPr>
                  </w:pPr>
                </w:p>
              </w:tc>
              <w:tc>
                <w:tcPr>
                  <w:tcW w:w="3245" w:type="dxa"/>
                  <w:vAlign w:val="center"/>
                </w:tcPr>
                <w:p w14:paraId="3935316D">
                  <w:pPr>
                    <w:tabs>
                      <w:tab w:val="left" w:pos="4"/>
                    </w:tabs>
                    <w:snapToGrid w:val="0"/>
                    <w:jc w:val="left"/>
                    <w:rPr>
                      <w:color w:val="auto"/>
                    </w:rPr>
                  </w:pPr>
                  <w:r>
                    <w:rPr>
                      <w:color w:val="auto"/>
                    </w:rPr>
                    <w:t>改建、扩建输变电建设项目应采取措施，治理与该项目有关的原有环境污染和生态破坏。</w:t>
                  </w:r>
                </w:p>
              </w:tc>
              <w:tc>
                <w:tcPr>
                  <w:tcW w:w="3142" w:type="dxa"/>
                  <w:vAlign w:val="center"/>
                </w:tcPr>
                <w:p w14:paraId="0714E0E9">
                  <w:pPr>
                    <w:tabs>
                      <w:tab w:val="left" w:pos="4"/>
                    </w:tabs>
                    <w:snapToGrid w:val="0"/>
                    <w:jc w:val="left"/>
                    <w:rPr>
                      <w:color w:val="auto"/>
                    </w:rPr>
                  </w:pPr>
                  <w:r>
                    <w:rPr>
                      <w:color w:val="auto"/>
                    </w:rPr>
                    <w:t>经现场调查及监测，本工程原110kV油华线无环保遗留问题</w:t>
                  </w:r>
                </w:p>
              </w:tc>
              <w:tc>
                <w:tcPr>
                  <w:tcW w:w="745" w:type="dxa"/>
                  <w:vAlign w:val="center"/>
                </w:tcPr>
                <w:p w14:paraId="16553B1F">
                  <w:pPr>
                    <w:tabs>
                      <w:tab w:val="left" w:pos="4"/>
                    </w:tabs>
                    <w:snapToGrid w:val="0"/>
                    <w:jc w:val="center"/>
                    <w:rPr>
                      <w:color w:val="auto"/>
                    </w:rPr>
                  </w:pPr>
                  <w:r>
                    <w:rPr>
                      <w:color w:val="auto"/>
                    </w:rPr>
                    <w:t>符合</w:t>
                  </w:r>
                </w:p>
              </w:tc>
            </w:tr>
            <w:tr w14:paraId="1F80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73323AE4">
                  <w:pPr>
                    <w:tabs>
                      <w:tab w:val="left" w:pos="4"/>
                    </w:tabs>
                    <w:snapToGrid w:val="0"/>
                    <w:jc w:val="center"/>
                    <w:rPr>
                      <w:color w:val="auto"/>
                    </w:rPr>
                  </w:pPr>
                </w:p>
              </w:tc>
              <w:tc>
                <w:tcPr>
                  <w:tcW w:w="491" w:type="dxa"/>
                  <w:vMerge w:val="continue"/>
                  <w:vAlign w:val="center"/>
                </w:tcPr>
                <w:p w14:paraId="0473AE66">
                  <w:pPr>
                    <w:tabs>
                      <w:tab w:val="left" w:pos="4"/>
                    </w:tabs>
                    <w:snapToGrid w:val="0"/>
                    <w:jc w:val="center"/>
                    <w:rPr>
                      <w:color w:val="auto"/>
                    </w:rPr>
                  </w:pPr>
                </w:p>
              </w:tc>
              <w:tc>
                <w:tcPr>
                  <w:tcW w:w="3245" w:type="dxa"/>
                  <w:vAlign w:val="center"/>
                </w:tcPr>
                <w:p w14:paraId="44EC787B">
                  <w:pPr>
                    <w:snapToGrid w:val="0"/>
                    <w:jc w:val="left"/>
                    <w:rPr>
                      <w:color w:val="auto"/>
                    </w:rPr>
                  </w:pPr>
                  <w:r>
                    <w:rPr>
                      <w:color w:val="auto"/>
                    </w:rPr>
                    <w:t>输电线路进入自然保护区实验区、饮用水水源二级保护区等环境敏感区时，应采取塔基定位避让、减少进入长度、控制导线高度等环境保护措施，减少对环境保护对象的不利影响。</w:t>
                  </w:r>
                </w:p>
              </w:tc>
              <w:tc>
                <w:tcPr>
                  <w:tcW w:w="3142" w:type="dxa"/>
                  <w:vAlign w:val="center"/>
                </w:tcPr>
                <w:p w14:paraId="133E0A00">
                  <w:pPr>
                    <w:tabs>
                      <w:tab w:val="left" w:pos="4"/>
                    </w:tabs>
                    <w:snapToGrid w:val="0"/>
                    <w:jc w:val="left"/>
                    <w:rPr>
                      <w:color w:val="auto"/>
                    </w:rPr>
                  </w:pPr>
                  <w:r>
                    <w:rPr>
                      <w:color w:val="auto"/>
                    </w:rPr>
                    <w:t>本项目不涉及生态保护红线，不涉及自然保护区、饮用水水源保护区等环境敏感区。</w:t>
                  </w:r>
                </w:p>
              </w:tc>
              <w:tc>
                <w:tcPr>
                  <w:tcW w:w="745" w:type="dxa"/>
                  <w:vAlign w:val="center"/>
                </w:tcPr>
                <w:p w14:paraId="15E33A30">
                  <w:pPr>
                    <w:tabs>
                      <w:tab w:val="left" w:pos="4"/>
                    </w:tabs>
                    <w:snapToGrid w:val="0"/>
                    <w:jc w:val="center"/>
                    <w:rPr>
                      <w:color w:val="auto"/>
                    </w:rPr>
                  </w:pPr>
                  <w:r>
                    <w:rPr>
                      <w:color w:val="auto"/>
                    </w:rPr>
                    <w:t>符合</w:t>
                  </w:r>
                </w:p>
              </w:tc>
            </w:tr>
            <w:tr w14:paraId="65E2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0A7DB2D5">
                  <w:pPr>
                    <w:tabs>
                      <w:tab w:val="left" w:pos="4"/>
                    </w:tabs>
                    <w:snapToGrid w:val="0"/>
                    <w:jc w:val="center"/>
                    <w:rPr>
                      <w:color w:val="auto"/>
                    </w:rPr>
                  </w:pPr>
                </w:p>
              </w:tc>
              <w:tc>
                <w:tcPr>
                  <w:tcW w:w="491" w:type="dxa"/>
                  <w:vMerge w:val="restart"/>
                  <w:vAlign w:val="center"/>
                </w:tcPr>
                <w:p w14:paraId="36CD6945">
                  <w:pPr>
                    <w:tabs>
                      <w:tab w:val="left" w:pos="4"/>
                    </w:tabs>
                    <w:snapToGrid w:val="0"/>
                    <w:jc w:val="center"/>
                    <w:rPr>
                      <w:color w:val="auto"/>
                    </w:rPr>
                  </w:pPr>
                  <w:r>
                    <w:rPr>
                      <w:color w:val="auto"/>
                    </w:rPr>
                    <w:t>电磁环境保护</w:t>
                  </w:r>
                </w:p>
              </w:tc>
              <w:tc>
                <w:tcPr>
                  <w:tcW w:w="3245" w:type="dxa"/>
                  <w:vAlign w:val="center"/>
                </w:tcPr>
                <w:p w14:paraId="2FD3D5F7">
                  <w:pPr>
                    <w:tabs>
                      <w:tab w:val="left" w:pos="4"/>
                    </w:tabs>
                    <w:snapToGrid w:val="0"/>
                    <w:jc w:val="left"/>
                    <w:rPr>
                      <w:color w:val="auto"/>
                    </w:rPr>
                  </w:pPr>
                  <w:r>
                    <w:rPr>
                      <w:color w:val="auto"/>
                    </w:rPr>
                    <w:t>工程设计应对产生的工频电场、工频磁场、直流合成电场等电磁环境影响因子进行验算，采取相应防护措施，确保电磁环境影响满足国家标准要求。</w:t>
                  </w:r>
                </w:p>
              </w:tc>
              <w:tc>
                <w:tcPr>
                  <w:tcW w:w="3142" w:type="dxa"/>
                  <w:vAlign w:val="center"/>
                </w:tcPr>
                <w:p w14:paraId="2CF8B65F">
                  <w:pPr>
                    <w:tabs>
                      <w:tab w:val="left" w:pos="4"/>
                    </w:tabs>
                    <w:snapToGrid w:val="0"/>
                    <w:jc w:val="left"/>
                    <w:rPr>
                      <w:color w:val="auto"/>
                    </w:rPr>
                  </w:pPr>
                  <w:r>
                    <w:rPr>
                      <w:color w:val="auto"/>
                    </w:rPr>
                    <w:t>经预测，在落实环评提出环保措施的前提下，线路电磁环境影响能够满足国家标准要求。</w:t>
                  </w:r>
                </w:p>
              </w:tc>
              <w:tc>
                <w:tcPr>
                  <w:tcW w:w="745" w:type="dxa"/>
                  <w:vAlign w:val="center"/>
                </w:tcPr>
                <w:p w14:paraId="117EDCF2">
                  <w:pPr>
                    <w:tabs>
                      <w:tab w:val="left" w:pos="4"/>
                    </w:tabs>
                    <w:snapToGrid w:val="0"/>
                    <w:jc w:val="center"/>
                    <w:rPr>
                      <w:color w:val="auto"/>
                    </w:rPr>
                  </w:pPr>
                  <w:r>
                    <w:rPr>
                      <w:color w:val="auto"/>
                    </w:rPr>
                    <w:t>符合</w:t>
                  </w:r>
                </w:p>
              </w:tc>
            </w:tr>
            <w:tr w14:paraId="60DB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1C321F95">
                  <w:pPr>
                    <w:tabs>
                      <w:tab w:val="left" w:pos="4"/>
                    </w:tabs>
                    <w:snapToGrid w:val="0"/>
                    <w:jc w:val="center"/>
                    <w:rPr>
                      <w:color w:val="auto"/>
                    </w:rPr>
                  </w:pPr>
                </w:p>
              </w:tc>
              <w:tc>
                <w:tcPr>
                  <w:tcW w:w="491" w:type="dxa"/>
                  <w:vMerge w:val="continue"/>
                  <w:vAlign w:val="center"/>
                </w:tcPr>
                <w:p w14:paraId="0C5BE621">
                  <w:pPr>
                    <w:tabs>
                      <w:tab w:val="left" w:pos="4"/>
                    </w:tabs>
                    <w:snapToGrid w:val="0"/>
                    <w:jc w:val="center"/>
                    <w:rPr>
                      <w:color w:val="auto"/>
                    </w:rPr>
                  </w:pPr>
                </w:p>
              </w:tc>
              <w:tc>
                <w:tcPr>
                  <w:tcW w:w="3245" w:type="dxa"/>
                  <w:vAlign w:val="center"/>
                </w:tcPr>
                <w:p w14:paraId="4FAE339A">
                  <w:pPr>
                    <w:tabs>
                      <w:tab w:val="left" w:pos="4"/>
                    </w:tabs>
                    <w:snapToGrid w:val="0"/>
                    <w:jc w:val="left"/>
                    <w:rPr>
                      <w:color w:val="auto"/>
                    </w:rPr>
                  </w:pPr>
                  <w:r>
                    <w:rPr>
                      <w:color w:val="auto"/>
                    </w:rPr>
                    <w:t>输电线路设计应因地制宜选择线路型式、架设高度、杆塔塔型、导线参数、相序布置等，减少电磁环境影响。</w:t>
                  </w:r>
                </w:p>
              </w:tc>
              <w:tc>
                <w:tcPr>
                  <w:tcW w:w="3142" w:type="dxa"/>
                  <w:vAlign w:val="center"/>
                </w:tcPr>
                <w:p w14:paraId="3C679C05">
                  <w:pPr>
                    <w:tabs>
                      <w:tab w:val="left" w:pos="4"/>
                    </w:tabs>
                    <w:snapToGrid w:val="0"/>
                    <w:jc w:val="left"/>
                    <w:rPr>
                      <w:color w:val="auto"/>
                    </w:rPr>
                  </w:pPr>
                  <w:r>
                    <w:rPr>
                      <w:color w:val="auto"/>
                    </w:rPr>
                    <w:t>设计时已选择合适的线路型式、杆塔塔型、导线参数等；经预测，在落实环评提出环保措施的前提下，线路电磁环境影响能够满足国家标准要求。</w:t>
                  </w:r>
                </w:p>
              </w:tc>
              <w:tc>
                <w:tcPr>
                  <w:tcW w:w="745" w:type="dxa"/>
                  <w:vAlign w:val="center"/>
                </w:tcPr>
                <w:p w14:paraId="66C8F17C">
                  <w:pPr>
                    <w:tabs>
                      <w:tab w:val="left" w:pos="4"/>
                    </w:tabs>
                    <w:snapToGrid w:val="0"/>
                    <w:jc w:val="center"/>
                    <w:rPr>
                      <w:color w:val="auto"/>
                    </w:rPr>
                  </w:pPr>
                  <w:r>
                    <w:rPr>
                      <w:color w:val="auto"/>
                    </w:rPr>
                    <w:t>符合</w:t>
                  </w:r>
                </w:p>
              </w:tc>
            </w:tr>
            <w:tr w14:paraId="25A2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52879963">
                  <w:pPr>
                    <w:tabs>
                      <w:tab w:val="left" w:pos="4"/>
                    </w:tabs>
                    <w:snapToGrid w:val="0"/>
                    <w:jc w:val="center"/>
                    <w:rPr>
                      <w:color w:val="auto"/>
                    </w:rPr>
                  </w:pPr>
                </w:p>
              </w:tc>
              <w:tc>
                <w:tcPr>
                  <w:tcW w:w="491" w:type="dxa"/>
                  <w:vMerge w:val="continue"/>
                  <w:vAlign w:val="center"/>
                </w:tcPr>
                <w:p w14:paraId="017792C3">
                  <w:pPr>
                    <w:tabs>
                      <w:tab w:val="left" w:pos="4"/>
                    </w:tabs>
                    <w:snapToGrid w:val="0"/>
                    <w:jc w:val="center"/>
                    <w:rPr>
                      <w:color w:val="auto"/>
                    </w:rPr>
                  </w:pPr>
                </w:p>
              </w:tc>
              <w:tc>
                <w:tcPr>
                  <w:tcW w:w="3245" w:type="dxa"/>
                  <w:vAlign w:val="center"/>
                </w:tcPr>
                <w:p w14:paraId="3C8139C0">
                  <w:pPr>
                    <w:tabs>
                      <w:tab w:val="left" w:pos="4"/>
                    </w:tabs>
                    <w:snapToGrid w:val="0"/>
                    <w:jc w:val="left"/>
                    <w:rPr>
                      <w:color w:val="auto"/>
                    </w:rPr>
                  </w:pPr>
                  <w:r>
                    <w:rPr>
                      <w:color w:val="auto"/>
                    </w:rPr>
                    <w:t>架空输电线路经过电磁环境敏感目标时，应采取避让或增加导线对地高度等措施，减少电磁环境影响。</w:t>
                  </w:r>
                </w:p>
              </w:tc>
              <w:tc>
                <w:tcPr>
                  <w:tcW w:w="3142" w:type="dxa"/>
                  <w:vAlign w:val="center"/>
                </w:tcPr>
                <w:p w14:paraId="24E5EB3B">
                  <w:pPr>
                    <w:tabs>
                      <w:tab w:val="left" w:pos="4"/>
                    </w:tabs>
                    <w:snapToGrid w:val="0"/>
                    <w:jc w:val="left"/>
                    <w:rPr>
                      <w:color w:val="auto"/>
                    </w:rPr>
                  </w:pPr>
                  <w:r>
                    <w:rPr>
                      <w:color w:val="auto"/>
                    </w:rPr>
                    <w:t>经预测，在落实环评提出环保措施的前提下，线路电磁环境影响能够满足国家标准要求。</w:t>
                  </w:r>
                </w:p>
              </w:tc>
              <w:tc>
                <w:tcPr>
                  <w:tcW w:w="745" w:type="dxa"/>
                  <w:vAlign w:val="center"/>
                </w:tcPr>
                <w:p w14:paraId="55DBAE3E">
                  <w:pPr>
                    <w:tabs>
                      <w:tab w:val="left" w:pos="4"/>
                    </w:tabs>
                    <w:snapToGrid w:val="0"/>
                    <w:jc w:val="center"/>
                    <w:rPr>
                      <w:color w:val="auto"/>
                    </w:rPr>
                  </w:pPr>
                  <w:r>
                    <w:rPr>
                      <w:color w:val="auto"/>
                    </w:rPr>
                    <w:t>符合</w:t>
                  </w:r>
                </w:p>
              </w:tc>
            </w:tr>
            <w:tr w14:paraId="7F88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3C310CCC">
                  <w:pPr>
                    <w:tabs>
                      <w:tab w:val="left" w:pos="4"/>
                    </w:tabs>
                    <w:snapToGrid w:val="0"/>
                    <w:jc w:val="center"/>
                    <w:rPr>
                      <w:color w:val="auto"/>
                    </w:rPr>
                  </w:pPr>
                </w:p>
              </w:tc>
              <w:tc>
                <w:tcPr>
                  <w:tcW w:w="491" w:type="dxa"/>
                  <w:vMerge w:val="continue"/>
                  <w:vAlign w:val="center"/>
                </w:tcPr>
                <w:p w14:paraId="5E0A5C19">
                  <w:pPr>
                    <w:tabs>
                      <w:tab w:val="left" w:pos="4"/>
                    </w:tabs>
                    <w:snapToGrid w:val="0"/>
                    <w:jc w:val="center"/>
                    <w:rPr>
                      <w:color w:val="auto"/>
                    </w:rPr>
                  </w:pPr>
                </w:p>
              </w:tc>
              <w:tc>
                <w:tcPr>
                  <w:tcW w:w="3245" w:type="dxa"/>
                  <w:vAlign w:val="center"/>
                </w:tcPr>
                <w:p w14:paraId="7E76A6DA">
                  <w:pPr>
                    <w:snapToGrid w:val="0"/>
                    <w:jc w:val="left"/>
                    <w:rPr>
                      <w:color w:val="auto"/>
                    </w:rPr>
                  </w:pPr>
                  <w:r>
                    <w:rPr>
                      <w:color w:val="auto"/>
                    </w:rPr>
                    <w:t>新建城市电力线路在市中心地区、高层建筑群区、市区主干路、人口密集区、繁华街道等区域应采用地下电缆，减少电磁环境影响。</w:t>
                  </w:r>
                </w:p>
              </w:tc>
              <w:tc>
                <w:tcPr>
                  <w:tcW w:w="3142" w:type="dxa"/>
                  <w:vAlign w:val="center"/>
                </w:tcPr>
                <w:p w14:paraId="74494139">
                  <w:pPr>
                    <w:tabs>
                      <w:tab w:val="left" w:pos="4"/>
                    </w:tabs>
                    <w:snapToGrid w:val="0"/>
                    <w:jc w:val="left"/>
                    <w:rPr>
                      <w:color w:val="auto"/>
                    </w:rPr>
                  </w:pPr>
                  <w:r>
                    <w:rPr>
                      <w:color w:val="auto"/>
                    </w:rPr>
                    <w:t>本工程不位于市中心地区、高层建筑群区、市区主干路、人口密集区、繁华街道等区域，可采取架空线路。</w:t>
                  </w:r>
                </w:p>
              </w:tc>
              <w:tc>
                <w:tcPr>
                  <w:tcW w:w="745" w:type="dxa"/>
                  <w:vAlign w:val="center"/>
                </w:tcPr>
                <w:p w14:paraId="28A0A54C">
                  <w:pPr>
                    <w:tabs>
                      <w:tab w:val="left" w:pos="4"/>
                    </w:tabs>
                    <w:snapToGrid w:val="0"/>
                    <w:jc w:val="center"/>
                    <w:rPr>
                      <w:color w:val="auto"/>
                    </w:rPr>
                  </w:pPr>
                  <w:r>
                    <w:rPr>
                      <w:color w:val="auto"/>
                    </w:rPr>
                    <w:t>符合</w:t>
                  </w:r>
                </w:p>
              </w:tc>
            </w:tr>
            <w:tr w14:paraId="0121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dxa"/>
                  <w:vMerge w:val="continue"/>
                  <w:vAlign w:val="center"/>
                </w:tcPr>
                <w:p w14:paraId="1EF8B39D">
                  <w:pPr>
                    <w:tabs>
                      <w:tab w:val="left" w:pos="4"/>
                    </w:tabs>
                    <w:snapToGrid w:val="0"/>
                    <w:jc w:val="center"/>
                    <w:rPr>
                      <w:color w:val="auto"/>
                    </w:rPr>
                  </w:pPr>
                </w:p>
              </w:tc>
              <w:tc>
                <w:tcPr>
                  <w:tcW w:w="491" w:type="dxa"/>
                  <w:vMerge w:val="continue"/>
                  <w:vAlign w:val="center"/>
                </w:tcPr>
                <w:p w14:paraId="772999C1">
                  <w:pPr>
                    <w:tabs>
                      <w:tab w:val="left" w:pos="4"/>
                    </w:tabs>
                    <w:snapToGrid w:val="0"/>
                    <w:jc w:val="center"/>
                    <w:rPr>
                      <w:color w:val="auto"/>
                    </w:rPr>
                  </w:pPr>
                </w:p>
              </w:tc>
              <w:tc>
                <w:tcPr>
                  <w:tcW w:w="3245" w:type="dxa"/>
                  <w:vAlign w:val="center"/>
                </w:tcPr>
                <w:p w14:paraId="56507E64">
                  <w:pPr>
                    <w:snapToGrid w:val="0"/>
                    <w:jc w:val="left"/>
                    <w:rPr>
                      <w:color w:val="auto"/>
                    </w:rPr>
                  </w:pPr>
                  <w:r>
                    <w:rPr>
                      <w:color w:val="auto"/>
                    </w:rPr>
                    <w:t>330kV及以上电压等级的输电线路出现交叉跨越或并行时，应考虑其对电磁环境敏感目标的综合影响。</w:t>
                  </w:r>
                </w:p>
              </w:tc>
              <w:tc>
                <w:tcPr>
                  <w:tcW w:w="3142" w:type="dxa"/>
                  <w:vAlign w:val="center"/>
                </w:tcPr>
                <w:p w14:paraId="715F540E">
                  <w:pPr>
                    <w:tabs>
                      <w:tab w:val="left" w:pos="4"/>
                    </w:tabs>
                    <w:snapToGrid w:val="0"/>
                    <w:jc w:val="left"/>
                    <w:rPr>
                      <w:color w:val="auto"/>
                    </w:rPr>
                  </w:pPr>
                  <w:r>
                    <w:rPr>
                      <w:color w:val="auto"/>
                    </w:rPr>
                    <w:t>本项目不涉及330kV及以上电压等级的输电线路</w:t>
                  </w:r>
                </w:p>
              </w:tc>
              <w:tc>
                <w:tcPr>
                  <w:tcW w:w="745" w:type="dxa"/>
                  <w:vAlign w:val="center"/>
                </w:tcPr>
                <w:p w14:paraId="45145FDC">
                  <w:pPr>
                    <w:tabs>
                      <w:tab w:val="left" w:pos="4"/>
                    </w:tabs>
                    <w:snapToGrid w:val="0"/>
                    <w:jc w:val="center"/>
                    <w:rPr>
                      <w:color w:val="auto"/>
                    </w:rPr>
                  </w:pPr>
                  <w:r>
                    <w:rPr>
                      <w:color w:val="auto"/>
                    </w:rPr>
                    <w:t>符合</w:t>
                  </w:r>
                </w:p>
              </w:tc>
            </w:tr>
            <w:tr w14:paraId="6B98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378464EA">
                  <w:pPr>
                    <w:tabs>
                      <w:tab w:val="left" w:pos="4"/>
                    </w:tabs>
                    <w:snapToGrid w:val="0"/>
                    <w:jc w:val="center"/>
                    <w:rPr>
                      <w:color w:val="auto"/>
                    </w:rPr>
                  </w:pPr>
                </w:p>
              </w:tc>
              <w:tc>
                <w:tcPr>
                  <w:tcW w:w="491" w:type="dxa"/>
                  <w:vMerge w:val="restart"/>
                  <w:vAlign w:val="center"/>
                </w:tcPr>
                <w:p w14:paraId="36051C4A">
                  <w:pPr>
                    <w:tabs>
                      <w:tab w:val="left" w:pos="4"/>
                    </w:tabs>
                    <w:snapToGrid w:val="0"/>
                    <w:jc w:val="center"/>
                    <w:rPr>
                      <w:color w:val="auto"/>
                    </w:rPr>
                  </w:pPr>
                  <w:r>
                    <w:rPr>
                      <w:color w:val="auto"/>
                    </w:rPr>
                    <w:t>生态环境保护</w:t>
                  </w:r>
                </w:p>
              </w:tc>
              <w:tc>
                <w:tcPr>
                  <w:tcW w:w="3245" w:type="dxa"/>
                  <w:vAlign w:val="center"/>
                </w:tcPr>
                <w:p w14:paraId="4FA15FC2">
                  <w:pPr>
                    <w:tabs>
                      <w:tab w:val="left" w:pos="4"/>
                    </w:tabs>
                    <w:snapToGrid w:val="0"/>
                    <w:jc w:val="left"/>
                    <w:rPr>
                      <w:color w:val="auto"/>
                    </w:rPr>
                  </w:pPr>
                  <w:r>
                    <w:rPr>
                      <w:color w:val="auto"/>
                    </w:rPr>
                    <w:t>输变电建设项目在设计过程中应按照避让、减缓、恢复的次序提出生态影响防护与恢复的措施。</w:t>
                  </w:r>
                </w:p>
              </w:tc>
              <w:tc>
                <w:tcPr>
                  <w:tcW w:w="3142" w:type="dxa"/>
                  <w:vAlign w:val="center"/>
                </w:tcPr>
                <w:p w14:paraId="55C8CEB1">
                  <w:pPr>
                    <w:tabs>
                      <w:tab w:val="left" w:pos="4"/>
                    </w:tabs>
                    <w:snapToGrid w:val="0"/>
                    <w:jc w:val="left"/>
                    <w:rPr>
                      <w:color w:val="auto"/>
                    </w:rPr>
                  </w:pPr>
                  <w:r>
                    <w:rPr>
                      <w:color w:val="auto"/>
                    </w:rPr>
                    <w:t>本项目不涉及生态敏感区域。本项目施工期拟采用人工掏挖基础，减少开挖量，施工结束后对临时用地进行生态恢复等生态影响防护与恢复措施</w:t>
                  </w:r>
                </w:p>
              </w:tc>
              <w:tc>
                <w:tcPr>
                  <w:tcW w:w="745" w:type="dxa"/>
                  <w:vAlign w:val="center"/>
                </w:tcPr>
                <w:p w14:paraId="3538CF12">
                  <w:pPr>
                    <w:tabs>
                      <w:tab w:val="left" w:pos="4"/>
                    </w:tabs>
                    <w:snapToGrid w:val="0"/>
                    <w:jc w:val="center"/>
                    <w:rPr>
                      <w:color w:val="auto"/>
                    </w:rPr>
                  </w:pPr>
                  <w:r>
                    <w:rPr>
                      <w:color w:val="auto"/>
                    </w:rPr>
                    <w:t>符合</w:t>
                  </w:r>
                </w:p>
              </w:tc>
            </w:tr>
            <w:tr w14:paraId="1A8B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6AE415B6">
                  <w:pPr>
                    <w:tabs>
                      <w:tab w:val="left" w:pos="4"/>
                    </w:tabs>
                    <w:snapToGrid w:val="0"/>
                    <w:jc w:val="center"/>
                    <w:rPr>
                      <w:color w:val="auto"/>
                    </w:rPr>
                  </w:pPr>
                </w:p>
              </w:tc>
              <w:tc>
                <w:tcPr>
                  <w:tcW w:w="491" w:type="dxa"/>
                  <w:vMerge w:val="continue"/>
                  <w:vAlign w:val="center"/>
                </w:tcPr>
                <w:p w14:paraId="181C6662">
                  <w:pPr>
                    <w:tabs>
                      <w:tab w:val="left" w:pos="4"/>
                    </w:tabs>
                    <w:snapToGrid w:val="0"/>
                    <w:jc w:val="center"/>
                    <w:rPr>
                      <w:color w:val="auto"/>
                    </w:rPr>
                  </w:pPr>
                </w:p>
              </w:tc>
              <w:tc>
                <w:tcPr>
                  <w:tcW w:w="3245" w:type="dxa"/>
                  <w:vAlign w:val="center"/>
                </w:tcPr>
                <w:p w14:paraId="62DFC9C0">
                  <w:pPr>
                    <w:tabs>
                      <w:tab w:val="left" w:pos="4"/>
                    </w:tabs>
                    <w:snapToGrid w:val="0"/>
                    <w:jc w:val="left"/>
                    <w:rPr>
                      <w:color w:val="auto"/>
                    </w:rPr>
                  </w:pPr>
                  <w:r>
                    <w:rPr>
                      <w:color w:val="auto"/>
                    </w:rPr>
                    <w:t>输电线路应因地制宜合理选择塔基基础，在山丘区应采用全方位长短腿与不等高基础设计，以减少土石方开挖。输电线路无法避让集中林区时，应采取控制导线高度设计，以减少林木砍伐，保护生态环境</w:t>
                  </w:r>
                </w:p>
              </w:tc>
              <w:tc>
                <w:tcPr>
                  <w:tcW w:w="3142" w:type="dxa"/>
                  <w:vAlign w:val="center"/>
                </w:tcPr>
                <w:p w14:paraId="75A0890B">
                  <w:pPr>
                    <w:tabs>
                      <w:tab w:val="left" w:pos="4"/>
                    </w:tabs>
                    <w:snapToGrid w:val="0"/>
                    <w:jc w:val="left"/>
                    <w:rPr>
                      <w:color w:val="auto"/>
                    </w:rPr>
                  </w:pPr>
                  <w:r>
                    <w:rPr>
                      <w:color w:val="auto"/>
                    </w:rPr>
                    <w:t>本项目施工期拟采用人工掏挖基础，在山丘区拟采用全方位长短腿与不等高基础设计等环保措施，本项目线路沿线不涉及集中林区</w:t>
                  </w:r>
                </w:p>
              </w:tc>
              <w:tc>
                <w:tcPr>
                  <w:tcW w:w="745" w:type="dxa"/>
                  <w:vAlign w:val="center"/>
                </w:tcPr>
                <w:p w14:paraId="5FBC338C">
                  <w:pPr>
                    <w:tabs>
                      <w:tab w:val="left" w:pos="4"/>
                    </w:tabs>
                    <w:snapToGrid w:val="0"/>
                    <w:jc w:val="center"/>
                    <w:rPr>
                      <w:color w:val="auto"/>
                    </w:rPr>
                  </w:pPr>
                  <w:r>
                    <w:rPr>
                      <w:color w:val="auto"/>
                    </w:rPr>
                    <w:t>符合</w:t>
                  </w:r>
                </w:p>
              </w:tc>
            </w:tr>
            <w:tr w14:paraId="0AF1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7D0BCED0">
                  <w:pPr>
                    <w:tabs>
                      <w:tab w:val="left" w:pos="4"/>
                    </w:tabs>
                    <w:snapToGrid w:val="0"/>
                    <w:jc w:val="center"/>
                    <w:rPr>
                      <w:color w:val="auto"/>
                    </w:rPr>
                  </w:pPr>
                </w:p>
              </w:tc>
              <w:tc>
                <w:tcPr>
                  <w:tcW w:w="491" w:type="dxa"/>
                  <w:vMerge w:val="continue"/>
                  <w:vAlign w:val="center"/>
                </w:tcPr>
                <w:p w14:paraId="539E3866">
                  <w:pPr>
                    <w:tabs>
                      <w:tab w:val="left" w:pos="4"/>
                    </w:tabs>
                    <w:snapToGrid w:val="0"/>
                    <w:jc w:val="center"/>
                    <w:rPr>
                      <w:color w:val="auto"/>
                    </w:rPr>
                  </w:pPr>
                </w:p>
              </w:tc>
              <w:tc>
                <w:tcPr>
                  <w:tcW w:w="3245" w:type="dxa"/>
                  <w:vAlign w:val="center"/>
                </w:tcPr>
                <w:p w14:paraId="6F2945E3">
                  <w:pPr>
                    <w:tabs>
                      <w:tab w:val="left" w:pos="4"/>
                    </w:tabs>
                    <w:snapToGrid w:val="0"/>
                    <w:jc w:val="left"/>
                    <w:rPr>
                      <w:color w:val="auto"/>
                    </w:rPr>
                  </w:pPr>
                  <w:r>
                    <w:rPr>
                      <w:color w:val="auto"/>
                    </w:rPr>
                    <w:t>输变电建设项目临时占地，应因地制宜进行土地功能恢复设计。</w:t>
                  </w:r>
                </w:p>
              </w:tc>
              <w:tc>
                <w:tcPr>
                  <w:tcW w:w="3142" w:type="dxa"/>
                  <w:vAlign w:val="center"/>
                </w:tcPr>
                <w:p w14:paraId="60904BEF">
                  <w:pPr>
                    <w:tabs>
                      <w:tab w:val="left" w:pos="4"/>
                    </w:tabs>
                    <w:snapToGrid w:val="0"/>
                    <w:jc w:val="left"/>
                    <w:rPr>
                      <w:color w:val="auto"/>
                    </w:rPr>
                  </w:pPr>
                  <w:r>
                    <w:rPr>
                      <w:color w:val="auto"/>
                    </w:rPr>
                    <w:t>本项目施工结束后拟采取对临时用地进行生态恢复等生态恢复措施</w:t>
                  </w:r>
                </w:p>
              </w:tc>
              <w:tc>
                <w:tcPr>
                  <w:tcW w:w="745" w:type="dxa"/>
                  <w:vAlign w:val="center"/>
                </w:tcPr>
                <w:p w14:paraId="7A6FE016">
                  <w:pPr>
                    <w:tabs>
                      <w:tab w:val="left" w:pos="4"/>
                    </w:tabs>
                    <w:snapToGrid w:val="0"/>
                    <w:jc w:val="center"/>
                    <w:rPr>
                      <w:color w:val="auto"/>
                    </w:rPr>
                  </w:pPr>
                  <w:r>
                    <w:rPr>
                      <w:color w:val="auto"/>
                    </w:rPr>
                    <w:t>符合</w:t>
                  </w:r>
                </w:p>
              </w:tc>
            </w:tr>
            <w:tr w14:paraId="0C79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vAlign w:val="center"/>
                </w:tcPr>
                <w:p w14:paraId="74B25032">
                  <w:pPr>
                    <w:tabs>
                      <w:tab w:val="left" w:pos="4"/>
                    </w:tabs>
                    <w:snapToGrid w:val="0"/>
                    <w:jc w:val="center"/>
                    <w:rPr>
                      <w:color w:val="auto"/>
                    </w:rPr>
                  </w:pPr>
                </w:p>
              </w:tc>
              <w:tc>
                <w:tcPr>
                  <w:tcW w:w="491" w:type="dxa"/>
                  <w:vMerge w:val="continue"/>
                  <w:vAlign w:val="center"/>
                </w:tcPr>
                <w:p w14:paraId="539C28EA">
                  <w:pPr>
                    <w:tabs>
                      <w:tab w:val="left" w:pos="4"/>
                    </w:tabs>
                    <w:snapToGrid w:val="0"/>
                    <w:jc w:val="center"/>
                    <w:rPr>
                      <w:color w:val="auto"/>
                    </w:rPr>
                  </w:pPr>
                </w:p>
              </w:tc>
              <w:tc>
                <w:tcPr>
                  <w:tcW w:w="3245" w:type="dxa"/>
                  <w:vAlign w:val="center"/>
                </w:tcPr>
                <w:p w14:paraId="4A442636">
                  <w:pPr>
                    <w:tabs>
                      <w:tab w:val="left" w:pos="4"/>
                    </w:tabs>
                    <w:snapToGrid w:val="0"/>
                    <w:jc w:val="left"/>
                    <w:rPr>
                      <w:color w:val="auto"/>
                    </w:rPr>
                  </w:pPr>
                  <w:r>
                    <w:rPr>
                      <w:color w:val="auto"/>
                    </w:rPr>
                    <w:t>进入自然保护区的输电线路，应根据生态现状调查结果，制定相应的保护方案。塔基定位应避让珍稀濒危物种、保护植物和保护动物的栖息地，根据保护对象的特性设计相应的生态环境保护措施、设施等。</w:t>
                  </w:r>
                </w:p>
              </w:tc>
              <w:tc>
                <w:tcPr>
                  <w:tcW w:w="3142" w:type="dxa"/>
                  <w:vAlign w:val="center"/>
                </w:tcPr>
                <w:p w14:paraId="3B7EB1CD">
                  <w:pPr>
                    <w:tabs>
                      <w:tab w:val="left" w:pos="4"/>
                    </w:tabs>
                    <w:snapToGrid w:val="0"/>
                    <w:jc w:val="left"/>
                    <w:rPr>
                      <w:color w:val="auto"/>
                    </w:rPr>
                  </w:pPr>
                  <w:r>
                    <w:rPr>
                      <w:color w:val="auto"/>
                    </w:rPr>
                    <w:t>本项目不涉及自然保护区</w:t>
                  </w:r>
                </w:p>
              </w:tc>
              <w:tc>
                <w:tcPr>
                  <w:tcW w:w="745" w:type="dxa"/>
                  <w:vAlign w:val="center"/>
                </w:tcPr>
                <w:p w14:paraId="7981F76A">
                  <w:pPr>
                    <w:tabs>
                      <w:tab w:val="left" w:pos="4"/>
                    </w:tabs>
                    <w:snapToGrid w:val="0"/>
                    <w:jc w:val="center"/>
                    <w:rPr>
                      <w:color w:val="auto"/>
                    </w:rPr>
                  </w:pPr>
                  <w:r>
                    <w:rPr>
                      <w:color w:val="auto"/>
                    </w:rPr>
                    <w:t>符合</w:t>
                  </w:r>
                </w:p>
              </w:tc>
            </w:tr>
          </w:tbl>
          <w:p w14:paraId="5F852435">
            <w:pPr>
              <w:tabs>
                <w:tab w:val="left" w:pos="840"/>
              </w:tabs>
              <w:spacing w:line="360" w:lineRule="auto"/>
              <w:ind w:firstLine="480"/>
              <w:rPr>
                <w:rStyle w:val="33"/>
                <w:color w:val="auto"/>
                <w:sz w:val="24"/>
                <w:szCs w:val="24"/>
              </w:rPr>
            </w:pPr>
            <w:r>
              <w:rPr>
                <w:rStyle w:val="33"/>
                <w:color w:val="auto"/>
                <w:sz w:val="24"/>
                <w:szCs w:val="24"/>
              </w:rPr>
              <w:t>经对比分析，本项目在选址选线所采取的环境保护措施与《输变电建设项目环境保护技术要求》（HJ1113-2020）中相关技术要求相符。</w:t>
            </w:r>
          </w:p>
          <w:p w14:paraId="42E209B1">
            <w:pPr>
              <w:keepNext/>
              <w:keepLines/>
              <w:tabs>
                <w:tab w:val="left" w:pos="420"/>
                <w:tab w:val="left" w:pos="567"/>
              </w:tabs>
              <w:adjustRightInd w:val="0"/>
              <w:snapToGrid w:val="0"/>
              <w:spacing w:line="360" w:lineRule="auto"/>
              <w:jc w:val="left"/>
              <w:outlineLvl w:val="1"/>
              <w:rPr>
                <w:b/>
                <w:bCs/>
                <w:color w:val="auto"/>
                <w:sz w:val="24"/>
              </w:rPr>
            </w:pPr>
            <w:r>
              <w:rPr>
                <w:b/>
                <w:bCs/>
                <w:color w:val="auto"/>
                <w:sz w:val="24"/>
              </w:rPr>
              <w:t>4、产业政策及电网规划符合性分析</w:t>
            </w:r>
          </w:p>
          <w:p w14:paraId="1C720D53">
            <w:pPr>
              <w:tabs>
                <w:tab w:val="left" w:pos="840"/>
              </w:tabs>
              <w:adjustRightInd w:val="0"/>
              <w:snapToGrid w:val="0"/>
              <w:spacing w:line="360" w:lineRule="auto"/>
              <w:ind w:firstLine="480"/>
              <w:rPr>
                <w:rStyle w:val="33"/>
                <w:color w:val="auto"/>
                <w:sz w:val="24"/>
                <w:szCs w:val="24"/>
              </w:rPr>
            </w:pPr>
            <w:r>
              <w:rPr>
                <w:rStyle w:val="33"/>
                <w:color w:val="auto"/>
                <w:sz w:val="24"/>
                <w:szCs w:val="24"/>
              </w:rPr>
              <w:t>本项目属于《产业结构调整指导目录》（2021年修改）中第一类鼓励类（电网改造与建设）项目，符合国家现行产业政策。重庆市涪陵区发展和改革委员会于2021年10月26日对本项目进行了核准（涪发改委发[2021]804号），项目符合重庆市电网规划，核准批复见附件1。</w:t>
            </w:r>
          </w:p>
          <w:p w14:paraId="66F86221">
            <w:pPr>
              <w:keepNext/>
              <w:keepLines/>
              <w:tabs>
                <w:tab w:val="left" w:pos="420"/>
                <w:tab w:val="left" w:pos="567"/>
              </w:tabs>
              <w:adjustRightInd w:val="0"/>
              <w:snapToGrid w:val="0"/>
              <w:spacing w:line="360" w:lineRule="auto"/>
              <w:jc w:val="left"/>
              <w:outlineLvl w:val="1"/>
              <w:rPr>
                <w:b/>
                <w:bCs/>
                <w:color w:val="auto"/>
                <w:sz w:val="24"/>
              </w:rPr>
            </w:pPr>
            <w:r>
              <w:rPr>
                <w:b/>
                <w:bCs/>
                <w:color w:val="auto"/>
                <w:sz w:val="24"/>
              </w:rPr>
              <w:t>5、项目与相关生态环境保护法律法规政策、生态环境保护规划的符合性</w:t>
            </w:r>
          </w:p>
          <w:p w14:paraId="3133E4C1">
            <w:pPr>
              <w:tabs>
                <w:tab w:val="left" w:pos="840"/>
              </w:tabs>
              <w:spacing w:line="360" w:lineRule="auto"/>
              <w:ind w:firstLine="480"/>
              <w:rPr>
                <w:rStyle w:val="33"/>
                <w:color w:val="auto"/>
                <w:sz w:val="24"/>
                <w:szCs w:val="24"/>
              </w:rPr>
            </w:pPr>
            <w:r>
              <w:rPr>
                <w:rStyle w:val="33"/>
                <w:color w:val="auto"/>
                <w:sz w:val="24"/>
                <w:szCs w:val="24"/>
              </w:rPr>
              <w:t>经核实，本工程评价范围内不涉及各类自然保护区、风景名胜区、森林公园等需要特别保护的生态敏感区域，且未占用饮用水源保护区一级区和二级区，因此，本工程的建设与国家和地方的法律法规是相符的。</w:t>
            </w:r>
          </w:p>
          <w:p w14:paraId="27B66745">
            <w:pPr>
              <w:tabs>
                <w:tab w:val="left" w:pos="840"/>
              </w:tabs>
              <w:spacing w:line="360" w:lineRule="auto"/>
              <w:ind w:firstLine="480"/>
              <w:rPr>
                <w:rStyle w:val="33"/>
                <w:color w:val="auto"/>
                <w:sz w:val="24"/>
                <w:szCs w:val="24"/>
              </w:rPr>
            </w:pPr>
          </w:p>
          <w:p w14:paraId="10FDE754">
            <w:pPr>
              <w:tabs>
                <w:tab w:val="left" w:pos="840"/>
              </w:tabs>
              <w:spacing w:line="360" w:lineRule="auto"/>
              <w:ind w:firstLine="480"/>
              <w:rPr>
                <w:rStyle w:val="33"/>
                <w:color w:val="auto"/>
                <w:sz w:val="24"/>
                <w:szCs w:val="24"/>
              </w:rPr>
            </w:pPr>
          </w:p>
          <w:p w14:paraId="637CBFCB">
            <w:pPr>
              <w:tabs>
                <w:tab w:val="left" w:pos="840"/>
              </w:tabs>
              <w:spacing w:line="360" w:lineRule="auto"/>
              <w:ind w:firstLine="480"/>
              <w:rPr>
                <w:rStyle w:val="33"/>
                <w:color w:val="auto"/>
                <w:sz w:val="24"/>
                <w:szCs w:val="24"/>
              </w:rPr>
            </w:pPr>
          </w:p>
          <w:p w14:paraId="67CC7F64">
            <w:pPr>
              <w:tabs>
                <w:tab w:val="left" w:pos="840"/>
              </w:tabs>
              <w:spacing w:line="360" w:lineRule="auto"/>
              <w:ind w:firstLine="480"/>
              <w:rPr>
                <w:rStyle w:val="33"/>
                <w:color w:val="auto"/>
                <w:sz w:val="24"/>
                <w:szCs w:val="24"/>
              </w:rPr>
            </w:pPr>
          </w:p>
          <w:p w14:paraId="1629CB1C">
            <w:pPr>
              <w:tabs>
                <w:tab w:val="left" w:pos="840"/>
              </w:tabs>
              <w:spacing w:line="360" w:lineRule="auto"/>
              <w:ind w:firstLine="480"/>
              <w:rPr>
                <w:rStyle w:val="33"/>
                <w:color w:val="auto"/>
                <w:sz w:val="24"/>
                <w:szCs w:val="24"/>
              </w:rPr>
            </w:pPr>
          </w:p>
          <w:p w14:paraId="539B506A">
            <w:pPr>
              <w:tabs>
                <w:tab w:val="left" w:pos="840"/>
              </w:tabs>
              <w:spacing w:line="360" w:lineRule="auto"/>
              <w:ind w:firstLine="480"/>
              <w:rPr>
                <w:rStyle w:val="33"/>
                <w:color w:val="auto"/>
                <w:sz w:val="24"/>
                <w:szCs w:val="24"/>
              </w:rPr>
            </w:pPr>
          </w:p>
          <w:p w14:paraId="17E2C332">
            <w:pPr>
              <w:tabs>
                <w:tab w:val="left" w:pos="840"/>
              </w:tabs>
              <w:spacing w:line="360" w:lineRule="auto"/>
              <w:ind w:firstLine="480"/>
              <w:rPr>
                <w:rStyle w:val="33"/>
                <w:color w:val="auto"/>
                <w:sz w:val="24"/>
                <w:szCs w:val="24"/>
              </w:rPr>
            </w:pPr>
          </w:p>
          <w:p w14:paraId="7D539AED">
            <w:pPr>
              <w:tabs>
                <w:tab w:val="left" w:pos="840"/>
              </w:tabs>
              <w:spacing w:line="360" w:lineRule="auto"/>
              <w:ind w:firstLine="480"/>
              <w:rPr>
                <w:rStyle w:val="33"/>
                <w:color w:val="auto"/>
                <w:sz w:val="24"/>
                <w:szCs w:val="24"/>
              </w:rPr>
            </w:pPr>
          </w:p>
          <w:p w14:paraId="442594A6">
            <w:pPr>
              <w:tabs>
                <w:tab w:val="left" w:pos="840"/>
              </w:tabs>
              <w:spacing w:line="360" w:lineRule="auto"/>
              <w:ind w:firstLine="480"/>
              <w:rPr>
                <w:rStyle w:val="33"/>
                <w:color w:val="auto"/>
                <w:sz w:val="24"/>
                <w:szCs w:val="24"/>
              </w:rPr>
            </w:pPr>
          </w:p>
          <w:p w14:paraId="7107D7AB">
            <w:pPr>
              <w:tabs>
                <w:tab w:val="left" w:pos="840"/>
              </w:tabs>
              <w:spacing w:line="360" w:lineRule="auto"/>
              <w:ind w:firstLine="480"/>
              <w:rPr>
                <w:rStyle w:val="33"/>
                <w:color w:val="auto"/>
                <w:sz w:val="24"/>
                <w:szCs w:val="24"/>
              </w:rPr>
            </w:pPr>
          </w:p>
          <w:p w14:paraId="7328C6C1">
            <w:pPr>
              <w:tabs>
                <w:tab w:val="left" w:pos="840"/>
              </w:tabs>
              <w:spacing w:line="360" w:lineRule="auto"/>
              <w:ind w:firstLine="480"/>
              <w:rPr>
                <w:rStyle w:val="33"/>
                <w:color w:val="auto"/>
                <w:sz w:val="24"/>
                <w:szCs w:val="24"/>
              </w:rPr>
            </w:pPr>
          </w:p>
          <w:p w14:paraId="0BCFB707">
            <w:pPr>
              <w:tabs>
                <w:tab w:val="left" w:pos="840"/>
              </w:tabs>
              <w:spacing w:line="360" w:lineRule="auto"/>
              <w:ind w:firstLine="480"/>
              <w:rPr>
                <w:rStyle w:val="33"/>
                <w:color w:val="auto"/>
                <w:sz w:val="24"/>
                <w:szCs w:val="24"/>
              </w:rPr>
            </w:pPr>
          </w:p>
          <w:p w14:paraId="4B491D2D">
            <w:pPr>
              <w:tabs>
                <w:tab w:val="left" w:pos="840"/>
              </w:tabs>
              <w:spacing w:line="360" w:lineRule="auto"/>
              <w:ind w:firstLine="480"/>
              <w:rPr>
                <w:rStyle w:val="33"/>
                <w:color w:val="auto"/>
                <w:sz w:val="24"/>
                <w:szCs w:val="24"/>
              </w:rPr>
            </w:pPr>
          </w:p>
          <w:p w14:paraId="56479225">
            <w:pPr>
              <w:tabs>
                <w:tab w:val="left" w:pos="840"/>
              </w:tabs>
              <w:spacing w:line="360" w:lineRule="auto"/>
              <w:ind w:firstLine="480"/>
              <w:rPr>
                <w:rStyle w:val="33"/>
                <w:color w:val="auto"/>
                <w:sz w:val="24"/>
                <w:szCs w:val="24"/>
              </w:rPr>
            </w:pPr>
          </w:p>
          <w:p w14:paraId="19B162DF">
            <w:pPr>
              <w:tabs>
                <w:tab w:val="left" w:pos="840"/>
              </w:tabs>
              <w:spacing w:line="360" w:lineRule="auto"/>
              <w:ind w:firstLine="480"/>
              <w:rPr>
                <w:rStyle w:val="33"/>
                <w:color w:val="auto"/>
                <w:sz w:val="24"/>
                <w:szCs w:val="24"/>
              </w:rPr>
            </w:pPr>
          </w:p>
          <w:p w14:paraId="74935A07">
            <w:pPr>
              <w:tabs>
                <w:tab w:val="left" w:pos="840"/>
              </w:tabs>
              <w:spacing w:line="360" w:lineRule="auto"/>
              <w:ind w:firstLine="480"/>
              <w:rPr>
                <w:rStyle w:val="33"/>
                <w:color w:val="auto"/>
                <w:sz w:val="24"/>
                <w:szCs w:val="24"/>
              </w:rPr>
            </w:pPr>
          </w:p>
          <w:p w14:paraId="385B7921">
            <w:pPr>
              <w:tabs>
                <w:tab w:val="left" w:pos="840"/>
              </w:tabs>
              <w:spacing w:line="360" w:lineRule="auto"/>
              <w:ind w:firstLine="480"/>
              <w:rPr>
                <w:rStyle w:val="33"/>
                <w:color w:val="auto"/>
                <w:sz w:val="24"/>
                <w:szCs w:val="24"/>
              </w:rPr>
            </w:pPr>
          </w:p>
          <w:p w14:paraId="578727BA">
            <w:pPr>
              <w:tabs>
                <w:tab w:val="left" w:pos="840"/>
              </w:tabs>
              <w:spacing w:line="360" w:lineRule="auto"/>
              <w:ind w:firstLine="480"/>
              <w:rPr>
                <w:rStyle w:val="33"/>
                <w:color w:val="auto"/>
                <w:sz w:val="24"/>
                <w:szCs w:val="24"/>
              </w:rPr>
            </w:pPr>
          </w:p>
          <w:p w14:paraId="4918703A">
            <w:pPr>
              <w:tabs>
                <w:tab w:val="left" w:pos="840"/>
              </w:tabs>
              <w:spacing w:line="360" w:lineRule="auto"/>
              <w:ind w:firstLine="480"/>
              <w:rPr>
                <w:rStyle w:val="33"/>
                <w:color w:val="auto"/>
                <w:sz w:val="24"/>
                <w:szCs w:val="24"/>
              </w:rPr>
            </w:pPr>
          </w:p>
          <w:p w14:paraId="1DACE4AF">
            <w:pPr>
              <w:tabs>
                <w:tab w:val="left" w:pos="840"/>
              </w:tabs>
              <w:spacing w:line="360" w:lineRule="auto"/>
              <w:ind w:firstLine="480"/>
              <w:rPr>
                <w:rStyle w:val="33"/>
                <w:color w:val="auto"/>
                <w:sz w:val="24"/>
                <w:szCs w:val="24"/>
              </w:rPr>
            </w:pPr>
          </w:p>
          <w:p w14:paraId="73AB4C96">
            <w:pPr>
              <w:tabs>
                <w:tab w:val="left" w:pos="840"/>
              </w:tabs>
              <w:spacing w:line="360" w:lineRule="auto"/>
              <w:ind w:firstLine="480"/>
              <w:rPr>
                <w:rStyle w:val="33"/>
                <w:color w:val="auto"/>
                <w:sz w:val="24"/>
                <w:szCs w:val="24"/>
              </w:rPr>
            </w:pPr>
          </w:p>
          <w:p w14:paraId="7EA53A66">
            <w:pPr>
              <w:tabs>
                <w:tab w:val="left" w:pos="840"/>
              </w:tabs>
              <w:spacing w:line="360" w:lineRule="auto"/>
              <w:ind w:firstLine="480"/>
              <w:rPr>
                <w:rStyle w:val="33"/>
                <w:color w:val="auto"/>
                <w:sz w:val="24"/>
                <w:szCs w:val="24"/>
              </w:rPr>
            </w:pPr>
          </w:p>
        </w:tc>
      </w:tr>
    </w:tbl>
    <w:p w14:paraId="6250D080">
      <w:pPr>
        <w:adjustRightInd w:val="0"/>
        <w:snapToGrid w:val="0"/>
        <w:spacing w:line="288" w:lineRule="auto"/>
        <w:jc w:val="center"/>
        <w:rPr>
          <w:color w:val="auto"/>
          <w:sz w:val="36"/>
          <w:szCs w:val="36"/>
        </w:rPr>
        <w:sectPr>
          <w:footerReference r:id="rId6" w:type="default"/>
          <w:pgSz w:w="11906" w:h="16838"/>
          <w:pgMar w:top="1134" w:right="1134" w:bottom="1134" w:left="1134" w:header="851" w:footer="992" w:gutter="0"/>
          <w:pgNumType w:start="1"/>
          <w:cols w:space="425" w:num="1"/>
          <w:docGrid w:linePitch="312" w:charSpace="0"/>
        </w:sectPr>
      </w:pPr>
    </w:p>
    <w:p w14:paraId="3BC7982E">
      <w:pPr>
        <w:pStyle w:val="24"/>
        <w:spacing w:before="0" w:beforeAutospacing="0" w:after="0" w:afterAutospacing="0" w:line="360" w:lineRule="auto"/>
        <w:jc w:val="center"/>
        <w:outlineLvl w:val="0"/>
        <w:rPr>
          <w:rFonts w:ascii="Times New Roman" w:hAnsi="Times New Roman"/>
          <w:b/>
          <w:snapToGrid w:val="0"/>
          <w:color w:val="auto"/>
          <w:sz w:val="30"/>
          <w:szCs w:val="30"/>
        </w:rPr>
      </w:pPr>
      <w:bookmarkStart w:id="6" w:name="_Toc63026905"/>
      <w:r>
        <w:rPr>
          <w:rFonts w:ascii="Times New Roman" w:hAnsi="Times New Roman"/>
          <w:b/>
          <w:snapToGrid w:val="0"/>
          <w:color w:val="auto"/>
          <w:sz w:val="30"/>
          <w:szCs w:val="30"/>
        </w:rPr>
        <w:t>二、建设内容</w:t>
      </w:r>
      <w:bookmarkEnd w:id="6"/>
    </w:p>
    <w:tbl>
      <w:tblPr>
        <w:tblStyle w:val="2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032"/>
      </w:tblGrid>
      <w:tr w14:paraId="50B84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5B700DF2">
            <w:pPr>
              <w:adjustRightInd w:val="0"/>
              <w:snapToGrid w:val="0"/>
              <w:jc w:val="center"/>
              <w:rPr>
                <w:b/>
                <w:color w:val="auto"/>
                <w:sz w:val="24"/>
              </w:rPr>
            </w:pPr>
            <w:r>
              <w:rPr>
                <w:b/>
                <w:color w:val="auto"/>
                <w:sz w:val="24"/>
              </w:rPr>
              <w:t>地理位置</w:t>
            </w:r>
          </w:p>
        </w:tc>
        <w:tc>
          <w:tcPr>
            <w:tcW w:w="9032" w:type="dxa"/>
            <w:vAlign w:val="center"/>
          </w:tcPr>
          <w:p w14:paraId="3C088A0F">
            <w:pPr>
              <w:spacing w:line="360" w:lineRule="auto"/>
              <w:ind w:firstLine="480" w:firstLineChars="200"/>
              <w:rPr>
                <w:color w:val="auto"/>
                <w:sz w:val="24"/>
              </w:rPr>
            </w:pPr>
            <w:r>
              <w:rPr>
                <w:bCs/>
                <w:color w:val="auto"/>
                <w:kern w:val="0"/>
                <w:sz w:val="24"/>
                <w:lang w:bidi="en-US"/>
              </w:rPr>
              <w:t>本项目线路均位于重庆市涪陵区白涛街道</w:t>
            </w:r>
            <w:r>
              <w:rPr>
                <w:bCs/>
                <w:color w:val="auto"/>
                <w:sz w:val="24"/>
              </w:rPr>
              <w:t>，地理位置详见附图1</w:t>
            </w:r>
            <w:r>
              <w:rPr>
                <w:color w:val="auto"/>
                <w:sz w:val="24"/>
              </w:rPr>
              <w:t>。</w:t>
            </w:r>
          </w:p>
        </w:tc>
      </w:tr>
      <w:tr w14:paraId="6FA1A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dxa"/>
            <w:vAlign w:val="center"/>
          </w:tcPr>
          <w:p w14:paraId="2133AF94">
            <w:pPr>
              <w:adjustRightInd w:val="0"/>
              <w:snapToGrid w:val="0"/>
              <w:jc w:val="center"/>
              <w:rPr>
                <w:b/>
                <w:color w:val="auto"/>
                <w:sz w:val="24"/>
              </w:rPr>
            </w:pPr>
            <w:r>
              <w:rPr>
                <w:b/>
                <w:color w:val="auto"/>
                <w:sz w:val="24"/>
              </w:rPr>
              <w:t>项目组成及规模</w:t>
            </w:r>
          </w:p>
        </w:tc>
        <w:tc>
          <w:tcPr>
            <w:tcW w:w="9032" w:type="dxa"/>
            <w:vAlign w:val="center"/>
          </w:tcPr>
          <w:p w14:paraId="48E4F9B4">
            <w:pPr>
              <w:widowControl/>
              <w:adjustRightInd w:val="0"/>
              <w:snapToGrid w:val="0"/>
              <w:spacing w:line="360" w:lineRule="auto"/>
              <w:jc w:val="left"/>
              <w:rPr>
                <w:b/>
                <w:bCs/>
                <w:color w:val="auto"/>
                <w:kern w:val="0"/>
                <w:sz w:val="24"/>
                <w:lang w:bidi="en-US"/>
              </w:rPr>
            </w:pPr>
            <w:r>
              <w:rPr>
                <w:b/>
                <w:bCs/>
                <w:color w:val="auto"/>
                <w:kern w:val="0"/>
                <w:sz w:val="24"/>
                <w:lang w:bidi="en-US"/>
              </w:rPr>
              <w:t>1、主要建设内容</w:t>
            </w:r>
          </w:p>
          <w:p w14:paraId="7F1DBCB2">
            <w:pPr>
              <w:adjustRightInd w:val="0"/>
              <w:snapToGrid w:val="0"/>
              <w:spacing w:line="360" w:lineRule="auto"/>
              <w:ind w:firstLine="480" w:firstLineChars="200"/>
              <w:rPr>
                <w:color w:val="auto"/>
                <w:sz w:val="24"/>
              </w:rPr>
            </w:pPr>
            <w:r>
              <w:rPr>
                <w:color w:val="auto"/>
                <w:sz w:val="24"/>
              </w:rPr>
              <w:t>（1）拆除原110kV油华线4号至11号段线路约3.4km，拆除5基角钢塔，3基水泥杆。</w:t>
            </w:r>
          </w:p>
          <w:p w14:paraId="38853A01">
            <w:pPr>
              <w:adjustRightInd w:val="0"/>
              <w:snapToGrid w:val="0"/>
              <w:spacing w:line="360" w:lineRule="auto"/>
              <w:ind w:firstLine="480" w:firstLineChars="200"/>
              <w:rPr>
                <w:color w:val="auto"/>
                <w:sz w:val="24"/>
              </w:rPr>
            </w:pPr>
            <w:r>
              <w:rPr>
                <w:color w:val="auto"/>
                <w:sz w:val="24"/>
              </w:rPr>
              <w:t>（2）在原110kV油华线4号至11号段线路北侧新建电力廊道，新建110kV单回架空线路约4.1km，新建角钢塔10基。</w:t>
            </w:r>
          </w:p>
          <w:p w14:paraId="5C21D2D5">
            <w:pPr>
              <w:adjustRightInd w:val="0"/>
              <w:snapToGrid w:val="0"/>
              <w:spacing w:line="360" w:lineRule="auto"/>
              <w:ind w:firstLine="480" w:firstLineChars="200"/>
              <w:rPr>
                <w:color w:val="auto"/>
              </w:rPr>
            </w:pPr>
            <w:r>
              <w:rPr>
                <w:color w:val="auto"/>
                <w:sz w:val="24"/>
              </w:rPr>
              <w:t>（3）调整原110kV油华线3号塔至本期新建N4号塔段线路弧垂约0.2km（弧垂较原线路抬高约</w:t>
            </w:r>
            <w:r>
              <w:rPr>
                <w:rFonts w:hint="eastAsia"/>
                <w:bCs/>
                <w:color w:val="auto"/>
                <w:sz w:val="24"/>
              </w:rPr>
              <w:t>1~</w:t>
            </w:r>
            <w:r>
              <w:rPr>
                <w:color w:val="auto"/>
                <w:sz w:val="24"/>
              </w:rPr>
              <w:t>2m），调整本期新建N</w:t>
            </w:r>
            <w:r>
              <w:rPr>
                <w:rFonts w:hint="eastAsia"/>
                <w:color w:val="auto"/>
                <w:sz w:val="24"/>
              </w:rPr>
              <w:t>13</w:t>
            </w:r>
            <w:r>
              <w:rPr>
                <w:color w:val="auto"/>
                <w:sz w:val="24"/>
              </w:rPr>
              <w:t>号塔至原110kV油华线</w:t>
            </w:r>
            <w:r>
              <w:rPr>
                <w:rFonts w:hint="eastAsia"/>
                <w:color w:val="auto"/>
                <w:sz w:val="24"/>
              </w:rPr>
              <w:t>12</w:t>
            </w:r>
            <w:r>
              <w:rPr>
                <w:color w:val="auto"/>
                <w:sz w:val="24"/>
              </w:rPr>
              <w:t>号段线路弧垂约0.3km（弧垂较原线路抬高约</w:t>
            </w:r>
            <w:r>
              <w:rPr>
                <w:rFonts w:hint="eastAsia"/>
                <w:bCs/>
                <w:color w:val="auto"/>
                <w:sz w:val="24"/>
              </w:rPr>
              <w:t>1~</w:t>
            </w:r>
            <w:r>
              <w:rPr>
                <w:color w:val="auto"/>
                <w:sz w:val="24"/>
              </w:rPr>
              <w:t>2m）。</w:t>
            </w:r>
          </w:p>
          <w:p w14:paraId="122680EC">
            <w:pPr>
              <w:widowControl/>
              <w:adjustRightInd w:val="0"/>
              <w:snapToGrid w:val="0"/>
              <w:spacing w:line="360" w:lineRule="auto"/>
              <w:jc w:val="left"/>
              <w:rPr>
                <w:b/>
                <w:bCs/>
                <w:color w:val="auto"/>
                <w:kern w:val="0"/>
                <w:sz w:val="24"/>
                <w:lang w:bidi="en-US"/>
              </w:rPr>
            </w:pPr>
            <w:r>
              <w:rPr>
                <w:b/>
                <w:bCs/>
                <w:color w:val="auto"/>
                <w:kern w:val="0"/>
                <w:sz w:val="24"/>
                <w:lang w:bidi="en-US"/>
              </w:rPr>
              <w:t>2、建设项目概况</w:t>
            </w:r>
          </w:p>
          <w:p w14:paraId="44EB18F3">
            <w:pPr>
              <w:pStyle w:val="47"/>
              <w:snapToGrid w:val="0"/>
              <w:spacing w:line="360" w:lineRule="auto"/>
              <w:rPr>
                <w:rFonts w:ascii="Times New Roman" w:hAnsi="Times New Roman" w:cs="Times New Roman"/>
                <w:color w:val="auto"/>
              </w:rPr>
            </w:pPr>
            <w:r>
              <w:rPr>
                <w:rFonts w:ascii="Times New Roman" w:hAnsi="Times New Roman" w:cs="Times New Roman"/>
                <w:color w:val="auto"/>
              </w:rPr>
              <w:t>根据设计资料，本项目总体概况见表2-1。</w:t>
            </w:r>
          </w:p>
          <w:p w14:paraId="51D79E1B">
            <w:pPr>
              <w:pStyle w:val="82"/>
              <w:adjustRightInd w:val="0"/>
              <w:snapToGrid w:val="0"/>
              <w:spacing w:line="360" w:lineRule="auto"/>
              <w:ind w:firstLine="0" w:firstLineChars="0"/>
              <w:rPr>
                <w:rFonts w:ascii="Times New Roman" w:hAnsi="Times New Roman" w:eastAsia="宋体" w:cs="Times New Roman"/>
                <w:bCs/>
                <w:color w:val="auto"/>
              </w:rPr>
            </w:pPr>
            <w:r>
              <w:rPr>
                <w:rFonts w:ascii="Times New Roman" w:hAnsi="Times New Roman" w:eastAsia="宋体" w:cs="Times New Roman"/>
                <w:bCs/>
                <w:color w:val="auto"/>
              </w:rPr>
              <w:t>表2-1工程总体概况一览表</w:t>
            </w:r>
          </w:p>
          <w:tbl>
            <w:tblPr>
              <w:tblStyle w:val="27"/>
              <w:tblW w:w="8806"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12"/>
              <w:gridCol w:w="6490"/>
            </w:tblGrid>
            <w:tr w14:paraId="0A88D6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99" w:hRule="atLeast"/>
                <w:jc w:val="center"/>
              </w:trPr>
              <w:tc>
                <w:tcPr>
                  <w:tcW w:w="2316" w:type="dxa"/>
                  <w:gridSpan w:val="2"/>
                  <w:tcBorders>
                    <w:top w:val="single" w:color="auto" w:sz="4" w:space="0"/>
                    <w:left w:val="single" w:color="auto" w:sz="4" w:space="0"/>
                    <w:right w:val="single" w:color="auto" w:sz="4" w:space="0"/>
                  </w:tcBorders>
                  <w:vAlign w:val="center"/>
                </w:tcPr>
                <w:p w14:paraId="43B8C1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项目名称</w:t>
                  </w:r>
                </w:p>
              </w:tc>
              <w:tc>
                <w:tcPr>
                  <w:tcW w:w="6490" w:type="dxa"/>
                  <w:tcBorders>
                    <w:top w:val="single" w:color="auto" w:sz="4" w:space="0"/>
                    <w:left w:val="single" w:color="auto" w:sz="4" w:space="0"/>
                    <w:bottom w:val="single" w:color="auto" w:sz="4" w:space="0"/>
                    <w:right w:val="single" w:color="auto" w:sz="4" w:space="0"/>
                  </w:tcBorders>
                  <w:vAlign w:val="center"/>
                </w:tcPr>
                <w:p w14:paraId="50CDFA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白涛钛白粉场平电力线路迁改工程（110kV油华线）</w:t>
                  </w:r>
                </w:p>
              </w:tc>
            </w:tr>
            <w:tr w14:paraId="579E90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54" w:hRule="atLeast"/>
                <w:jc w:val="center"/>
              </w:trPr>
              <w:tc>
                <w:tcPr>
                  <w:tcW w:w="2316" w:type="dxa"/>
                  <w:gridSpan w:val="2"/>
                  <w:tcBorders>
                    <w:top w:val="single" w:color="auto" w:sz="4" w:space="0"/>
                    <w:left w:val="single" w:color="auto" w:sz="4" w:space="0"/>
                    <w:right w:val="single" w:color="auto" w:sz="4" w:space="0"/>
                  </w:tcBorders>
                  <w:vAlign w:val="center"/>
                </w:tcPr>
                <w:p w14:paraId="626467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建设单位</w:t>
                  </w:r>
                </w:p>
              </w:tc>
              <w:tc>
                <w:tcPr>
                  <w:tcW w:w="6490" w:type="dxa"/>
                  <w:tcBorders>
                    <w:top w:val="single" w:color="auto" w:sz="4" w:space="0"/>
                    <w:left w:val="single" w:color="auto" w:sz="4" w:space="0"/>
                    <w:bottom w:val="single" w:color="auto" w:sz="4" w:space="0"/>
                    <w:right w:val="single" w:color="auto" w:sz="4" w:space="0"/>
                  </w:tcBorders>
                  <w:vAlign w:val="center"/>
                </w:tcPr>
                <w:p w14:paraId="53A079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bCs/>
                      <w:color w:val="auto"/>
                      <w:sz w:val="21"/>
                      <w:szCs w:val="21"/>
                    </w:rPr>
                    <w:t>重庆涪陵聚龙电力有限公司</w:t>
                  </w:r>
                </w:p>
              </w:tc>
            </w:tr>
            <w:tr w14:paraId="39CD3A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jc w:val="center"/>
              </w:trPr>
              <w:tc>
                <w:tcPr>
                  <w:tcW w:w="2316" w:type="dxa"/>
                  <w:gridSpan w:val="2"/>
                  <w:tcBorders>
                    <w:top w:val="single" w:color="auto" w:sz="4" w:space="0"/>
                    <w:left w:val="single" w:color="auto" w:sz="4" w:space="0"/>
                    <w:right w:val="single" w:color="auto" w:sz="4" w:space="0"/>
                  </w:tcBorders>
                  <w:vAlign w:val="center"/>
                </w:tcPr>
                <w:p w14:paraId="77D560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设计单位</w:t>
                  </w:r>
                </w:p>
              </w:tc>
              <w:tc>
                <w:tcPr>
                  <w:tcW w:w="6490" w:type="dxa"/>
                  <w:tcBorders>
                    <w:top w:val="single" w:color="auto" w:sz="4" w:space="0"/>
                    <w:left w:val="single" w:color="auto" w:sz="4" w:space="0"/>
                    <w:bottom w:val="single" w:color="auto" w:sz="4" w:space="0"/>
                    <w:right w:val="single" w:color="auto" w:sz="4" w:space="0"/>
                  </w:tcBorders>
                  <w:vAlign w:val="center"/>
                </w:tcPr>
                <w:p w14:paraId="4400C6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重庆恒锦电力工程设计有限公司</w:t>
                  </w:r>
                </w:p>
              </w:tc>
            </w:tr>
            <w:tr w14:paraId="2C0B8F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jc w:val="center"/>
              </w:trPr>
              <w:tc>
                <w:tcPr>
                  <w:tcW w:w="2316" w:type="dxa"/>
                  <w:gridSpan w:val="2"/>
                  <w:tcBorders>
                    <w:top w:val="single" w:color="auto" w:sz="4" w:space="0"/>
                    <w:left w:val="single" w:color="auto" w:sz="4" w:space="0"/>
                    <w:right w:val="single" w:color="auto" w:sz="4" w:space="0"/>
                  </w:tcBorders>
                  <w:vAlign w:val="center"/>
                </w:tcPr>
                <w:p w14:paraId="70458F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建设地址</w:t>
                  </w:r>
                </w:p>
              </w:tc>
              <w:tc>
                <w:tcPr>
                  <w:tcW w:w="6490" w:type="dxa"/>
                  <w:tcBorders>
                    <w:top w:val="single" w:color="auto" w:sz="4" w:space="0"/>
                    <w:left w:val="single" w:color="auto" w:sz="4" w:space="0"/>
                    <w:bottom w:val="single" w:color="auto" w:sz="4" w:space="0"/>
                    <w:right w:val="single" w:color="auto" w:sz="4" w:space="0"/>
                  </w:tcBorders>
                  <w:vAlign w:val="center"/>
                </w:tcPr>
                <w:p w14:paraId="5A30A6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bCs/>
                      <w:color w:val="auto"/>
                      <w:sz w:val="21"/>
                      <w:szCs w:val="21"/>
                    </w:rPr>
                    <w:t>重庆市涪陵区白涛街道</w:t>
                  </w:r>
                </w:p>
              </w:tc>
            </w:tr>
            <w:tr w14:paraId="72FBB6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jc w:val="center"/>
              </w:trPr>
              <w:tc>
                <w:tcPr>
                  <w:tcW w:w="2316" w:type="dxa"/>
                  <w:gridSpan w:val="2"/>
                  <w:tcBorders>
                    <w:top w:val="single" w:color="auto" w:sz="4" w:space="0"/>
                    <w:left w:val="single" w:color="auto" w:sz="4" w:space="0"/>
                    <w:right w:val="single" w:color="auto" w:sz="4" w:space="0"/>
                  </w:tcBorders>
                  <w:vAlign w:val="center"/>
                </w:tcPr>
                <w:p w14:paraId="7493C5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工程性质</w:t>
                  </w:r>
                </w:p>
              </w:tc>
              <w:tc>
                <w:tcPr>
                  <w:tcW w:w="6490" w:type="dxa"/>
                  <w:tcBorders>
                    <w:top w:val="single" w:color="auto" w:sz="4" w:space="0"/>
                    <w:left w:val="single" w:color="auto" w:sz="4" w:space="0"/>
                    <w:bottom w:val="single" w:color="auto" w:sz="4" w:space="0"/>
                    <w:right w:val="single" w:color="auto" w:sz="4" w:space="0"/>
                  </w:tcBorders>
                  <w:vAlign w:val="center"/>
                </w:tcPr>
                <w:p w14:paraId="6A7D89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bCs/>
                      <w:color w:val="auto"/>
                      <w:sz w:val="21"/>
                      <w:szCs w:val="21"/>
                    </w:rPr>
                    <w:t>新建（迁建）</w:t>
                  </w:r>
                </w:p>
              </w:tc>
            </w:tr>
            <w:tr w14:paraId="5687AF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jc w:val="center"/>
              </w:trPr>
              <w:tc>
                <w:tcPr>
                  <w:tcW w:w="2316" w:type="dxa"/>
                  <w:gridSpan w:val="2"/>
                  <w:tcBorders>
                    <w:top w:val="single" w:color="auto" w:sz="4" w:space="0"/>
                    <w:left w:val="single" w:color="auto" w:sz="4" w:space="0"/>
                    <w:right w:val="single" w:color="auto" w:sz="4" w:space="0"/>
                  </w:tcBorders>
                  <w:vAlign w:val="center"/>
                </w:tcPr>
                <w:p w14:paraId="7EDE53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项目总投资</w:t>
                  </w:r>
                </w:p>
              </w:tc>
              <w:tc>
                <w:tcPr>
                  <w:tcW w:w="6490" w:type="dxa"/>
                  <w:tcBorders>
                    <w:top w:val="single" w:color="auto" w:sz="4" w:space="0"/>
                    <w:left w:val="single" w:color="auto" w:sz="4" w:space="0"/>
                    <w:bottom w:val="single" w:color="auto" w:sz="4" w:space="0"/>
                    <w:right w:val="single" w:color="auto" w:sz="4" w:space="0"/>
                  </w:tcBorders>
                  <w:vAlign w:val="center"/>
                </w:tcPr>
                <w:p w14:paraId="16EE85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rFonts w:hint="eastAsia"/>
                      <w:color w:val="auto"/>
                      <w:sz w:val="24"/>
                      <w:lang w:val="en-US" w:eastAsia="zh-CN"/>
                    </w:rPr>
                    <w:t>****</w:t>
                  </w:r>
                  <w:r>
                    <w:rPr>
                      <w:color w:val="auto"/>
                      <w:sz w:val="21"/>
                      <w:szCs w:val="21"/>
                      <w:lang w:val="zh-CN"/>
                    </w:rPr>
                    <w:t>万元</w:t>
                  </w:r>
                </w:p>
              </w:tc>
            </w:tr>
            <w:tr w14:paraId="087D6D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jc w:val="center"/>
              </w:trPr>
              <w:tc>
                <w:tcPr>
                  <w:tcW w:w="804" w:type="dxa"/>
                  <w:vMerge w:val="restart"/>
                  <w:tcBorders>
                    <w:top w:val="single" w:color="auto" w:sz="4" w:space="0"/>
                    <w:left w:val="single" w:color="auto" w:sz="4" w:space="0"/>
                    <w:right w:val="single" w:color="auto" w:sz="4" w:space="0"/>
                  </w:tcBorders>
                  <w:vAlign w:val="center"/>
                </w:tcPr>
                <w:p w14:paraId="40C98C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主体工程</w:t>
                  </w:r>
                </w:p>
              </w:tc>
              <w:tc>
                <w:tcPr>
                  <w:tcW w:w="1512" w:type="dxa"/>
                  <w:tcBorders>
                    <w:top w:val="single" w:color="auto" w:sz="4" w:space="0"/>
                    <w:left w:val="single" w:color="auto" w:sz="4" w:space="0"/>
                    <w:bottom w:val="single" w:color="auto" w:sz="4" w:space="0"/>
                    <w:right w:val="single" w:color="auto" w:sz="4" w:space="0"/>
                  </w:tcBorders>
                  <w:vAlign w:val="center"/>
                </w:tcPr>
                <w:p w14:paraId="642F2D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线路电压等级</w:t>
                  </w:r>
                </w:p>
              </w:tc>
              <w:tc>
                <w:tcPr>
                  <w:tcW w:w="6490" w:type="dxa"/>
                  <w:tcBorders>
                    <w:top w:val="single" w:color="auto" w:sz="4" w:space="0"/>
                    <w:left w:val="single" w:color="auto" w:sz="4" w:space="0"/>
                    <w:bottom w:val="single" w:color="auto" w:sz="4" w:space="0"/>
                    <w:right w:val="single" w:color="auto" w:sz="4" w:space="0"/>
                  </w:tcBorders>
                  <w:vAlign w:val="center"/>
                </w:tcPr>
                <w:p w14:paraId="760814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110kV</w:t>
                  </w:r>
                </w:p>
              </w:tc>
            </w:tr>
            <w:tr w14:paraId="5F1111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46DF76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49F91D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回路数</w:t>
                  </w:r>
                </w:p>
              </w:tc>
              <w:tc>
                <w:tcPr>
                  <w:tcW w:w="6490" w:type="dxa"/>
                  <w:tcBorders>
                    <w:top w:val="single" w:color="auto" w:sz="4" w:space="0"/>
                    <w:left w:val="single" w:color="auto" w:sz="4" w:space="0"/>
                    <w:bottom w:val="single" w:color="auto" w:sz="4" w:space="0"/>
                    <w:right w:val="single" w:color="auto" w:sz="4" w:space="0"/>
                  </w:tcBorders>
                  <w:vAlign w:val="center"/>
                </w:tcPr>
                <w:p w14:paraId="5947A4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bCs/>
                      <w:color w:val="auto"/>
                      <w:sz w:val="21"/>
                      <w:szCs w:val="21"/>
                    </w:rPr>
                    <w:t>单回</w:t>
                  </w:r>
                </w:p>
              </w:tc>
            </w:tr>
            <w:tr w14:paraId="0AAA71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3C4496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8A0BF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新建线路路径</w:t>
                  </w:r>
                </w:p>
              </w:tc>
              <w:tc>
                <w:tcPr>
                  <w:tcW w:w="6490" w:type="dxa"/>
                  <w:tcBorders>
                    <w:top w:val="single" w:color="auto" w:sz="4" w:space="0"/>
                    <w:left w:val="single" w:color="auto" w:sz="4" w:space="0"/>
                    <w:bottom w:val="single" w:color="auto" w:sz="4" w:space="0"/>
                    <w:right w:val="single" w:color="auto" w:sz="4" w:space="0"/>
                  </w:tcBorders>
                  <w:vAlign w:val="center"/>
                </w:tcPr>
                <w:p w14:paraId="049220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新建110kV单回架空线路长4.1km</w:t>
                  </w:r>
                </w:p>
              </w:tc>
            </w:tr>
            <w:tr w14:paraId="3DA9EF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33B7C1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34023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导线型号</w:t>
                  </w:r>
                </w:p>
              </w:tc>
              <w:tc>
                <w:tcPr>
                  <w:tcW w:w="6490" w:type="dxa"/>
                  <w:tcBorders>
                    <w:top w:val="single" w:color="auto" w:sz="4" w:space="0"/>
                    <w:left w:val="single" w:color="auto" w:sz="4" w:space="0"/>
                    <w:bottom w:val="single" w:color="auto" w:sz="4" w:space="0"/>
                    <w:right w:val="single" w:color="auto" w:sz="4" w:space="0"/>
                  </w:tcBorders>
                  <w:vAlign w:val="center"/>
                </w:tcPr>
                <w:p w14:paraId="724A8E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JL/G1A-185/30</w:t>
                  </w:r>
                </w:p>
              </w:tc>
            </w:tr>
            <w:tr w14:paraId="4CA4083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622780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0ABA0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排列方式</w:t>
                  </w:r>
                </w:p>
              </w:tc>
              <w:tc>
                <w:tcPr>
                  <w:tcW w:w="6490" w:type="dxa"/>
                  <w:tcBorders>
                    <w:top w:val="single" w:color="auto" w:sz="4" w:space="0"/>
                    <w:left w:val="single" w:color="auto" w:sz="4" w:space="0"/>
                    <w:bottom w:val="single" w:color="auto" w:sz="4" w:space="0"/>
                    <w:right w:val="single" w:color="auto" w:sz="4" w:space="0"/>
                  </w:tcBorders>
                  <w:vAlign w:val="center"/>
                </w:tcPr>
                <w:p w14:paraId="5E32BB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三角排列</w:t>
                  </w:r>
                </w:p>
              </w:tc>
            </w:tr>
            <w:tr w14:paraId="7C3DC0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7DFDAC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30C77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杆塔数</w:t>
                  </w:r>
                </w:p>
              </w:tc>
              <w:tc>
                <w:tcPr>
                  <w:tcW w:w="6490" w:type="dxa"/>
                  <w:tcBorders>
                    <w:top w:val="single" w:color="auto" w:sz="4" w:space="0"/>
                    <w:left w:val="single" w:color="auto" w:sz="4" w:space="0"/>
                    <w:bottom w:val="single" w:color="auto" w:sz="4" w:space="0"/>
                    <w:right w:val="single" w:color="auto" w:sz="4" w:space="0"/>
                  </w:tcBorders>
                  <w:vAlign w:val="center"/>
                </w:tcPr>
                <w:p w14:paraId="0B0EC1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bCs/>
                      <w:color w:val="auto"/>
                      <w:sz w:val="21"/>
                      <w:szCs w:val="21"/>
                    </w:rPr>
                    <w:t>本期新建10基杆塔，利旧2基杆塔（原3号、12号）</w:t>
                  </w:r>
                </w:p>
              </w:tc>
            </w:tr>
            <w:tr w14:paraId="1A6A2F9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53922C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A64BA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新建</w:t>
                  </w:r>
                  <w:r>
                    <w:rPr>
                      <w:color w:val="auto"/>
                      <w:sz w:val="21"/>
                      <w:szCs w:val="21"/>
                    </w:rPr>
                    <w:t>线路设计导线对地高度</w:t>
                  </w:r>
                </w:p>
              </w:tc>
              <w:tc>
                <w:tcPr>
                  <w:tcW w:w="6490" w:type="dxa"/>
                  <w:tcBorders>
                    <w:top w:val="single" w:color="auto" w:sz="4" w:space="0"/>
                    <w:left w:val="single" w:color="auto" w:sz="4" w:space="0"/>
                    <w:bottom w:val="single" w:color="auto" w:sz="4" w:space="0"/>
                    <w:right w:val="single" w:color="auto" w:sz="4" w:space="0"/>
                  </w:tcBorders>
                  <w:vAlign w:val="center"/>
                </w:tcPr>
                <w:p w14:paraId="4916C0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bCs/>
                      <w:color w:val="auto"/>
                      <w:sz w:val="21"/>
                      <w:szCs w:val="21"/>
                    </w:rPr>
                  </w:pPr>
                  <w:r>
                    <w:rPr>
                      <w:bCs/>
                      <w:color w:val="auto"/>
                      <w:sz w:val="21"/>
                      <w:szCs w:val="21"/>
                    </w:rPr>
                    <w:t>最低约20m</w:t>
                  </w:r>
                </w:p>
              </w:tc>
            </w:tr>
            <w:tr w14:paraId="2FD6A3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12B910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3D56A7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占地面积</w:t>
                  </w:r>
                </w:p>
              </w:tc>
              <w:tc>
                <w:tcPr>
                  <w:tcW w:w="6490" w:type="dxa"/>
                  <w:tcBorders>
                    <w:top w:val="single" w:color="auto" w:sz="4" w:space="0"/>
                    <w:left w:val="single" w:color="auto" w:sz="4" w:space="0"/>
                    <w:bottom w:val="single" w:color="auto" w:sz="4" w:space="0"/>
                    <w:right w:val="single" w:color="auto" w:sz="4" w:space="0"/>
                  </w:tcBorders>
                  <w:vAlign w:val="center"/>
                </w:tcPr>
                <w:p w14:paraId="579714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bCs/>
                      <w:color w:val="auto"/>
                      <w:sz w:val="21"/>
                      <w:szCs w:val="21"/>
                    </w:rPr>
                  </w:pPr>
                  <w:r>
                    <w:rPr>
                      <w:bCs/>
                      <w:color w:val="auto"/>
                      <w:sz w:val="21"/>
                      <w:szCs w:val="21"/>
                    </w:rPr>
                    <w:t>永久占地约704m</w:t>
                  </w:r>
                  <w:r>
                    <w:rPr>
                      <w:bCs/>
                      <w:color w:val="auto"/>
                      <w:sz w:val="21"/>
                      <w:szCs w:val="21"/>
                      <w:vertAlign w:val="superscript"/>
                    </w:rPr>
                    <w:t>3</w:t>
                  </w:r>
                  <w:r>
                    <w:rPr>
                      <w:bCs/>
                      <w:color w:val="auto"/>
                      <w:sz w:val="21"/>
                      <w:szCs w:val="21"/>
                    </w:rPr>
                    <w:t>，临时占地约1000 m</w:t>
                  </w:r>
                  <w:r>
                    <w:rPr>
                      <w:bCs/>
                      <w:color w:val="auto"/>
                      <w:sz w:val="21"/>
                      <w:szCs w:val="21"/>
                      <w:vertAlign w:val="superscript"/>
                    </w:rPr>
                    <w:t>3</w:t>
                  </w:r>
                </w:p>
              </w:tc>
            </w:tr>
            <w:tr w14:paraId="144790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 w:hRule="atLeast"/>
                <w:jc w:val="center"/>
              </w:trPr>
              <w:tc>
                <w:tcPr>
                  <w:tcW w:w="804" w:type="dxa"/>
                  <w:vMerge w:val="continue"/>
                  <w:tcBorders>
                    <w:left w:val="single" w:color="auto" w:sz="4" w:space="0"/>
                    <w:right w:val="single" w:color="auto" w:sz="4" w:space="0"/>
                  </w:tcBorders>
                  <w:vAlign w:val="center"/>
                </w:tcPr>
                <w:p w14:paraId="03CB5B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0D805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土石方量</w:t>
                  </w:r>
                </w:p>
              </w:tc>
              <w:tc>
                <w:tcPr>
                  <w:tcW w:w="6490" w:type="dxa"/>
                  <w:tcBorders>
                    <w:top w:val="single" w:color="auto" w:sz="4" w:space="0"/>
                    <w:left w:val="single" w:color="auto" w:sz="4" w:space="0"/>
                    <w:bottom w:val="single" w:color="auto" w:sz="4" w:space="0"/>
                    <w:right w:val="single" w:color="auto" w:sz="4" w:space="0"/>
                  </w:tcBorders>
                  <w:vAlign w:val="center"/>
                </w:tcPr>
                <w:p w14:paraId="1D6E0A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bCs/>
                      <w:color w:val="auto"/>
                      <w:sz w:val="21"/>
                      <w:szCs w:val="21"/>
                    </w:rPr>
                  </w:pPr>
                  <w:r>
                    <w:rPr>
                      <w:color w:val="auto"/>
                      <w:sz w:val="21"/>
                      <w:szCs w:val="21"/>
                    </w:rPr>
                    <w:t>挖方量共计约1000m</w:t>
                  </w:r>
                  <w:r>
                    <w:rPr>
                      <w:color w:val="auto"/>
                      <w:sz w:val="21"/>
                      <w:szCs w:val="21"/>
                      <w:vertAlign w:val="superscript"/>
                    </w:rPr>
                    <w:t>3</w:t>
                  </w:r>
                  <w:r>
                    <w:rPr>
                      <w:color w:val="auto"/>
                      <w:sz w:val="21"/>
                      <w:szCs w:val="21"/>
                    </w:rPr>
                    <w:t>，填方约700m</w:t>
                  </w:r>
                  <w:r>
                    <w:rPr>
                      <w:color w:val="auto"/>
                      <w:sz w:val="21"/>
                      <w:szCs w:val="21"/>
                      <w:vertAlign w:val="superscript"/>
                    </w:rPr>
                    <w:t>3</w:t>
                  </w:r>
                  <w:r>
                    <w:rPr>
                      <w:color w:val="auto"/>
                      <w:sz w:val="21"/>
                      <w:szCs w:val="21"/>
                    </w:rPr>
                    <w:t>，</w:t>
                  </w:r>
                  <w:r>
                    <w:rPr>
                      <w:rFonts w:hint="eastAsia"/>
                      <w:color w:val="auto"/>
                      <w:sz w:val="21"/>
                      <w:szCs w:val="21"/>
                    </w:rPr>
                    <w:t>回用方（堆砌在塔基周边）</w:t>
                  </w:r>
                  <w:r>
                    <w:rPr>
                      <w:color w:val="auto"/>
                      <w:sz w:val="21"/>
                      <w:szCs w:val="21"/>
                    </w:rPr>
                    <w:t>约300m</w:t>
                  </w:r>
                  <w:r>
                    <w:rPr>
                      <w:color w:val="auto"/>
                      <w:sz w:val="21"/>
                      <w:szCs w:val="21"/>
                      <w:vertAlign w:val="superscript"/>
                    </w:rPr>
                    <w:t>3</w:t>
                  </w:r>
                </w:p>
              </w:tc>
            </w:tr>
            <w:tr w14:paraId="347281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38" w:hRule="atLeast"/>
                <w:jc w:val="center"/>
              </w:trPr>
              <w:tc>
                <w:tcPr>
                  <w:tcW w:w="804" w:type="dxa"/>
                  <w:tcBorders>
                    <w:left w:val="single" w:color="auto" w:sz="4" w:space="0"/>
                    <w:right w:val="single" w:color="auto" w:sz="4" w:space="0"/>
                  </w:tcBorders>
                  <w:vAlign w:val="center"/>
                </w:tcPr>
                <w:p w14:paraId="634A22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调整线路弧垂</w:t>
                  </w:r>
                </w:p>
              </w:tc>
              <w:tc>
                <w:tcPr>
                  <w:tcW w:w="8002" w:type="dxa"/>
                  <w:gridSpan w:val="2"/>
                  <w:tcBorders>
                    <w:top w:val="single" w:color="auto" w:sz="4" w:space="0"/>
                    <w:left w:val="single" w:color="auto" w:sz="4" w:space="0"/>
                    <w:bottom w:val="single" w:color="auto" w:sz="4" w:space="0"/>
                    <w:right w:val="single" w:color="auto" w:sz="4" w:space="0"/>
                  </w:tcBorders>
                  <w:vAlign w:val="center"/>
                </w:tcPr>
                <w:p w14:paraId="6F1C9B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bCs/>
                      <w:color w:val="auto"/>
                      <w:sz w:val="21"/>
                      <w:szCs w:val="21"/>
                    </w:rPr>
                  </w:pPr>
                  <w:r>
                    <w:rPr>
                      <w:bCs/>
                      <w:color w:val="auto"/>
                      <w:sz w:val="21"/>
                      <w:szCs w:val="21"/>
                    </w:rPr>
                    <w:t>①调整原110kV油华线3号塔至本期新建N4号塔段线路弧垂约0.2km（弧垂较原线路抬高约</w:t>
                  </w:r>
                  <w:r>
                    <w:rPr>
                      <w:rFonts w:hint="eastAsia"/>
                      <w:bCs/>
                      <w:color w:val="auto"/>
                      <w:sz w:val="21"/>
                      <w:szCs w:val="21"/>
                    </w:rPr>
                    <w:t>1~</w:t>
                  </w:r>
                  <w:r>
                    <w:rPr>
                      <w:bCs/>
                      <w:color w:val="auto"/>
                      <w:sz w:val="21"/>
                      <w:szCs w:val="21"/>
                    </w:rPr>
                    <w:t>2m）；</w:t>
                  </w:r>
                </w:p>
                <w:p w14:paraId="3D8BAC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bCs/>
                      <w:color w:val="auto"/>
                      <w:sz w:val="21"/>
                      <w:szCs w:val="21"/>
                    </w:rPr>
                    <w:t>②调整本期新建N</w:t>
                  </w:r>
                  <w:r>
                    <w:rPr>
                      <w:rFonts w:hint="eastAsia"/>
                      <w:bCs/>
                      <w:color w:val="auto"/>
                      <w:sz w:val="21"/>
                      <w:szCs w:val="21"/>
                    </w:rPr>
                    <w:t>13</w:t>
                  </w:r>
                  <w:r>
                    <w:rPr>
                      <w:bCs/>
                      <w:color w:val="auto"/>
                      <w:sz w:val="21"/>
                      <w:szCs w:val="21"/>
                    </w:rPr>
                    <w:t>号塔至原110kV油华线</w:t>
                  </w:r>
                  <w:r>
                    <w:rPr>
                      <w:rFonts w:hint="eastAsia"/>
                      <w:bCs/>
                      <w:color w:val="auto"/>
                      <w:sz w:val="21"/>
                      <w:szCs w:val="21"/>
                    </w:rPr>
                    <w:t>12</w:t>
                  </w:r>
                  <w:r>
                    <w:rPr>
                      <w:bCs/>
                      <w:color w:val="auto"/>
                      <w:sz w:val="21"/>
                      <w:szCs w:val="21"/>
                    </w:rPr>
                    <w:t>号段线路弧垂约0.3km（弧垂较原线路抬高约</w:t>
                  </w:r>
                  <w:r>
                    <w:rPr>
                      <w:rFonts w:hint="eastAsia"/>
                      <w:bCs/>
                      <w:color w:val="auto"/>
                      <w:sz w:val="21"/>
                      <w:szCs w:val="21"/>
                    </w:rPr>
                    <w:t>1~</w:t>
                  </w:r>
                  <w:r>
                    <w:rPr>
                      <w:bCs/>
                      <w:color w:val="auto"/>
                      <w:sz w:val="21"/>
                      <w:szCs w:val="21"/>
                    </w:rPr>
                    <w:t>2m）</w:t>
                  </w:r>
                </w:p>
              </w:tc>
            </w:tr>
            <w:tr w14:paraId="5E6575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57" w:hRule="atLeast"/>
                <w:jc w:val="center"/>
              </w:trPr>
              <w:tc>
                <w:tcPr>
                  <w:tcW w:w="804" w:type="dxa"/>
                  <w:tcBorders>
                    <w:left w:val="single" w:color="auto" w:sz="4" w:space="0"/>
                    <w:right w:val="single" w:color="auto" w:sz="4" w:space="0"/>
                  </w:tcBorders>
                  <w:vAlign w:val="center"/>
                </w:tcPr>
                <w:p w14:paraId="02C992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拆除工程</w:t>
                  </w:r>
                </w:p>
              </w:tc>
              <w:tc>
                <w:tcPr>
                  <w:tcW w:w="8002" w:type="dxa"/>
                  <w:gridSpan w:val="2"/>
                  <w:tcBorders>
                    <w:top w:val="single" w:color="auto" w:sz="4" w:space="0"/>
                    <w:left w:val="single" w:color="auto" w:sz="4" w:space="0"/>
                    <w:bottom w:val="single" w:color="auto" w:sz="4" w:space="0"/>
                    <w:right w:val="single" w:color="auto" w:sz="4" w:space="0"/>
                  </w:tcBorders>
                  <w:vAlign w:val="center"/>
                </w:tcPr>
                <w:p w14:paraId="75A8EA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拆除原110kV油华线4号至11号段线路约3.4km，拆除5基角钢塔，3基水泥杆</w:t>
                  </w:r>
                </w:p>
              </w:tc>
            </w:tr>
            <w:tr w14:paraId="53E6B3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804" w:type="dxa"/>
                  <w:vMerge w:val="restart"/>
                  <w:tcBorders>
                    <w:left w:val="single" w:color="auto" w:sz="4" w:space="0"/>
                    <w:right w:val="single" w:color="auto" w:sz="4" w:space="0"/>
                  </w:tcBorders>
                  <w:vAlign w:val="center"/>
                </w:tcPr>
                <w:p w14:paraId="5755DA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临时工程</w:t>
                  </w:r>
                </w:p>
              </w:tc>
              <w:tc>
                <w:tcPr>
                  <w:tcW w:w="1512" w:type="dxa"/>
                  <w:tcBorders>
                    <w:top w:val="single" w:color="auto" w:sz="4" w:space="0"/>
                    <w:left w:val="single" w:color="auto" w:sz="4" w:space="0"/>
                    <w:bottom w:val="single" w:color="auto" w:sz="4" w:space="0"/>
                    <w:right w:val="single" w:color="auto" w:sz="4" w:space="0"/>
                  </w:tcBorders>
                  <w:vAlign w:val="center"/>
                </w:tcPr>
                <w:p w14:paraId="459608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牵张场</w:t>
                  </w:r>
                </w:p>
              </w:tc>
              <w:tc>
                <w:tcPr>
                  <w:tcW w:w="6490" w:type="dxa"/>
                  <w:tcBorders>
                    <w:top w:val="single" w:color="auto" w:sz="4" w:space="0"/>
                    <w:left w:val="single" w:color="auto" w:sz="4" w:space="0"/>
                    <w:bottom w:val="single" w:color="auto" w:sz="4" w:space="0"/>
                    <w:right w:val="single" w:color="auto" w:sz="4" w:space="0"/>
                  </w:tcBorders>
                  <w:vAlign w:val="center"/>
                </w:tcPr>
                <w:p w14:paraId="7BC99B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因线路路径较短，本项目设2个牵张场</w:t>
                  </w:r>
                </w:p>
              </w:tc>
            </w:tr>
            <w:tr w14:paraId="295732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804" w:type="dxa"/>
                  <w:vMerge w:val="continue"/>
                  <w:tcBorders>
                    <w:left w:val="single" w:color="auto" w:sz="4" w:space="0"/>
                    <w:right w:val="single" w:color="auto" w:sz="4" w:space="0"/>
                  </w:tcBorders>
                  <w:vAlign w:val="center"/>
                </w:tcPr>
                <w:p w14:paraId="0491F8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43159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生活区布置</w:t>
                  </w:r>
                </w:p>
              </w:tc>
              <w:tc>
                <w:tcPr>
                  <w:tcW w:w="6490" w:type="dxa"/>
                  <w:tcBorders>
                    <w:top w:val="single" w:color="auto" w:sz="4" w:space="0"/>
                    <w:left w:val="single" w:color="auto" w:sz="4" w:space="0"/>
                    <w:bottom w:val="single" w:color="auto" w:sz="4" w:space="0"/>
                    <w:right w:val="single" w:color="auto" w:sz="4" w:space="0"/>
                  </w:tcBorders>
                  <w:vAlign w:val="center"/>
                </w:tcPr>
                <w:p w14:paraId="30CBCE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就近租用项目周边民房，不另设施工营地</w:t>
                  </w:r>
                </w:p>
              </w:tc>
            </w:tr>
            <w:tr w14:paraId="5710090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804" w:type="dxa"/>
                  <w:vMerge w:val="continue"/>
                  <w:tcBorders>
                    <w:left w:val="single" w:color="auto" w:sz="4" w:space="0"/>
                    <w:right w:val="single" w:color="auto" w:sz="4" w:space="0"/>
                  </w:tcBorders>
                  <w:vAlign w:val="center"/>
                </w:tcPr>
                <w:p w14:paraId="3C295E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6A04A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 w:val="21"/>
                      <w:szCs w:val="21"/>
                    </w:rPr>
                  </w:pPr>
                  <w:r>
                    <w:rPr>
                      <w:color w:val="auto"/>
                      <w:sz w:val="21"/>
                      <w:szCs w:val="21"/>
                    </w:rPr>
                    <w:t>施工便道</w:t>
                  </w:r>
                </w:p>
              </w:tc>
              <w:tc>
                <w:tcPr>
                  <w:tcW w:w="6490" w:type="dxa"/>
                  <w:tcBorders>
                    <w:top w:val="single" w:color="auto" w:sz="4" w:space="0"/>
                    <w:left w:val="single" w:color="auto" w:sz="4" w:space="0"/>
                    <w:bottom w:val="single" w:color="auto" w:sz="4" w:space="0"/>
                    <w:right w:val="single" w:color="auto" w:sz="4" w:space="0"/>
                  </w:tcBorders>
                  <w:vAlign w:val="center"/>
                </w:tcPr>
                <w:p w14:paraId="5F237E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color w:val="auto"/>
                      <w:sz w:val="21"/>
                      <w:szCs w:val="21"/>
                    </w:rPr>
                  </w:pPr>
                  <w:r>
                    <w:rPr>
                      <w:color w:val="auto"/>
                      <w:sz w:val="21"/>
                      <w:szCs w:val="21"/>
                    </w:rPr>
                    <w:t>施工期尽量利用现有道路，在交通不便区域采用人背马驮方式，不需新辟施工便道</w:t>
                  </w:r>
                </w:p>
              </w:tc>
            </w:tr>
          </w:tbl>
          <w:p w14:paraId="4D9349F5">
            <w:pPr>
              <w:widowControl/>
              <w:adjustRightInd w:val="0"/>
              <w:snapToGrid w:val="0"/>
              <w:spacing w:line="360" w:lineRule="auto"/>
              <w:jc w:val="left"/>
              <w:rPr>
                <w:b/>
                <w:bCs/>
                <w:color w:val="auto"/>
                <w:kern w:val="0"/>
                <w:sz w:val="24"/>
                <w:lang w:bidi="en-US"/>
              </w:rPr>
            </w:pPr>
          </w:p>
          <w:p w14:paraId="65461919">
            <w:pPr>
              <w:widowControl/>
              <w:adjustRightInd w:val="0"/>
              <w:snapToGrid w:val="0"/>
              <w:spacing w:line="360" w:lineRule="auto"/>
              <w:jc w:val="left"/>
              <w:rPr>
                <w:b/>
                <w:bCs/>
                <w:color w:val="auto"/>
                <w:kern w:val="0"/>
                <w:sz w:val="24"/>
                <w:lang w:bidi="en-US"/>
              </w:rPr>
            </w:pPr>
            <w:r>
              <w:rPr>
                <w:b/>
                <w:bCs/>
                <w:color w:val="auto"/>
                <w:kern w:val="0"/>
                <w:sz w:val="24"/>
                <w:lang w:bidi="en-US"/>
              </w:rPr>
              <w:t>2.1线路主要交叉跨越</w:t>
            </w:r>
          </w:p>
          <w:p w14:paraId="3E44FF78">
            <w:pPr>
              <w:widowControl/>
              <w:adjustRightInd w:val="0"/>
              <w:snapToGrid w:val="0"/>
              <w:spacing w:line="360" w:lineRule="auto"/>
              <w:ind w:firstLine="480" w:firstLineChars="200"/>
              <w:jc w:val="left"/>
              <w:rPr>
                <w:b/>
                <w:color w:val="auto"/>
                <w:kern w:val="0"/>
                <w:sz w:val="24"/>
                <w:lang w:bidi="en-US"/>
              </w:rPr>
            </w:pPr>
            <w:r>
              <w:rPr>
                <w:bCs/>
                <w:color w:val="auto"/>
                <w:kern w:val="0"/>
                <w:sz w:val="24"/>
                <w:lang w:bidi="en-US"/>
              </w:rPr>
              <w:t xml:space="preserve">根据设计资料，本项目主要交叉跨越见下表2-2。 </w:t>
            </w:r>
          </w:p>
          <w:p w14:paraId="6B4C0700">
            <w:pPr>
              <w:widowControl/>
              <w:adjustRightInd w:val="0"/>
              <w:snapToGrid w:val="0"/>
              <w:spacing w:line="360" w:lineRule="auto"/>
              <w:ind w:firstLine="482" w:firstLineChars="200"/>
              <w:jc w:val="center"/>
              <w:rPr>
                <w:b/>
                <w:color w:val="auto"/>
                <w:kern w:val="0"/>
                <w:sz w:val="24"/>
                <w:lang w:bidi="en-US"/>
              </w:rPr>
            </w:pPr>
            <w:r>
              <w:rPr>
                <w:b/>
                <w:color w:val="auto"/>
                <w:kern w:val="0"/>
                <w:sz w:val="24"/>
                <w:lang w:bidi="en-US"/>
              </w:rPr>
              <w:t>表2-2 新建线路主要交叉跨越一览表</w:t>
            </w:r>
          </w:p>
          <w:tbl>
            <w:tblPr>
              <w:tblStyle w:val="27"/>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115"/>
              <w:gridCol w:w="3426"/>
            </w:tblGrid>
            <w:tr w14:paraId="1675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5" w:type="dxa"/>
                  <w:vAlign w:val="center"/>
                </w:tcPr>
                <w:p w14:paraId="1D9ABAAE">
                  <w:pPr>
                    <w:pStyle w:val="97"/>
                    <w:adjustRightInd w:val="0"/>
                    <w:snapToGrid w:val="0"/>
                    <w:rPr>
                      <w:color w:val="auto"/>
                      <w:sz w:val="21"/>
                      <w:szCs w:val="21"/>
                    </w:rPr>
                  </w:pPr>
                  <w:r>
                    <w:rPr>
                      <w:color w:val="auto"/>
                      <w:sz w:val="21"/>
                      <w:szCs w:val="21"/>
                    </w:rPr>
                    <w:t>跨越项目</w:t>
                  </w:r>
                </w:p>
              </w:tc>
              <w:tc>
                <w:tcPr>
                  <w:tcW w:w="3115" w:type="dxa"/>
                  <w:vAlign w:val="center"/>
                </w:tcPr>
                <w:p w14:paraId="13B2372E">
                  <w:pPr>
                    <w:pStyle w:val="97"/>
                    <w:adjustRightInd w:val="0"/>
                    <w:snapToGrid w:val="0"/>
                    <w:rPr>
                      <w:color w:val="auto"/>
                      <w:sz w:val="21"/>
                      <w:szCs w:val="21"/>
                    </w:rPr>
                  </w:pPr>
                  <w:r>
                    <w:rPr>
                      <w:color w:val="auto"/>
                      <w:sz w:val="21"/>
                      <w:szCs w:val="21"/>
                    </w:rPr>
                    <w:t>交叉次数</w:t>
                  </w:r>
                </w:p>
              </w:tc>
              <w:tc>
                <w:tcPr>
                  <w:tcW w:w="3426" w:type="dxa"/>
                  <w:vAlign w:val="center"/>
                </w:tcPr>
                <w:p w14:paraId="162DED13">
                  <w:pPr>
                    <w:pStyle w:val="97"/>
                    <w:adjustRightInd w:val="0"/>
                    <w:snapToGrid w:val="0"/>
                    <w:rPr>
                      <w:color w:val="auto"/>
                      <w:sz w:val="21"/>
                      <w:szCs w:val="21"/>
                    </w:rPr>
                  </w:pPr>
                  <w:r>
                    <w:rPr>
                      <w:color w:val="auto"/>
                      <w:sz w:val="21"/>
                      <w:szCs w:val="21"/>
                    </w:rPr>
                    <w:t>设计规范要求净空距离</w:t>
                  </w:r>
                </w:p>
              </w:tc>
            </w:tr>
            <w:tr w14:paraId="2DFE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1554A7BA">
                  <w:pPr>
                    <w:pStyle w:val="97"/>
                    <w:adjustRightInd w:val="0"/>
                    <w:snapToGrid w:val="0"/>
                    <w:rPr>
                      <w:color w:val="auto"/>
                      <w:sz w:val="21"/>
                      <w:szCs w:val="21"/>
                    </w:rPr>
                  </w:pPr>
                  <w:r>
                    <w:rPr>
                      <w:color w:val="auto"/>
                      <w:sz w:val="21"/>
                      <w:szCs w:val="21"/>
                    </w:rPr>
                    <w:t>110kV线路</w:t>
                  </w:r>
                </w:p>
              </w:tc>
              <w:tc>
                <w:tcPr>
                  <w:tcW w:w="3115" w:type="dxa"/>
                  <w:vAlign w:val="center"/>
                </w:tcPr>
                <w:p w14:paraId="574FC946">
                  <w:pPr>
                    <w:pStyle w:val="83"/>
                    <w:snapToGrid w:val="0"/>
                    <w:textAlignment w:val="auto"/>
                    <w:rPr>
                      <w:rFonts w:eastAsia="宋体"/>
                      <w:color w:val="auto"/>
                      <w:sz w:val="21"/>
                      <w:szCs w:val="21"/>
                    </w:rPr>
                  </w:pPr>
                  <w:r>
                    <w:rPr>
                      <w:rFonts w:eastAsia="宋体"/>
                      <w:color w:val="auto"/>
                      <w:sz w:val="21"/>
                      <w:szCs w:val="21"/>
                    </w:rPr>
                    <w:t>跨越110kV油老线2次</w:t>
                  </w:r>
                </w:p>
              </w:tc>
              <w:tc>
                <w:tcPr>
                  <w:tcW w:w="3426" w:type="dxa"/>
                  <w:vAlign w:val="center"/>
                </w:tcPr>
                <w:p w14:paraId="4560DF73">
                  <w:pPr>
                    <w:pStyle w:val="97"/>
                    <w:adjustRightInd w:val="0"/>
                    <w:snapToGrid w:val="0"/>
                    <w:rPr>
                      <w:color w:val="auto"/>
                      <w:sz w:val="21"/>
                      <w:szCs w:val="21"/>
                    </w:rPr>
                  </w:pPr>
                  <w:r>
                    <w:rPr>
                      <w:color w:val="auto"/>
                      <w:sz w:val="21"/>
                      <w:szCs w:val="21"/>
                    </w:rPr>
                    <w:t>不低于3m</w:t>
                  </w:r>
                </w:p>
              </w:tc>
            </w:tr>
            <w:tr w14:paraId="282C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0B0739D1">
                  <w:pPr>
                    <w:pStyle w:val="97"/>
                    <w:adjustRightInd w:val="0"/>
                    <w:snapToGrid w:val="0"/>
                    <w:rPr>
                      <w:color w:val="auto"/>
                      <w:sz w:val="21"/>
                      <w:szCs w:val="21"/>
                    </w:rPr>
                  </w:pPr>
                  <w:r>
                    <w:rPr>
                      <w:color w:val="auto"/>
                      <w:sz w:val="21"/>
                      <w:szCs w:val="21"/>
                    </w:rPr>
                    <w:t>35kV线路</w:t>
                  </w:r>
                </w:p>
              </w:tc>
              <w:tc>
                <w:tcPr>
                  <w:tcW w:w="3115" w:type="dxa"/>
                  <w:vAlign w:val="center"/>
                </w:tcPr>
                <w:p w14:paraId="57A20211">
                  <w:pPr>
                    <w:pStyle w:val="83"/>
                    <w:snapToGrid w:val="0"/>
                    <w:textAlignment w:val="auto"/>
                    <w:rPr>
                      <w:rFonts w:eastAsia="宋体"/>
                      <w:color w:val="auto"/>
                      <w:sz w:val="21"/>
                      <w:szCs w:val="21"/>
                    </w:rPr>
                  </w:pPr>
                  <w:r>
                    <w:rPr>
                      <w:rFonts w:eastAsia="宋体"/>
                      <w:color w:val="auto"/>
                      <w:sz w:val="21"/>
                      <w:szCs w:val="21"/>
                    </w:rPr>
                    <w:t>1次</w:t>
                  </w:r>
                </w:p>
              </w:tc>
              <w:tc>
                <w:tcPr>
                  <w:tcW w:w="3426" w:type="dxa"/>
                  <w:vAlign w:val="center"/>
                </w:tcPr>
                <w:p w14:paraId="7EDCA7CC">
                  <w:pPr>
                    <w:pStyle w:val="97"/>
                    <w:adjustRightInd w:val="0"/>
                    <w:snapToGrid w:val="0"/>
                    <w:rPr>
                      <w:color w:val="auto"/>
                      <w:sz w:val="21"/>
                      <w:szCs w:val="21"/>
                    </w:rPr>
                  </w:pPr>
                  <w:r>
                    <w:rPr>
                      <w:color w:val="auto"/>
                      <w:sz w:val="21"/>
                      <w:szCs w:val="21"/>
                    </w:rPr>
                    <w:t>不低于3m</w:t>
                  </w:r>
                </w:p>
              </w:tc>
            </w:tr>
            <w:tr w14:paraId="0FB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5EF2CD2C">
                  <w:pPr>
                    <w:pStyle w:val="97"/>
                    <w:adjustRightInd w:val="0"/>
                    <w:snapToGrid w:val="0"/>
                    <w:rPr>
                      <w:color w:val="auto"/>
                      <w:sz w:val="21"/>
                      <w:szCs w:val="21"/>
                    </w:rPr>
                  </w:pPr>
                  <w:r>
                    <w:rPr>
                      <w:color w:val="auto"/>
                      <w:sz w:val="21"/>
                      <w:szCs w:val="21"/>
                    </w:rPr>
                    <w:t>10kV线路</w:t>
                  </w:r>
                </w:p>
              </w:tc>
              <w:tc>
                <w:tcPr>
                  <w:tcW w:w="3115" w:type="dxa"/>
                  <w:vAlign w:val="center"/>
                </w:tcPr>
                <w:p w14:paraId="7CAB57B9">
                  <w:pPr>
                    <w:pStyle w:val="83"/>
                    <w:snapToGrid w:val="0"/>
                    <w:textAlignment w:val="auto"/>
                    <w:rPr>
                      <w:rFonts w:eastAsia="宋体"/>
                      <w:color w:val="auto"/>
                      <w:sz w:val="21"/>
                      <w:szCs w:val="21"/>
                    </w:rPr>
                  </w:pPr>
                  <w:r>
                    <w:rPr>
                      <w:rFonts w:eastAsia="宋体"/>
                      <w:color w:val="auto"/>
                      <w:sz w:val="21"/>
                      <w:szCs w:val="21"/>
                    </w:rPr>
                    <w:t>3次</w:t>
                  </w:r>
                </w:p>
              </w:tc>
              <w:tc>
                <w:tcPr>
                  <w:tcW w:w="3426" w:type="dxa"/>
                  <w:vAlign w:val="center"/>
                </w:tcPr>
                <w:p w14:paraId="70609A53">
                  <w:pPr>
                    <w:pStyle w:val="97"/>
                    <w:adjustRightInd w:val="0"/>
                    <w:snapToGrid w:val="0"/>
                    <w:rPr>
                      <w:color w:val="auto"/>
                      <w:sz w:val="21"/>
                      <w:szCs w:val="21"/>
                    </w:rPr>
                  </w:pPr>
                  <w:r>
                    <w:rPr>
                      <w:color w:val="auto"/>
                      <w:sz w:val="21"/>
                      <w:szCs w:val="21"/>
                    </w:rPr>
                    <w:t>不低于3m</w:t>
                  </w:r>
                </w:p>
              </w:tc>
            </w:tr>
            <w:tr w14:paraId="056E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3748C5BC">
                  <w:pPr>
                    <w:pStyle w:val="97"/>
                    <w:adjustRightInd w:val="0"/>
                    <w:snapToGrid w:val="0"/>
                    <w:rPr>
                      <w:color w:val="auto"/>
                      <w:sz w:val="21"/>
                      <w:szCs w:val="21"/>
                    </w:rPr>
                  </w:pPr>
                  <w:r>
                    <w:rPr>
                      <w:color w:val="auto"/>
                      <w:sz w:val="21"/>
                      <w:szCs w:val="21"/>
                    </w:rPr>
                    <w:t>一般公路</w:t>
                  </w:r>
                </w:p>
              </w:tc>
              <w:tc>
                <w:tcPr>
                  <w:tcW w:w="3115" w:type="dxa"/>
                  <w:vAlign w:val="center"/>
                </w:tcPr>
                <w:p w14:paraId="32A8B378">
                  <w:pPr>
                    <w:pStyle w:val="83"/>
                    <w:snapToGrid w:val="0"/>
                    <w:textAlignment w:val="auto"/>
                    <w:rPr>
                      <w:rFonts w:eastAsia="宋体"/>
                      <w:color w:val="auto"/>
                      <w:sz w:val="21"/>
                      <w:szCs w:val="21"/>
                    </w:rPr>
                  </w:pPr>
                  <w:r>
                    <w:rPr>
                      <w:rFonts w:eastAsia="宋体"/>
                      <w:color w:val="auto"/>
                      <w:sz w:val="21"/>
                      <w:szCs w:val="21"/>
                    </w:rPr>
                    <w:t>3次</w:t>
                  </w:r>
                </w:p>
              </w:tc>
              <w:tc>
                <w:tcPr>
                  <w:tcW w:w="3426" w:type="dxa"/>
                  <w:vAlign w:val="center"/>
                </w:tcPr>
                <w:p w14:paraId="46285BD3">
                  <w:pPr>
                    <w:adjustRightInd w:val="0"/>
                    <w:snapToGrid w:val="0"/>
                    <w:jc w:val="center"/>
                    <w:rPr>
                      <w:color w:val="auto"/>
                      <w:sz w:val="21"/>
                      <w:szCs w:val="21"/>
                    </w:rPr>
                  </w:pPr>
                  <w:r>
                    <w:rPr>
                      <w:color w:val="auto"/>
                      <w:sz w:val="21"/>
                      <w:szCs w:val="21"/>
                    </w:rPr>
                    <w:t>不低于7m</w:t>
                  </w:r>
                </w:p>
              </w:tc>
            </w:tr>
          </w:tbl>
          <w:p w14:paraId="560B567F">
            <w:pPr>
              <w:tabs>
                <w:tab w:val="left" w:pos="7200"/>
              </w:tabs>
              <w:autoSpaceDE w:val="0"/>
              <w:autoSpaceDN w:val="0"/>
              <w:spacing w:line="360" w:lineRule="auto"/>
              <w:ind w:firstLine="480" w:firstLineChars="200"/>
              <w:rPr>
                <w:b/>
                <w:bCs/>
                <w:color w:val="auto"/>
                <w:kern w:val="0"/>
                <w:sz w:val="24"/>
                <w:lang w:bidi="en-US"/>
              </w:rPr>
            </w:pPr>
            <w:r>
              <w:rPr>
                <w:color w:val="auto"/>
                <w:sz w:val="24"/>
              </w:rPr>
              <w:t>本项目线路交叉跨越处均满足《110kV~750kV架空输电线路设计规范》（GB50545-2010）中相关距离要求。</w:t>
            </w:r>
          </w:p>
          <w:p w14:paraId="10DED2EC">
            <w:pPr>
              <w:widowControl/>
              <w:adjustRightInd w:val="0"/>
              <w:snapToGrid w:val="0"/>
              <w:spacing w:line="360" w:lineRule="auto"/>
              <w:jc w:val="left"/>
              <w:rPr>
                <w:b/>
                <w:bCs/>
                <w:color w:val="auto"/>
                <w:kern w:val="0"/>
                <w:sz w:val="24"/>
                <w:lang w:bidi="en-US"/>
              </w:rPr>
            </w:pPr>
            <w:r>
              <w:rPr>
                <w:b/>
                <w:bCs/>
                <w:color w:val="auto"/>
                <w:kern w:val="0"/>
                <w:sz w:val="24"/>
                <w:lang w:bidi="en-US"/>
              </w:rPr>
              <w:t>2.2导线选型</w:t>
            </w:r>
          </w:p>
          <w:p w14:paraId="32328FFA">
            <w:pPr>
              <w:adjustRightInd w:val="0"/>
              <w:snapToGrid w:val="0"/>
              <w:spacing w:line="360" w:lineRule="auto"/>
              <w:ind w:firstLine="480"/>
              <w:rPr>
                <w:color w:val="auto"/>
                <w:kern w:val="0"/>
                <w:sz w:val="24"/>
                <w:lang w:bidi="en-US"/>
              </w:rPr>
            </w:pPr>
            <w:r>
              <w:rPr>
                <w:color w:val="auto"/>
                <w:kern w:val="0"/>
                <w:sz w:val="24"/>
                <w:lang w:bidi="en-US"/>
              </w:rPr>
              <w:t>根据设计资料，本工程导线为JL/G1A-185/30型钢芯铝绞线。</w:t>
            </w:r>
          </w:p>
          <w:p w14:paraId="59F11F43">
            <w:pPr>
              <w:widowControl/>
              <w:adjustRightInd w:val="0"/>
              <w:snapToGrid w:val="0"/>
              <w:spacing w:line="360" w:lineRule="auto"/>
              <w:jc w:val="left"/>
              <w:rPr>
                <w:b/>
                <w:bCs/>
                <w:color w:val="auto"/>
                <w:kern w:val="0"/>
                <w:sz w:val="24"/>
                <w:lang w:bidi="en-US"/>
              </w:rPr>
            </w:pPr>
            <w:r>
              <w:rPr>
                <w:b/>
                <w:bCs/>
                <w:color w:val="auto"/>
                <w:kern w:val="0"/>
                <w:sz w:val="24"/>
                <w:lang w:bidi="en-US"/>
              </w:rPr>
              <w:t>2.3杆塔</w:t>
            </w:r>
          </w:p>
          <w:p w14:paraId="099B96A4">
            <w:pPr>
              <w:pStyle w:val="47"/>
              <w:snapToGrid w:val="0"/>
              <w:spacing w:line="360" w:lineRule="auto"/>
              <w:rPr>
                <w:rFonts w:ascii="Times New Roman" w:hAnsi="Times New Roman" w:cs="Times New Roman"/>
                <w:color w:val="auto"/>
              </w:rPr>
            </w:pPr>
            <w:bookmarkStart w:id="7" w:name="_Toc7637"/>
            <w:r>
              <w:rPr>
                <w:rStyle w:val="33"/>
                <w:rFonts w:ascii="Times New Roman" w:hAnsi="Times New Roman" w:cs="Times New Roman"/>
                <w:color w:val="auto"/>
                <w:sz w:val="24"/>
                <w:szCs w:val="24"/>
              </w:rPr>
              <w:t>根据设计资料，</w:t>
            </w:r>
            <w:r>
              <w:rPr>
                <w:rFonts w:ascii="Times New Roman" w:hAnsi="Times New Roman" w:cs="Times New Roman"/>
                <w:bCs/>
                <w:color w:val="auto"/>
              </w:rPr>
              <w:t>本工程</w:t>
            </w:r>
            <w:r>
              <w:rPr>
                <w:rStyle w:val="33"/>
                <w:rFonts w:ascii="Times New Roman" w:hAnsi="Times New Roman" w:cs="Times New Roman"/>
                <w:color w:val="auto"/>
                <w:sz w:val="24"/>
                <w:szCs w:val="24"/>
              </w:rPr>
              <w:t>新建10基</w:t>
            </w:r>
            <w:r>
              <w:rPr>
                <w:rFonts w:ascii="Times New Roman" w:hAnsi="Times New Roman" w:cs="Times New Roman"/>
                <w:color w:val="auto"/>
              </w:rPr>
              <w:t>杆塔，本项目新建杆塔图见附图4。</w:t>
            </w:r>
            <w:bookmarkEnd w:id="7"/>
          </w:p>
          <w:p w14:paraId="6E9DB87E">
            <w:pPr>
              <w:widowControl/>
              <w:adjustRightInd w:val="0"/>
              <w:snapToGrid w:val="0"/>
              <w:spacing w:line="360" w:lineRule="auto"/>
              <w:jc w:val="center"/>
              <w:outlineLvl w:val="2"/>
              <w:rPr>
                <w:b/>
                <w:bCs/>
                <w:color w:val="auto"/>
                <w:sz w:val="24"/>
              </w:rPr>
            </w:pPr>
            <w:r>
              <w:rPr>
                <w:b/>
                <w:bCs/>
                <w:color w:val="auto"/>
                <w:sz w:val="24"/>
              </w:rPr>
              <w:t>表2-3 本项目新建杆塔基本情况一览表</w:t>
            </w:r>
          </w:p>
          <w:tbl>
            <w:tblPr>
              <w:tblStyle w:val="27"/>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4"/>
              <w:gridCol w:w="1631"/>
              <w:gridCol w:w="1502"/>
              <w:gridCol w:w="1944"/>
              <w:gridCol w:w="1975"/>
              <w:gridCol w:w="1120"/>
            </w:tblGrid>
            <w:tr w14:paraId="2EE2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73292A82">
                  <w:pPr>
                    <w:pStyle w:val="84"/>
                    <w:adjustRightInd w:val="0"/>
                    <w:snapToGrid w:val="0"/>
                    <w:spacing w:line="240" w:lineRule="auto"/>
                    <w:rPr>
                      <w:rFonts w:ascii="Times New Roman" w:hAnsi="Times New Roman"/>
                      <w:color w:val="auto"/>
                      <w:sz w:val="21"/>
                      <w:szCs w:val="21"/>
                      <w:lang w:eastAsia="zh-CN"/>
                    </w:rPr>
                  </w:pPr>
                  <w:r>
                    <w:rPr>
                      <w:rFonts w:ascii="Times New Roman" w:hAnsi="Times New Roman"/>
                      <w:color w:val="auto"/>
                      <w:sz w:val="21"/>
                      <w:szCs w:val="21"/>
                      <w:lang w:eastAsia="zh-CN"/>
                    </w:rPr>
                    <w:t>塔号</w:t>
                  </w:r>
                </w:p>
              </w:tc>
              <w:tc>
                <w:tcPr>
                  <w:tcW w:w="1631" w:type="dxa"/>
                  <w:vAlign w:val="center"/>
                </w:tcPr>
                <w:p w14:paraId="2AF67F07">
                  <w:pPr>
                    <w:pStyle w:val="84"/>
                    <w:adjustRightInd w:val="0"/>
                    <w:snapToGrid w:val="0"/>
                    <w:spacing w:line="240" w:lineRule="auto"/>
                    <w:rPr>
                      <w:rFonts w:ascii="Times New Roman" w:hAnsi="Times New Roman"/>
                      <w:color w:val="auto"/>
                      <w:sz w:val="21"/>
                      <w:szCs w:val="21"/>
                      <w:lang w:eastAsia="zh-CN"/>
                    </w:rPr>
                  </w:pPr>
                  <w:r>
                    <w:rPr>
                      <w:rFonts w:ascii="Times New Roman" w:hAnsi="Times New Roman"/>
                      <w:color w:val="auto"/>
                      <w:sz w:val="21"/>
                      <w:szCs w:val="21"/>
                      <w:lang w:eastAsia="zh-CN"/>
                    </w:rPr>
                    <w:t>塔型</w:t>
                  </w:r>
                </w:p>
              </w:tc>
              <w:tc>
                <w:tcPr>
                  <w:tcW w:w="1502" w:type="dxa"/>
                  <w:vAlign w:val="center"/>
                </w:tcPr>
                <w:p w14:paraId="6B9B4E09">
                  <w:pPr>
                    <w:pStyle w:val="84"/>
                    <w:adjustRightInd w:val="0"/>
                    <w:snapToGrid w:val="0"/>
                    <w:spacing w:line="240" w:lineRule="auto"/>
                    <w:rPr>
                      <w:rFonts w:ascii="Times New Roman" w:hAnsi="Times New Roman"/>
                      <w:color w:val="auto"/>
                      <w:sz w:val="21"/>
                      <w:szCs w:val="21"/>
                      <w:lang w:eastAsia="zh-CN"/>
                    </w:rPr>
                  </w:pPr>
                  <w:r>
                    <w:rPr>
                      <w:rFonts w:ascii="Times New Roman" w:hAnsi="Times New Roman"/>
                      <w:color w:val="auto"/>
                      <w:sz w:val="21"/>
                      <w:szCs w:val="21"/>
                      <w:lang w:eastAsia="zh-CN"/>
                    </w:rPr>
                    <w:t>呼高（m）</w:t>
                  </w:r>
                </w:p>
              </w:tc>
              <w:tc>
                <w:tcPr>
                  <w:tcW w:w="1944" w:type="dxa"/>
                  <w:vAlign w:val="center"/>
                </w:tcPr>
                <w:p w14:paraId="034A7ED7">
                  <w:pPr>
                    <w:pStyle w:val="84"/>
                    <w:adjustRightInd w:val="0"/>
                    <w:snapToGrid w:val="0"/>
                    <w:spacing w:line="240" w:lineRule="auto"/>
                    <w:rPr>
                      <w:rFonts w:ascii="Times New Roman" w:hAnsi="Times New Roman"/>
                      <w:color w:val="auto"/>
                      <w:sz w:val="21"/>
                      <w:szCs w:val="21"/>
                      <w:lang w:eastAsia="zh-CN"/>
                    </w:rPr>
                  </w:pPr>
                  <w:r>
                    <w:rPr>
                      <w:rFonts w:ascii="Times New Roman" w:hAnsi="Times New Roman"/>
                      <w:color w:val="auto"/>
                      <w:sz w:val="21"/>
                      <w:szCs w:val="21"/>
                      <w:lang w:eastAsia="zh-CN"/>
                    </w:rPr>
                    <w:t>水平档距（m）</w:t>
                  </w:r>
                </w:p>
              </w:tc>
              <w:tc>
                <w:tcPr>
                  <w:tcW w:w="1975" w:type="dxa"/>
                  <w:vAlign w:val="center"/>
                </w:tcPr>
                <w:p w14:paraId="30940A62">
                  <w:pPr>
                    <w:pStyle w:val="84"/>
                    <w:adjustRightInd w:val="0"/>
                    <w:snapToGrid w:val="0"/>
                    <w:spacing w:line="240" w:lineRule="auto"/>
                    <w:rPr>
                      <w:rFonts w:ascii="Times New Roman" w:hAnsi="Times New Roman"/>
                      <w:color w:val="auto"/>
                      <w:sz w:val="21"/>
                      <w:szCs w:val="21"/>
                      <w:lang w:eastAsia="zh-CN"/>
                    </w:rPr>
                  </w:pPr>
                  <w:r>
                    <w:rPr>
                      <w:rFonts w:ascii="Times New Roman" w:hAnsi="Times New Roman"/>
                      <w:color w:val="auto"/>
                      <w:sz w:val="21"/>
                      <w:szCs w:val="21"/>
                      <w:lang w:eastAsia="zh-CN"/>
                    </w:rPr>
                    <w:t>垂直档距（m）</w:t>
                  </w:r>
                </w:p>
              </w:tc>
              <w:tc>
                <w:tcPr>
                  <w:tcW w:w="1120" w:type="dxa"/>
                  <w:vAlign w:val="center"/>
                </w:tcPr>
                <w:p w14:paraId="341C3F91">
                  <w:pPr>
                    <w:pStyle w:val="84"/>
                    <w:adjustRightInd w:val="0"/>
                    <w:snapToGrid w:val="0"/>
                    <w:spacing w:line="240" w:lineRule="auto"/>
                    <w:rPr>
                      <w:rFonts w:ascii="Times New Roman" w:hAnsi="Times New Roman"/>
                      <w:color w:val="auto"/>
                      <w:sz w:val="21"/>
                      <w:szCs w:val="21"/>
                      <w:lang w:eastAsia="zh-CN"/>
                    </w:rPr>
                  </w:pPr>
                  <w:r>
                    <w:rPr>
                      <w:rFonts w:ascii="Times New Roman" w:hAnsi="Times New Roman"/>
                      <w:color w:val="auto"/>
                      <w:sz w:val="21"/>
                      <w:szCs w:val="21"/>
                      <w:lang w:eastAsia="zh-CN"/>
                    </w:rPr>
                    <w:t>基数</w:t>
                  </w:r>
                </w:p>
              </w:tc>
            </w:tr>
            <w:tr w14:paraId="6E3E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3CE40C90">
                  <w:pPr>
                    <w:widowControl/>
                    <w:adjustRightInd w:val="0"/>
                    <w:snapToGrid w:val="0"/>
                    <w:jc w:val="center"/>
                    <w:textAlignment w:val="center"/>
                    <w:rPr>
                      <w:color w:val="auto"/>
                      <w:szCs w:val="21"/>
                    </w:rPr>
                  </w:pPr>
                  <w:r>
                    <w:rPr>
                      <w:color w:val="auto"/>
                      <w:kern w:val="0"/>
                      <w:szCs w:val="21"/>
                      <w:lang w:bidi="ar"/>
                    </w:rPr>
                    <w:t>N4</w:t>
                  </w:r>
                </w:p>
              </w:tc>
              <w:tc>
                <w:tcPr>
                  <w:tcW w:w="1631" w:type="dxa"/>
                  <w:vAlign w:val="center"/>
                </w:tcPr>
                <w:p w14:paraId="7EE9B6BB">
                  <w:pPr>
                    <w:widowControl/>
                    <w:adjustRightInd w:val="0"/>
                    <w:snapToGrid w:val="0"/>
                    <w:jc w:val="center"/>
                    <w:textAlignment w:val="center"/>
                    <w:rPr>
                      <w:color w:val="auto"/>
                      <w:szCs w:val="21"/>
                    </w:rPr>
                  </w:pPr>
                  <w:r>
                    <w:rPr>
                      <w:color w:val="auto"/>
                      <w:kern w:val="0"/>
                      <w:szCs w:val="21"/>
                      <w:lang w:bidi="ar"/>
                    </w:rPr>
                    <w:t>1B1W2-J3</w:t>
                  </w:r>
                </w:p>
              </w:tc>
              <w:tc>
                <w:tcPr>
                  <w:tcW w:w="1502" w:type="dxa"/>
                  <w:vAlign w:val="center"/>
                </w:tcPr>
                <w:p w14:paraId="3250D32E">
                  <w:pPr>
                    <w:widowControl/>
                    <w:adjustRightInd w:val="0"/>
                    <w:snapToGrid w:val="0"/>
                    <w:jc w:val="center"/>
                    <w:textAlignment w:val="center"/>
                    <w:rPr>
                      <w:color w:val="auto"/>
                      <w:szCs w:val="21"/>
                    </w:rPr>
                  </w:pPr>
                  <w:r>
                    <w:rPr>
                      <w:color w:val="auto"/>
                      <w:kern w:val="0"/>
                      <w:szCs w:val="21"/>
                      <w:lang w:bidi="ar"/>
                    </w:rPr>
                    <w:t>24</w:t>
                  </w:r>
                </w:p>
              </w:tc>
              <w:tc>
                <w:tcPr>
                  <w:tcW w:w="1944" w:type="dxa"/>
                  <w:vAlign w:val="center"/>
                </w:tcPr>
                <w:p w14:paraId="3E817312">
                  <w:pPr>
                    <w:widowControl/>
                    <w:adjustRightInd w:val="0"/>
                    <w:snapToGrid w:val="0"/>
                    <w:jc w:val="center"/>
                    <w:textAlignment w:val="center"/>
                    <w:rPr>
                      <w:color w:val="auto"/>
                      <w:szCs w:val="21"/>
                    </w:rPr>
                  </w:pPr>
                  <w:r>
                    <w:rPr>
                      <w:color w:val="auto"/>
                      <w:kern w:val="0"/>
                      <w:szCs w:val="21"/>
                      <w:lang w:bidi="ar"/>
                    </w:rPr>
                    <w:t>224</w:t>
                  </w:r>
                </w:p>
              </w:tc>
              <w:tc>
                <w:tcPr>
                  <w:tcW w:w="1975" w:type="dxa"/>
                  <w:vAlign w:val="center"/>
                </w:tcPr>
                <w:p w14:paraId="7534D8C3">
                  <w:pPr>
                    <w:widowControl/>
                    <w:adjustRightInd w:val="0"/>
                    <w:snapToGrid w:val="0"/>
                    <w:jc w:val="center"/>
                    <w:textAlignment w:val="center"/>
                    <w:rPr>
                      <w:color w:val="auto"/>
                      <w:szCs w:val="21"/>
                    </w:rPr>
                  </w:pPr>
                  <w:r>
                    <w:rPr>
                      <w:color w:val="auto"/>
                      <w:kern w:val="0"/>
                      <w:szCs w:val="21"/>
                      <w:lang w:bidi="ar"/>
                    </w:rPr>
                    <w:t>62</w:t>
                  </w:r>
                </w:p>
              </w:tc>
              <w:tc>
                <w:tcPr>
                  <w:tcW w:w="1120" w:type="dxa"/>
                  <w:vAlign w:val="center"/>
                </w:tcPr>
                <w:p w14:paraId="6B20D5B5">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72C9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7B8B78F7">
                  <w:pPr>
                    <w:widowControl/>
                    <w:adjustRightInd w:val="0"/>
                    <w:snapToGrid w:val="0"/>
                    <w:jc w:val="center"/>
                    <w:textAlignment w:val="center"/>
                    <w:rPr>
                      <w:color w:val="auto"/>
                      <w:szCs w:val="21"/>
                    </w:rPr>
                  </w:pPr>
                  <w:r>
                    <w:rPr>
                      <w:color w:val="auto"/>
                      <w:kern w:val="0"/>
                      <w:szCs w:val="21"/>
                      <w:lang w:bidi="ar"/>
                    </w:rPr>
                    <w:t>N5</w:t>
                  </w:r>
                </w:p>
              </w:tc>
              <w:tc>
                <w:tcPr>
                  <w:tcW w:w="1631" w:type="dxa"/>
                  <w:vAlign w:val="center"/>
                </w:tcPr>
                <w:p w14:paraId="5214001E">
                  <w:pPr>
                    <w:widowControl/>
                    <w:adjustRightInd w:val="0"/>
                    <w:snapToGrid w:val="0"/>
                    <w:jc w:val="center"/>
                    <w:textAlignment w:val="center"/>
                    <w:rPr>
                      <w:color w:val="auto"/>
                      <w:szCs w:val="21"/>
                    </w:rPr>
                  </w:pPr>
                  <w:r>
                    <w:rPr>
                      <w:color w:val="auto"/>
                      <w:kern w:val="0"/>
                      <w:szCs w:val="21"/>
                      <w:lang w:bidi="ar"/>
                    </w:rPr>
                    <w:t>1A1X1-J4</w:t>
                  </w:r>
                </w:p>
              </w:tc>
              <w:tc>
                <w:tcPr>
                  <w:tcW w:w="1502" w:type="dxa"/>
                  <w:vAlign w:val="center"/>
                </w:tcPr>
                <w:p w14:paraId="48802614">
                  <w:pPr>
                    <w:widowControl/>
                    <w:adjustRightInd w:val="0"/>
                    <w:snapToGrid w:val="0"/>
                    <w:jc w:val="center"/>
                    <w:textAlignment w:val="center"/>
                    <w:rPr>
                      <w:color w:val="auto"/>
                      <w:szCs w:val="21"/>
                    </w:rPr>
                  </w:pPr>
                  <w:r>
                    <w:rPr>
                      <w:color w:val="auto"/>
                      <w:kern w:val="0"/>
                      <w:szCs w:val="21"/>
                      <w:lang w:bidi="ar"/>
                    </w:rPr>
                    <w:t>36</w:t>
                  </w:r>
                </w:p>
              </w:tc>
              <w:tc>
                <w:tcPr>
                  <w:tcW w:w="1944" w:type="dxa"/>
                  <w:vAlign w:val="center"/>
                </w:tcPr>
                <w:p w14:paraId="5EF41744">
                  <w:pPr>
                    <w:widowControl/>
                    <w:adjustRightInd w:val="0"/>
                    <w:snapToGrid w:val="0"/>
                    <w:jc w:val="center"/>
                    <w:textAlignment w:val="center"/>
                    <w:rPr>
                      <w:color w:val="auto"/>
                      <w:szCs w:val="21"/>
                    </w:rPr>
                  </w:pPr>
                  <w:r>
                    <w:rPr>
                      <w:color w:val="auto"/>
                      <w:kern w:val="0"/>
                      <w:szCs w:val="21"/>
                      <w:lang w:bidi="ar"/>
                    </w:rPr>
                    <w:t>463</w:t>
                  </w:r>
                </w:p>
              </w:tc>
              <w:tc>
                <w:tcPr>
                  <w:tcW w:w="1975" w:type="dxa"/>
                  <w:vAlign w:val="center"/>
                </w:tcPr>
                <w:p w14:paraId="5AA490C3">
                  <w:pPr>
                    <w:widowControl/>
                    <w:adjustRightInd w:val="0"/>
                    <w:snapToGrid w:val="0"/>
                    <w:jc w:val="center"/>
                    <w:textAlignment w:val="center"/>
                    <w:rPr>
                      <w:color w:val="auto"/>
                      <w:szCs w:val="21"/>
                    </w:rPr>
                  </w:pPr>
                  <w:r>
                    <w:rPr>
                      <w:color w:val="auto"/>
                      <w:kern w:val="0"/>
                      <w:szCs w:val="21"/>
                      <w:lang w:bidi="ar"/>
                    </w:rPr>
                    <w:t>634</w:t>
                  </w:r>
                </w:p>
              </w:tc>
              <w:tc>
                <w:tcPr>
                  <w:tcW w:w="1120" w:type="dxa"/>
                  <w:vAlign w:val="center"/>
                </w:tcPr>
                <w:p w14:paraId="107DD726">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431A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131FCB16">
                  <w:pPr>
                    <w:widowControl/>
                    <w:adjustRightInd w:val="0"/>
                    <w:snapToGrid w:val="0"/>
                    <w:jc w:val="center"/>
                    <w:textAlignment w:val="center"/>
                    <w:rPr>
                      <w:color w:val="auto"/>
                      <w:szCs w:val="21"/>
                    </w:rPr>
                  </w:pPr>
                  <w:r>
                    <w:rPr>
                      <w:color w:val="auto"/>
                      <w:kern w:val="0"/>
                      <w:szCs w:val="21"/>
                      <w:lang w:bidi="ar"/>
                    </w:rPr>
                    <w:t>N6</w:t>
                  </w:r>
                </w:p>
              </w:tc>
              <w:tc>
                <w:tcPr>
                  <w:tcW w:w="1631" w:type="dxa"/>
                  <w:vAlign w:val="center"/>
                </w:tcPr>
                <w:p w14:paraId="66A7BABB">
                  <w:pPr>
                    <w:widowControl/>
                    <w:adjustRightInd w:val="0"/>
                    <w:snapToGrid w:val="0"/>
                    <w:jc w:val="center"/>
                    <w:textAlignment w:val="center"/>
                    <w:rPr>
                      <w:color w:val="auto"/>
                      <w:szCs w:val="21"/>
                    </w:rPr>
                  </w:pPr>
                  <w:r>
                    <w:rPr>
                      <w:color w:val="auto"/>
                      <w:kern w:val="0"/>
                      <w:szCs w:val="21"/>
                      <w:lang w:bidi="ar"/>
                    </w:rPr>
                    <w:t>1B1W2-ZM3</w:t>
                  </w:r>
                </w:p>
              </w:tc>
              <w:tc>
                <w:tcPr>
                  <w:tcW w:w="1502" w:type="dxa"/>
                  <w:vAlign w:val="center"/>
                </w:tcPr>
                <w:p w14:paraId="0ECCD057">
                  <w:pPr>
                    <w:widowControl/>
                    <w:adjustRightInd w:val="0"/>
                    <w:snapToGrid w:val="0"/>
                    <w:jc w:val="center"/>
                    <w:textAlignment w:val="center"/>
                    <w:rPr>
                      <w:color w:val="auto"/>
                      <w:szCs w:val="21"/>
                    </w:rPr>
                  </w:pPr>
                  <w:r>
                    <w:rPr>
                      <w:color w:val="auto"/>
                      <w:kern w:val="0"/>
                      <w:szCs w:val="21"/>
                      <w:lang w:bidi="ar"/>
                    </w:rPr>
                    <w:t>27</w:t>
                  </w:r>
                </w:p>
              </w:tc>
              <w:tc>
                <w:tcPr>
                  <w:tcW w:w="1944" w:type="dxa"/>
                  <w:vAlign w:val="center"/>
                </w:tcPr>
                <w:p w14:paraId="361FA484">
                  <w:pPr>
                    <w:widowControl/>
                    <w:adjustRightInd w:val="0"/>
                    <w:snapToGrid w:val="0"/>
                    <w:jc w:val="center"/>
                    <w:textAlignment w:val="center"/>
                    <w:rPr>
                      <w:color w:val="auto"/>
                      <w:szCs w:val="21"/>
                    </w:rPr>
                  </w:pPr>
                  <w:r>
                    <w:rPr>
                      <w:color w:val="auto"/>
                      <w:kern w:val="0"/>
                      <w:szCs w:val="21"/>
                      <w:lang w:bidi="ar"/>
                    </w:rPr>
                    <w:t>370</w:t>
                  </w:r>
                </w:p>
              </w:tc>
              <w:tc>
                <w:tcPr>
                  <w:tcW w:w="1975" w:type="dxa"/>
                  <w:vAlign w:val="center"/>
                </w:tcPr>
                <w:p w14:paraId="0618AB03">
                  <w:pPr>
                    <w:widowControl/>
                    <w:adjustRightInd w:val="0"/>
                    <w:snapToGrid w:val="0"/>
                    <w:jc w:val="center"/>
                    <w:textAlignment w:val="center"/>
                    <w:rPr>
                      <w:color w:val="auto"/>
                      <w:szCs w:val="21"/>
                    </w:rPr>
                  </w:pPr>
                  <w:r>
                    <w:rPr>
                      <w:color w:val="auto"/>
                      <w:kern w:val="0"/>
                      <w:szCs w:val="21"/>
                      <w:lang w:bidi="ar"/>
                    </w:rPr>
                    <w:t>158</w:t>
                  </w:r>
                </w:p>
              </w:tc>
              <w:tc>
                <w:tcPr>
                  <w:tcW w:w="1120" w:type="dxa"/>
                  <w:vAlign w:val="center"/>
                </w:tcPr>
                <w:p w14:paraId="2549AF5B">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158C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7221DE1B">
                  <w:pPr>
                    <w:widowControl/>
                    <w:adjustRightInd w:val="0"/>
                    <w:snapToGrid w:val="0"/>
                    <w:jc w:val="center"/>
                    <w:textAlignment w:val="center"/>
                    <w:rPr>
                      <w:color w:val="auto"/>
                      <w:szCs w:val="21"/>
                    </w:rPr>
                  </w:pPr>
                  <w:r>
                    <w:rPr>
                      <w:color w:val="auto"/>
                      <w:kern w:val="0"/>
                      <w:szCs w:val="21"/>
                      <w:lang w:bidi="ar"/>
                    </w:rPr>
                    <w:t>N7</w:t>
                  </w:r>
                </w:p>
              </w:tc>
              <w:tc>
                <w:tcPr>
                  <w:tcW w:w="1631" w:type="dxa"/>
                  <w:vAlign w:val="center"/>
                </w:tcPr>
                <w:p w14:paraId="585EBB37">
                  <w:pPr>
                    <w:widowControl/>
                    <w:adjustRightInd w:val="0"/>
                    <w:snapToGrid w:val="0"/>
                    <w:jc w:val="center"/>
                    <w:textAlignment w:val="center"/>
                    <w:rPr>
                      <w:color w:val="auto"/>
                      <w:szCs w:val="21"/>
                    </w:rPr>
                  </w:pPr>
                  <w:r>
                    <w:rPr>
                      <w:color w:val="auto"/>
                      <w:kern w:val="0"/>
                      <w:szCs w:val="21"/>
                      <w:lang w:bidi="ar"/>
                    </w:rPr>
                    <w:t>1B1W2-J3</w:t>
                  </w:r>
                </w:p>
              </w:tc>
              <w:tc>
                <w:tcPr>
                  <w:tcW w:w="1502" w:type="dxa"/>
                  <w:vAlign w:val="center"/>
                </w:tcPr>
                <w:p w14:paraId="5BFAC707">
                  <w:pPr>
                    <w:widowControl/>
                    <w:adjustRightInd w:val="0"/>
                    <w:snapToGrid w:val="0"/>
                    <w:jc w:val="center"/>
                    <w:textAlignment w:val="center"/>
                    <w:rPr>
                      <w:color w:val="auto"/>
                      <w:szCs w:val="21"/>
                    </w:rPr>
                  </w:pPr>
                  <w:r>
                    <w:rPr>
                      <w:color w:val="auto"/>
                      <w:kern w:val="0"/>
                      <w:szCs w:val="21"/>
                      <w:lang w:bidi="ar"/>
                    </w:rPr>
                    <w:t>24</w:t>
                  </w:r>
                </w:p>
              </w:tc>
              <w:tc>
                <w:tcPr>
                  <w:tcW w:w="1944" w:type="dxa"/>
                  <w:vAlign w:val="center"/>
                </w:tcPr>
                <w:p w14:paraId="0D7452BA">
                  <w:pPr>
                    <w:widowControl/>
                    <w:adjustRightInd w:val="0"/>
                    <w:snapToGrid w:val="0"/>
                    <w:jc w:val="center"/>
                    <w:textAlignment w:val="center"/>
                    <w:rPr>
                      <w:color w:val="auto"/>
                      <w:szCs w:val="21"/>
                    </w:rPr>
                  </w:pPr>
                  <w:r>
                    <w:rPr>
                      <w:color w:val="auto"/>
                      <w:kern w:val="0"/>
                      <w:szCs w:val="21"/>
                      <w:lang w:bidi="ar"/>
                    </w:rPr>
                    <w:t>272</w:t>
                  </w:r>
                </w:p>
              </w:tc>
              <w:tc>
                <w:tcPr>
                  <w:tcW w:w="1975" w:type="dxa"/>
                  <w:vAlign w:val="center"/>
                </w:tcPr>
                <w:p w14:paraId="10E326A2">
                  <w:pPr>
                    <w:widowControl/>
                    <w:adjustRightInd w:val="0"/>
                    <w:snapToGrid w:val="0"/>
                    <w:jc w:val="center"/>
                    <w:textAlignment w:val="center"/>
                    <w:rPr>
                      <w:color w:val="auto"/>
                      <w:szCs w:val="21"/>
                    </w:rPr>
                  </w:pPr>
                  <w:r>
                    <w:rPr>
                      <w:color w:val="auto"/>
                      <w:kern w:val="0"/>
                      <w:szCs w:val="21"/>
                      <w:lang w:bidi="ar"/>
                    </w:rPr>
                    <w:t>470</w:t>
                  </w:r>
                </w:p>
              </w:tc>
              <w:tc>
                <w:tcPr>
                  <w:tcW w:w="1120" w:type="dxa"/>
                  <w:vAlign w:val="center"/>
                </w:tcPr>
                <w:p w14:paraId="6B85D2A8">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6BBA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29AE24D9">
                  <w:pPr>
                    <w:widowControl/>
                    <w:adjustRightInd w:val="0"/>
                    <w:snapToGrid w:val="0"/>
                    <w:jc w:val="center"/>
                    <w:textAlignment w:val="center"/>
                    <w:rPr>
                      <w:color w:val="auto"/>
                      <w:szCs w:val="21"/>
                    </w:rPr>
                  </w:pPr>
                  <w:r>
                    <w:rPr>
                      <w:color w:val="auto"/>
                      <w:kern w:val="0"/>
                      <w:szCs w:val="21"/>
                      <w:lang w:bidi="ar"/>
                    </w:rPr>
                    <w:t>N8</w:t>
                  </w:r>
                </w:p>
              </w:tc>
              <w:tc>
                <w:tcPr>
                  <w:tcW w:w="1631" w:type="dxa"/>
                  <w:vAlign w:val="center"/>
                </w:tcPr>
                <w:p w14:paraId="3FEB19AE">
                  <w:pPr>
                    <w:widowControl/>
                    <w:adjustRightInd w:val="0"/>
                    <w:snapToGrid w:val="0"/>
                    <w:jc w:val="center"/>
                    <w:textAlignment w:val="center"/>
                    <w:rPr>
                      <w:color w:val="auto"/>
                      <w:szCs w:val="21"/>
                    </w:rPr>
                  </w:pPr>
                  <w:r>
                    <w:rPr>
                      <w:color w:val="auto"/>
                      <w:kern w:val="0"/>
                      <w:szCs w:val="21"/>
                      <w:lang w:bidi="ar"/>
                    </w:rPr>
                    <w:t>1B1W2-J3</w:t>
                  </w:r>
                </w:p>
              </w:tc>
              <w:tc>
                <w:tcPr>
                  <w:tcW w:w="1502" w:type="dxa"/>
                  <w:vAlign w:val="center"/>
                </w:tcPr>
                <w:p w14:paraId="2003F48B">
                  <w:pPr>
                    <w:widowControl/>
                    <w:adjustRightInd w:val="0"/>
                    <w:snapToGrid w:val="0"/>
                    <w:jc w:val="center"/>
                    <w:textAlignment w:val="center"/>
                    <w:rPr>
                      <w:color w:val="auto"/>
                      <w:szCs w:val="21"/>
                    </w:rPr>
                  </w:pPr>
                  <w:r>
                    <w:rPr>
                      <w:color w:val="auto"/>
                      <w:kern w:val="0"/>
                      <w:szCs w:val="21"/>
                      <w:lang w:bidi="ar"/>
                    </w:rPr>
                    <w:t>27</w:t>
                  </w:r>
                </w:p>
              </w:tc>
              <w:tc>
                <w:tcPr>
                  <w:tcW w:w="1944" w:type="dxa"/>
                  <w:vAlign w:val="center"/>
                </w:tcPr>
                <w:p w14:paraId="643F2938">
                  <w:pPr>
                    <w:widowControl/>
                    <w:adjustRightInd w:val="0"/>
                    <w:snapToGrid w:val="0"/>
                    <w:jc w:val="center"/>
                    <w:textAlignment w:val="center"/>
                    <w:rPr>
                      <w:color w:val="auto"/>
                      <w:szCs w:val="21"/>
                    </w:rPr>
                  </w:pPr>
                  <w:r>
                    <w:rPr>
                      <w:color w:val="auto"/>
                      <w:kern w:val="0"/>
                      <w:szCs w:val="21"/>
                      <w:lang w:bidi="ar"/>
                    </w:rPr>
                    <w:t>352</w:t>
                  </w:r>
                </w:p>
              </w:tc>
              <w:tc>
                <w:tcPr>
                  <w:tcW w:w="1975" w:type="dxa"/>
                  <w:vAlign w:val="center"/>
                </w:tcPr>
                <w:p w14:paraId="5CBF038D">
                  <w:pPr>
                    <w:widowControl/>
                    <w:adjustRightInd w:val="0"/>
                    <w:snapToGrid w:val="0"/>
                    <w:jc w:val="center"/>
                    <w:textAlignment w:val="center"/>
                    <w:rPr>
                      <w:color w:val="auto"/>
                      <w:szCs w:val="21"/>
                    </w:rPr>
                  </w:pPr>
                  <w:r>
                    <w:rPr>
                      <w:color w:val="auto"/>
                      <w:kern w:val="0"/>
                      <w:szCs w:val="21"/>
                      <w:lang w:bidi="ar"/>
                    </w:rPr>
                    <w:t>436</w:t>
                  </w:r>
                </w:p>
              </w:tc>
              <w:tc>
                <w:tcPr>
                  <w:tcW w:w="1120" w:type="dxa"/>
                  <w:vAlign w:val="center"/>
                </w:tcPr>
                <w:p w14:paraId="56BFE100">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5558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391954E1">
                  <w:pPr>
                    <w:widowControl/>
                    <w:adjustRightInd w:val="0"/>
                    <w:snapToGrid w:val="0"/>
                    <w:jc w:val="center"/>
                    <w:textAlignment w:val="center"/>
                    <w:rPr>
                      <w:color w:val="auto"/>
                      <w:szCs w:val="21"/>
                    </w:rPr>
                  </w:pPr>
                  <w:r>
                    <w:rPr>
                      <w:color w:val="auto"/>
                      <w:kern w:val="0"/>
                      <w:szCs w:val="21"/>
                      <w:lang w:bidi="ar"/>
                    </w:rPr>
                    <w:t>N9</w:t>
                  </w:r>
                </w:p>
              </w:tc>
              <w:tc>
                <w:tcPr>
                  <w:tcW w:w="1631" w:type="dxa"/>
                  <w:vAlign w:val="center"/>
                </w:tcPr>
                <w:p w14:paraId="49EC444A">
                  <w:pPr>
                    <w:widowControl/>
                    <w:adjustRightInd w:val="0"/>
                    <w:snapToGrid w:val="0"/>
                    <w:jc w:val="center"/>
                    <w:textAlignment w:val="center"/>
                    <w:rPr>
                      <w:color w:val="auto"/>
                      <w:szCs w:val="21"/>
                    </w:rPr>
                  </w:pPr>
                  <w:r>
                    <w:rPr>
                      <w:color w:val="auto"/>
                      <w:kern w:val="0"/>
                      <w:szCs w:val="21"/>
                      <w:lang w:bidi="ar"/>
                    </w:rPr>
                    <w:t>2C1W2-J1</w:t>
                  </w:r>
                </w:p>
              </w:tc>
              <w:tc>
                <w:tcPr>
                  <w:tcW w:w="1502" w:type="dxa"/>
                  <w:vAlign w:val="center"/>
                </w:tcPr>
                <w:p w14:paraId="2011B056">
                  <w:pPr>
                    <w:widowControl/>
                    <w:adjustRightInd w:val="0"/>
                    <w:snapToGrid w:val="0"/>
                    <w:jc w:val="center"/>
                    <w:textAlignment w:val="center"/>
                    <w:rPr>
                      <w:color w:val="auto"/>
                      <w:szCs w:val="21"/>
                    </w:rPr>
                  </w:pPr>
                  <w:r>
                    <w:rPr>
                      <w:color w:val="auto"/>
                      <w:kern w:val="0"/>
                      <w:szCs w:val="21"/>
                      <w:lang w:bidi="ar"/>
                    </w:rPr>
                    <w:t>27</w:t>
                  </w:r>
                </w:p>
              </w:tc>
              <w:tc>
                <w:tcPr>
                  <w:tcW w:w="1944" w:type="dxa"/>
                  <w:vAlign w:val="center"/>
                </w:tcPr>
                <w:p w14:paraId="364B3D05">
                  <w:pPr>
                    <w:widowControl/>
                    <w:adjustRightInd w:val="0"/>
                    <w:snapToGrid w:val="0"/>
                    <w:jc w:val="center"/>
                    <w:textAlignment w:val="center"/>
                    <w:rPr>
                      <w:color w:val="auto"/>
                      <w:szCs w:val="21"/>
                    </w:rPr>
                  </w:pPr>
                  <w:r>
                    <w:rPr>
                      <w:color w:val="auto"/>
                      <w:kern w:val="0"/>
                      <w:szCs w:val="21"/>
                      <w:lang w:bidi="ar"/>
                    </w:rPr>
                    <w:t>620</w:t>
                  </w:r>
                </w:p>
              </w:tc>
              <w:tc>
                <w:tcPr>
                  <w:tcW w:w="1975" w:type="dxa"/>
                  <w:vAlign w:val="center"/>
                </w:tcPr>
                <w:p w14:paraId="13F9A7C9">
                  <w:pPr>
                    <w:widowControl/>
                    <w:adjustRightInd w:val="0"/>
                    <w:snapToGrid w:val="0"/>
                    <w:jc w:val="center"/>
                    <w:textAlignment w:val="center"/>
                    <w:rPr>
                      <w:color w:val="auto"/>
                      <w:szCs w:val="21"/>
                    </w:rPr>
                  </w:pPr>
                  <w:r>
                    <w:rPr>
                      <w:color w:val="auto"/>
                      <w:kern w:val="0"/>
                      <w:szCs w:val="21"/>
                      <w:lang w:bidi="ar"/>
                    </w:rPr>
                    <w:t>483</w:t>
                  </w:r>
                </w:p>
              </w:tc>
              <w:tc>
                <w:tcPr>
                  <w:tcW w:w="1120" w:type="dxa"/>
                  <w:vAlign w:val="center"/>
                </w:tcPr>
                <w:p w14:paraId="7DC51D3B">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7190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39B0CC52">
                  <w:pPr>
                    <w:widowControl/>
                    <w:adjustRightInd w:val="0"/>
                    <w:snapToGrid w:val="0"/>
                    <w:jc w:val="center"/>
                    <w:textAlignment w:val="center"/>
                    <w:rPr>
                      <w:color w:val="auto"/>
                      <w:szCs w:val="21"/>
                    </w:rPr>
                  </w:pPr>
                  <w:r>
                    <w:rPr>
                      <w:color w:val="auto"/>
                      <w:kern w:val="0"/>
                      <w:szCs w:val="21"/>
                      <w:lang w:bidi="ar"/>
                    </w:rPr>
                    <w:t>N10</w:t>
                  </w:r>
                </w:p>
              </w:tc>
              <w:tc>
                <w:tcPr>
                  <w:tcW w:w="1631" w:type="dxa"/>
                  <w:vAlign w:val="center"/>
                </w:tcPr>
                <w:p w14:paraId="66231292">
                  <w:pPr>
                    <w:widowControl/>
                    <w:adjustRightInd w:val="0"/>
                    <w:snapToGrid w:val="0"/>
                    <w:jc w:val="center"/>
                    <w:textAlignment w:val="center"/>
                    <w:rPr>
                      <w:color w:val="auto"/>
                      <w:szCs w:val="21"/>
                    </w:rPr>
                  </w:pPr>
                  <w:r>
                    <w:rPr>
                      <w:color w:val="auto"/>
                      <w:kern w:val="0"/>
                      <w:szCs w:val="21"/>
                      <w:lang w:bidi="ar"/>
                    </w:rPr>
                    <w:t>2C1W2-Z3</w:t>
                  </w:r>
                </w:p>
              </w:tc>
              <w:tc>
                <w:tcPr>
                  <w:tcW w:w="1502" w:type="dxa"/>
                  <w:vAlign w:val="center"/>
                </w:tcPr>
                <w:p w14:paraId="5A975212">
                  <w:pPr>
                    <w:widowControl/>
                    <w:adjustRightInd w:val="0"/>
                    <w:snapToGrid w:val="0"/>
                    <w:jc w:val="center"/>
                    <w:textAlignment w:val="center"/>
                    <w:rPr>
                      <w:color w:val="auto"/>
                      <w:szCs w:val="21"/>
                    </w:rPr>
                  </w:pPr>
                  <w:r>
                    <w:rPr>
                      <w:color w:val="auto"/>
                      <w:kern w:val="0"/>
                      <w:szCs w:val="21"/>
                      <w:lang w:bidi="ar"/>
                    </w:rPr>
                    <w:t>30</w:t>
                  </w:r>
                </w:p>
              </w:tc>
              <w:tc>
                <w:tcPr>
                  <w:tcW w:w="1944" w:type="dxa"/>
                  <w:vAlign w:val="center"/>
                </w:tcPr>
                <w:p w14:paraId="68CCBCCE">
                  <w:pPr>
                    <w:widowControl/>
                    <w:adjustRightInd w:val="0"/>
                    <w:snapToGrid w:val="0"/>
                    <w:jc w:val="center"/>
                    <w:textAlignment w:val="center"/>
                    <w:rPr>
                      <w:color w:val="auto"/>
                      <w:szCs w:val="21"/>
                    </w:rPr>
                  </w:pPr>
                  <w:r>
                    <w:rPr>
                      <w:color w:val="auto"/>
                      <w:kern w:val="0"/>
                      <w:szCs w:val="21"/>
                      <w:lang w:bidi="ar"/>
                    </w:rPr>
                    <w:t>692</w:t>
                  </w:r>
                </w:p>
              </w:tc>
              <w:tc>
                <w:tcPr>
                  <w:tcW w:w="1975" w:type="dxa"/>
                  <w:vAlign w:val="center"/>
                </w:tcPr>
                <w:p w14:paraId="4AEC9F8F">
                  <w:pPr>
                    <w:widowControl/>
                    <w:adjustRightInd w:val="0"/>
                    <w:snapToGrid w:val="0"/>
                    <w:jc w:val="center"/>
                    <w:textAlignment w:val="center"/>
                    <w:rPr>
                      <w:color w:val="auto"/>
                      <w:szCs w:val="21"/>
                    </w:rPr>
                  </w:pPr>
                  <w:r>
                    <w:rPr>
                      <w:color w:val="auto"/>
                      <w:kern w:val="0"/>
                      <w:szCs w:val="21"/>
                      <w:lang w:bidi="ar"/>
                    </w:rPr>
                    <w:t>761</w:t>
                  </w:r>
                </w:p>
              </w:tc>
              <w:tc>
                <w:tcPr>
                  <w:tcW w:w="1120" w:type="dxa"/>
                  <w:vAlign w:val="center"/>
                </w:tcPr>
                <w:p w14:paraId="09C97909">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5B62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0348AC12">
                  <w:pPr>
                    <w:widowControl/>
                    <w:adjustRightInd w:val="0"/>
                    <w:snapToGrid w:val="0"/>
                    <w:jc w:val="center"/>
                    <w:textAlignment w:val="center"/>
                    <w:rPr>
                      <w:color w:val="auto"/>
                      <w:szCs w:val="21"/>
                    </w:rPr>
                  </w:pPr>
                  <w:r>
                    <w:rPr>
                      <w:color w:val="auto"/>
                      <w:kern w:val="0"/>
                      <w:szCs w:val="21"/>
                      <w:lang w:bidi="ar"/>
                    </w:rPr>
                    <w:t>N11</w:t>
                  </w:r>
                </w:p>
              </w:tc>
              <w:tc>
                <w:tcPr>
                  <w:tcW w:w="1631" w:type="dxa"/>
                  <w:vAlign w:val="center"/>
                </w:tcPr>
                <w:p w14:paraId="6FFAF2CF">
                  <w:pPr>
                    <w:widowControl/>
                    <w:adjustRightInd w:val="0"/>
                    <w:snapToGrid w:val="0"/>
                    <w:jc w:val="center"/>
                    <w:textAlignment w:val="center"/>
                    <w:rPr>
                      <w:color w:val="auto"/>
                      <w:szCs w:val="21"/>
                    </w:rPr>
                  </w:pPr>
                  <w:r>
                    <w:rPr>
                      <w:color w:val="auto"/>
                      <w:kern w:val="0"/>
                      <w:szCs w:val="21"/>
                      <w:lang w:bidi="ar"/>
                    </w:rPr>
                    <w:t>2C1W2-J2</w:t>
                  </w:r>
                </w:p>
              </w:tc>
              <w:tc>
                <w:tcPr>
                  <w:tcW w:w="1502" w:type="dxa"/>
                  <w:vAlign w:val="center"/>
                </w:tcPr>
                <w:p w14:paraId="612D7D87">
                  <w:pPr>
                    <w:widowControl/>
                    <w:adjustRightInd w:val="0"/>
                    <w:snapToGrid w:val="0"/>
                    <w:jc w:val="center"/>
                    <w:textAlignment w:val="center"/>
                    <w:rPr>
                      <w:color w:val="auto"/>
                      <w:szCs w:val="21"/>
                    </w:rPr>
                  </w:pPr>
                  <w:r>
                    <w:rPr>
                      <w:color w:val="auto"/>
                      <w:kern w:val="0"/>
                      <w:szCs w:val="21"/>
                      <w:lang w:bidi="ar"/>
                    </w:rPr>
                    <w:t>27</w:t>
                  </w:r>
                </w:p>
              </w:tc>
              <w:tc>
                <w:tcPr>
                  <w:tcW w:w="1944" w:type="dxa"/>
                  <w:vAlign w:val="center"/>
                </w:tcPr>
                <w:p w14:paraId="52E33006">
                  <w:pPr>
                    <w:widowControl/>
                    <w:adjustRightInd w:val="0"/>
                    <w:snapToGrid w:val="0"/>
                    <w:jc w:val="center"/>
                    <w:textAlignment w:val="center"/>
                    <w:rPr>
                      <w:color w:val="auto"/>
                      <w:szCs w:val="21"/>
                    </w:rPr>
                  </w:pPr>
                  <w:r>
                    <w:rPr>
                      <w:color w:val="auto"/>
                      <w:kern w:val="0"/>
                      <w:szCs w:val="21"/>
                      <w:lang w:bidi="ar"/>
                    </w:rPr>
                    <w:t>498</w:t>
                  </w:r>
                </w:p>
              </w:tc>
              <w:tc>
                <w:tcPr>
                  <w:tcW w:w="1975" w:type="dxa"/>
                  <w:vAlign w:val="center"/>
                </w:tcPr>
                <w:p w14:paraId="63888BC0">
                  <w:pPr>
                    <w:widowControl/>
                    <w:adjustRightInd w:val="0"/>
                    <w:snapToGrid w:val="0"/>
                    <w:jc w:val="center"/>
                    <w:textAlignment w:val="center"/>
                    <w:rPr>
                      <w:color w:val="auto"/>
                      <w:szCs w:val="21"/>
                    </w:rPr>
                  </w:pPr>
                  <w:r>
                    <w:rPr>
                      <w:color w:val="auto"/>
                      <w:kern w:val="0"/>
                      <w:szCs w:val="21"/>
                      <w:lang w:bidi="ar"/>
                    </w:rPr>
                    <w:t>417</w:t>
                  </w:r>
                </w:p>
              </w:tc>
              <w:tc>
                <w:tcPr>
                  <w:tcW w:w="1120" w:type="dxa"/>
                  <w:vAlign w:val="center"/>
                </w:tcPr>
                <w:p w14:paraId="20129D70">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4E08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1673A08F">
                  <w:pPr>
                    <w:widowControl/>
                    <w:adjustRightInd w:val="0"/>
                    <w:snapToGrid w:val="0"/>
                    <w:jc w:val="center"/>
                    <w:textAlignment w:val="center"/>
                    <w:rPr>
                      <w:color w:val="auto"/>
                      <w:szCs w:val="21"/>
                    </w:rPr>
                  </w:pPr>
                  <w:r>
                    <w:rPr>
                      <w:color w:val="auto"/>
                      <w:kern w:val="0"/>
                      <w:szCs w:val="21"/>
                      <w:lang w:bidi="ar"/>
                    </w:rPr>
                    <w:t>N12</w:t>
                  </w:r>
                </w:p>
              </w:tc>
              <w:tc>
                <w:tcPr>
                  <w:tcW w:w="1631" w:type="dxa"/>
                  <w:vAlign w:val="center"/>
                </w:tcPr>
                <w:p w14:paraId="1D8E4BA2">
                  <w:pPr>
                    <w:widowControl/>
                    <w:adjustRightInd w:val="0"/>
                    <w:snapToGrid w:val="0"/>
                    <w:jc w:val="center"/>
                    <w:textAlignment w:val="center"/>
                    <w:rPr>
                      <w:color w:val="auto"/>
                      <w:szCs w:val="21"/>
                    </w:rPr>
                  </w:pPr>
                  <w:r>
                    <w:rPr>
                      <w:color w:val="auto"/>
                      <w:kern w:val="0"/>
                      <w:szCs w:val="21"/>
                      <w:lang w:bidi="ar"/>
                    </w:rPr>
                    <w:t>1B1W2-ZM3</w:t>
                  </w:r>
                </w:p>
              </w:tc>
              <w:tc>
                <w:tcPr>
                  <w:tcW w:w="1502" w:type="dxa"/>
                  <w:vAlign w:val="center"/>
                </w:tcPr>
                <w:p w14:paraId="34E3105C">
                  <w:pPr>
                    <w:widowControl/>
                    <w:adjustRightInd w:val="0"/>
                    <w:snapToGrid w:val="0"/>
                    <w:jc w:val="center"/>
                    <w:textAlignment w:val="center"/>
                    <w:rPr>
                      <w:color w:val="auto"/>
                      <w:szCs w:val="21"/>
                    </w:rPr>
                  </w:pPr>
                  <w:r>
                    <w:rPr>
                      <w:color w:val="auto"/>
                      <w:kern w:val="0"/>
                      <w:szCs w:val="21"/>
                      <w:lang w:bidi="ar"/>
                    </w:rPr>
                    <w:t>30</w:t>
                  </w:r>
                </w:p>
              </w:tc>
              <w:tc>
                <w:tcPr>
                  <w:tcW w:w="1944" w:type="dxa"/>
                  <w:vAlign w:val="center"/>
                </w:tcPr>
                <w:p w14:paraId="155856F2">
                  <w:pPr>
                    <w:widowControl/>
                    <w:adjustRightInd w:val="0"/>
                    <w:snapToGrid w:val="0"/>
                    <w:jc w:val="center"/>
                    <w:textAlignment w:val="center"/>
                    <w:rPr>
                      <w:color w:val="auto"/>
                      <w:szCs w:val="21"/>
                    </w:rPr>
                  </w:pPr>
                  <w:r>
                    <w:rPr>
                      <w:color w:val="auto"/>
                      <w:kern w:val="0"/>
                      <w:szCs w:val="21"/>
                      <w:lang w:bidi="ar"/>
                    </w:rPr>
                    <w:t>363</w:t>
                  </w:r>
                </w:p>
              </w:tc>
              <w:tc>
                <w:tcPr>
                  <w:tcW w:w="1975" w:type="dxa"/>
                  <w:vAlign w:val="center"/>
                </w:tcPr>
                <w:p w14:paraId="7D831B76">
                  <w:pPr>
                    <w:widowControl/>
                    <w:adjustRightInd w:val="0"/>
                    <w:snapToGrid w:val="0"/>
                    <w:jc w:val="center"/>
                    <w:textAlignment w:val="center"/>
                    <w:rPr>
                      <w:color w:val="auto"/>
                      <w:szCs w:val="21"/>
                    </w:rPr>
                  </w:pPr>
                  <w:r>
                    <w:rPr>
                      <w:color w:val="auto"/>
                      <w:kern w:val="0"/>
                      <w:szCs w:val="21"/>
                      <w:lang w:bidi="ar"/>
                    </w:rPr>
                    <w:t>136</w:t>
                  </w:r>
                </w:p>
              </w:tc>
              <w:tc>
                <w:tcPr>
                  <w:tcW w:w="1120" w:type="dxa"/>
                  <w:vAlign w:val="center"/>
                </w:tcPr>
                <w:p w14:paraId="57F2B6C1">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759F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634" w:type="dxa"/>
                  <w:vAlign w:val="center"/>
                </w:tcPr>
                <w:p w14:paraId="4756B32B">
                  <w:pPr>
                    <w:widowControl/>
                    <w:adjustRightInd w:val="0"/>
                    <w:snapToGrid w:val="0"/>
                    <w:jc w:val="center"/>
                    <w:textAlignment w:val="center"/>
                    <w:rPr>
                      <w:color w:val="auto"/>
                      <w:szCs w:val="21"/>
                    </w:rPr>
                  </w:pPr>
                  <w:r>
                    <w:rPr>
                      <w:color w:val="auto"/>
                      <w:kern w:val="0"/>
                      <w:szCs w:val="21"/>
                      <w:lang w:bidi="ar"/>
                    </w:rPr>
                    <w:t>N13</w:t>
                  </w:r>
                </w:p>
              </w:tc>
              <w:tc>
                <w:tcPr>
                  <w:tcW w:w="1631" w:type="dxa"/>
                  <w:vAlign w:val="center"/>
                </w:tcPr>
                <w:p w14:paraId="04B16AC6">
                  <w:pPr>
                    <w:widowControl/>
                    <w:adjustRightInd w:val="0"/>
                    <w:snapToGrid w:val="0"/>
                    <w:jc w:val="center"/>
                    <w:textAlignment w:val="center"/>
                    <w:rPr>
                      <w:color w:val="auto"/>
                      <w:szCs w:val="21"/>
                    </w:rPr>
                  </w:pPr>
                  <w:r>
                    <w:rPr>
                      <w:color w:val="auto"/>
                      <w:kern w:val="0"/>
                      <w:szCs w:val="21"/>
                      <w:lang w:bidi="ar"/>
                    </w:rPr>
                    <w:t>1B1W2-J1</w:t>
                  </w:r>
                </w:p>
              </w:tc>
              <w:tc>
                <w:tcPr>
                  <w:tcW w:w="1502" w:type="dxa"/>
                  <w:vAlign w:val="center"/>
                </w:tcPr>
                <w:p w14:paraId="2F986F7E">
                  <w:pPr>
                    <w:widowControl/>
                    <w:adjustRightInd w:val="0"/>
                    <w:snapToGrid w:val="0"/>
                    <w:jc w:val="center"/>
                    <w:textAlignment w:val="center"/>
                    <w:rPr>
                      <w:color w:val="auto"/>
                      <w:szCs w:val="21"/>
                    </w:rPr>
                  </w:pPr>
                  <w:r>
                    <w:rPr>
                      <w:color w:val="auto"/>
                      <w:kern w:val="0"/>
                      <w:szCs w:val="21"/>
                      <w:lang w:bidi="ar"/>
                    </w:rPr>
                    <w:t>24</w:t>
                  </w:r>
                </w:p>
              </w:tc>
              <w:tc>
                <w:tcPr>
                  <w:tcW w:w="1944" w:type="dxa"/>
                  <w:vAlign w:val="center"/>
                </w:tcPr>
                <w:p w14:paraId="32DE7F81">
                  <w:pPr>
                    <w:widowControl/>
                    <w:adjustRightInd w:val="0"/>
                    <w:snapToGrid w:val="0"/>
                    <w:jc w:val="center"/>
                    <w:textAlignment w:val="center"/>
                    <w:rPr>
                      <w:color w:val="auto"/>
                      <w:szCs w:val="21"/>
                    </w:rPr>
                  </w:pPr>
                  <w:r>
                    <w:rPr>
                      <w:color w:val="auto"/>
                      <w:kern w:val="0"/>
                      <w:szCs w:val="21"/>
                      <w:lang w:bidi="ar"/>
                    </w:rPr>
                    <w:t>148</w:t>
                  </w:r>
                </w:p>
              </w:tc>
              <w:tc>
                <w:tcPr>
                  <w:tcW w:w="1975" w:type="dxa"/>
                  <w:vAlign w:val="center"/>
                </w:tcPr>
                <w:p w14:paraId="5D66D06E">
                  <w:pPr>
                    <w:widowControl/>
                    <w:adjustRightInd w:val="0"/>
                    <w:snapToGrid w:val="0"/>
                    <w:jc w:val="center"/>
                    <w:textAlignment w:val="center"/>
                    <w:rPr>
                      <w:color w:val="auto"/>
                      <w:szCs w:val="21"/>
                    </w:rPr>
                  </w:pPr>
                  <w:r>
                    <w:rPr>
                      <w:color w:val="auto"/>
                      <w:kern w:val="0"/>
                      <w:szCs w:val="21"/>
                      <w:lang w:bidi="ar"/>
                    </w:rPr>
                    <w:t>445</w:t>
                  </w:r>
                </w:p>
              </w:tc>
              <w:tc>
                <w:tcPr>
                  <w:tcW w:w="1120" w:type="dxa"/>
                  <w:vAlign w:val="center"/>
                </w:tcPr>
                <w:p w14:paraId="74AA6E05">
                  <w:pPr>
                    <w:pStyle w:val="85"/>
                    <w:snapToGrid w:val="0"/>
                    <w:ind w:left="0"/>
                    <w:jc w:val="center"/>
                    <w:rPr>
                      <w:rFonts w:ascii="Times New Roman" w:hAnsi="Times New Roman" w:eastAsia="宋体" w:cs="Times New Roman"/>
                      <w:color w:val="auto"/>
                      <w:kern w:val="2"/>
                      <w:sz w:val="21"/>
                      <w:lang w:bidi="en-US"/>
                    </w:rPr>
                  </w:pPr>
                  <w:r>
                    <w:rPr>
                      <w:rFonts w:ascii="Times New Roman" w:hAnsi="Times New Roman" w:eastAsia="宋体" w:cs="Times New Roman"/>
                      <w:color w:val="auto"/>
                      <w:kern w:val="2"/>
                      <w:sz w:val="21"/>
                      <w:lang w:bidi="en-US"/>
                    </w:rPr>
                    <w:t>1</w:t>
                  </w:r>
                </w:p>
              </w:tc>
            </w:tr>
            <w:tr w14:paraId="2914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686" w:type="dxa"/>
                  <w:gridSpan w:val="5"/>
                  <w:vAlign w:val="center"/>
                </w:tcPr>
                <w:p w14:paraId="12296623">
                  <w:pPr>
                    <w:widowControl/>
                    <w:adjustRightInd w:val="0"/>
                    <w:snapToGrid w:val="0"/>
                    <w:jc w:val="center"/>
                    <w:textAlignment w:val="center"/>
                    <w:rPr>
                      <w:color w:val="auto"/>
                      <w:kern w:val="0"/>
                      <w:szCs w:val="21"/>
                      <w:lang w:bidi="ar"/>
                    </w:rPr>
                  </w:pPr>
                  <w:r>
                    <w:rPr>
                      <w:rFonts w:hint="eastAsia"/>
                      <w:color w:val="auto"/>
                      <w:kern w:val="0"/>
                      <w:szCs w:val="21"/>
                      <w:lang w:bidi="ar"/>
                    </w:rPr>
                    <w:t>合计</w:t>
                  </w:r>
                </w:p>
              </w:tc>
              <w:tc>
                <w:tcPr>
                  <w:tcW w:w="1120" w:type="dxa"/>
                  <w:vAlign w:val="center"/>
                </w:tcPr>
                <w:p w14:paraId="2452D21E">
                  <w:pPr>
                    <w:pStyle w:val="85"/>
                    <w:snapToGrid w:val="0"/>
                    <w:ind w:left="0"/>
                    <w:jc w:val="center"/>
                    <w:rPr>
                      <w:rFonts w:ascii="Times New Roman" w:hAnsi="Times New Roman" w:eastAsia="宋体" w:cs="Times New Roman"/>
                      <w:color w:val="auto"/>
                      <w:kern w:val="2"/>
                      <w:sz w:val="21"/>
                      <w:lang w:bidi="en-US"/>
                    </w:rPr>
                  </w:pPr>
                  <w:r>
                    <w:rPr>
                      <w:rFonts w:hint="eastAsia" w:ascii="Times New Roman" w:hAnsi="Times New Roman" w:eastAsia="宋体" w:cs="Times New Roman"/>
                      <w:color w:val="auto"/>
                      <w:kern w:val="2"/>
                      <w:sz w:val="21"/>
                      <w:lang w:bidi="en-US"/>
                    </w:rPr>
                    <w:t>10</w:t>
                  </w:r>
                </w:p>
              </w:tc>
            </w:tr>
          </w:tbl>
          <w:p w14:paraId="3FC94D66">
            <w:pPr>
              <w:widowControl/>
              <w:adjustRightInd w:val="0"/>
              <w:snapToGrid w:val="0"/>
              <w:spacing w:line="360" w:lineRule="auto"/>
              <w:jc w:val="left"/>
              <w:rPr>
                <w:b/>
                <w:bCs/>
                <w:color w:val="auto"/>
                <w:kern w:val="0"/>
                <w:sz w:val="24"/>
                <w:lang w:bidi="en-US"/>
              </w:rPr>
            </w:pPr>
            <w:r>
              <w:rPr>
                <w:b/>
                <w:bCs/>
                <w:color w:val="auto"/>
                <w:kern w:val="0"/>
                <w:sz w:val="24"/>
                <w:lang w:bidi="en-US"/>
              </w:rPr>
              <w:t>2.4基础选型</w:t>
            </w:r>
          </w:p>
          <w:p w14:paraId="4F92BEA7">
            <w:pPr>
              <w:pStyle w:val="47"/>
              <w:snapToGrid w:val="0"/>
              <w:spacing w:line="360" w:lineRule="auto"/>
              <w:rPr>
                <w:rStyle w:val="33"/>
                <w:rFonts w:ascii="Times New Roman" w:hAnsi="Times New Roman" w:cs="Times New Roman"/>
                <w:color w:val="auto"/>
                <w:sz w:val="24"/>
                <w:szCs w:val="24"/>
              </w:rPr>
            </w:pPr>
            <w:r>
              <w:rPr>
                <w:rStyle w:val="33"/>
                <w:rFonts w:ascii="Times New Roman" w:hAnsi="Times New Roman" w:cs="Times New Roman"/>
                <w:color w:val="auto"/>
                <w:sz w:val="24"/>
                <w:szCs w:val="24"/>
              </w:rPr>
              <w:t>根据设计资料，本项目新建杆塔基础型式采用人工掏挖基础。</w:t>
            </w:r>
          </w:p>
          <w:p w14:paraId="1C2A9A12">
            <w:pPr>
              <w:widowControl/>
              <w:adjustRightInd w:val="0"/>
              <w:snapToGrid w:val="0"/>
              <w:spacing w:line="360" w:lineRule="auto"/>
              <w:jc w:val="left"/>
              <w:rPr>
                <w:b/>
                <w:bCs/>
                <w:color w:val="auto"/>
                <w:kern w:val="0"/>
                <w:sz w:val="24"/>
                <w:lang w:bidi="en-US"/>
              </w:rPr>
            </w:pPr>
            <w:r>
              <w:rPr>
                <w:b/>
                <w:bCs/>
                <w:color w:val="auto"/>
                <w:kern w:val="0"/>
                <w:sz w:val="24"/>
                <w:lang w:bidi="en-US"/>
              </w:rPr>
              <w:t>2.5并行线路</w:t>
            </w:r>
          </w:p>
          <w:p w14:paraId="1076627F">
            <w:pPr>
              <w:adjustRightInd w:val="0"/>
              <w:snapToGrid w:val="0"/>
              <w:spacing w:line="360" w:lineRule="auto"/>
              <w:ind w:firstLine="480" w:firstLineChars="200"/>
              <w:rPr>
                <w:color w:val="auto"/>
                <w:sz w:val="24"/>
              </w:rPr>
            </w:pPr>
            <w:r>
              <w:rPr>
                <w:color w:val="auto"/>
                <w:kern w:val="0"/>
                <w:sz w:val="24"/>
                <w:lang w:bidi="en-US"/>
              </w:rPr>
              <w:t>根据现场调查，本项目新建</w:t>
            </w:r>
            <w:r>
              <w:rPr>
                <w:color w:val="auto"/>
                <w:sz w:val="24"/>
              </w:rPr>
              <w:t>110kV单回架空线路与110kV油老线交叉跨越两次，交叉跨越处</w:t>
            </w:r>
            <w:r>
              <w:rPr>
                <w:color w:val="auto"/>
                <w:kern w:val="0"/>
                <w:sz w:val="24"/>
                <w:lang w:bidi="en-US"/>
              </w:rPr>
              <w:t>无包夹环境保护目标，详见附图2。</w:t>
            </w:r>
          </w:p>
          <w:p w14:paraId="4895BE96">
            <w:pPr>
              <w:adjustRightInd w:val="0"/>
              <w:snapToGrid w:val="0"/>
              <w:spacing w:line="360" w:lineRule="auto"/>
              <w:ind w:firstLine="480" w:firstLineChars="200"/>
              <w:rPr>
                <w:color w:val="auto"/>
                <w:kern w:val="0"/>
                <w:sz w:val="24"/>
                <w:lang w:bidi="en-US"/>
              </w:rPr>
            </w:pPr>
            <w:r>
              <w:rPr>
                <w:color w:val="auto"/>
                <w:kern w:val="0"/>
                <w:sz w:val="24"/>
                <w:lang w:bidi="en-US"/>
              </w:rPr>
              <w:t>本项目新建</w:t>
            </w:r>
            <w:r>
              <w:rPr>
                <w:color w:val="auto"/>
                <w:sz w:val="24"/>
              </w:rPr>
              <w:t>110kV单回架空线路与110kV油哨线并行走线约0.3km</w:t>
            </w:r>
            <w:r>
              <w:rPr>
                <w:color w:val="auto"/>
                <w:kern w:val="0"/>
                <w:sz w:val="24"/>
                <w:lang w:bidi="en-US"/>
              </w:rPr>
              <w:t>，并行间距约50m~80m，</w:t>
            </w:r>
            <w:r>
              <w:rPr>
                <w:color w:val="auto"/>
                <w:sz w:val="24"/>
              </w:rPr>
              <w:t>并行走线段</w:t>
            </w:r>
            <w:r>
              <w:rPr>
                <w:color w:val="auto"/>
                <w:kern w:val="0"/>
                <w:sz w:val="24"/>
                <w:lang w:bidi="en-US"/>
              </w:rPr>
              <w:t>无包夹环境保护目标，详见附图2。</w:t>
            </w:r>
          </w:p>
          <w:p w14:paraId="195C9AA9">
            <w:pPr>
              <w:pStyle w:val="47"/>
              <w:snapToGrid w:val="0"/>
              <w:spacing w:line="360" w:lineRule="auto"/>
              <w:ind w:firstLine="0" w:firstLineChars="0"/>
              <w:rPr>
                <w:rFonts w:ascii="Times New Roman" w:hAnsi="Times New Roman" w:cs="Times New Roman"/>
                <w:b/>
                <w:bCs/>
                <w:color w:val="auto"/>
              </w:rPr>
            </w:pPr>
            <w:r>
              <w:rPr>
                <w:rFonts w:ascii="Times New Roman" w:hAnsi="Times New Roman" w:cs="Times New Roman"/>
                <w:b/>
                <w:bCs/>
                <w:color w:val="auto"/>
              </w:rPr>
              <w:t>2.6工程占地</w:t>
            </w:r>
          </w:p>
          <w:p w14:paraId="146F60CC">
            <w:pPr>
              <w:autoSpaceDN w:val="0"/>
              <w:adjustRightInd w:val="0"/>
              <w:spacing w:line="360" w:lineRule="auto"/>
              <w:ind w:firstLine="480" w:firstLineChars="200"/>
              <w:rPr>
                <w:bCs/>
                <w:color w:val="auto"/>
                <w:sz w:val="24"/>
              </w:rPr>
            </w:pPr>
            <w:r>
              <w:rPr>
                <w:snapToGrid w:val="0"/>
                <w:color w:val="auto"/>
                <w:kern w:val="0"/>
                <w:sz w:val="24"/>
              </w:rPr>
              <w:t>根据可研资料，本项目总占地面积约1704m</w:t>
            </w:r>
            <w:r>
              <w:rPr>
                <w:snapToGrid w:val="0"/>
                <w:color w:val="auto"/>
                <w:kern w:val="0"/>
                <w:sz w:val="24"/>
                <w:vertAlign w:val="superscript"/>
              </w:rPr>
              <w:t>2</w:t>
            </w:r>
            <w:r>
              <w:rPr>
                <w:snapToGrid w:val="0"/>
                <w:color w:val="auto"/>
                <w:kern w:val="0"/>
                <w:sz w:val="24"/>
              </w:rPr>
              <w:t>，其中永久占地约704m</w:t>
            </w:r>
            <w:r>
              <w:rPr>
                <w:snapToGrid w:val="0"/>
                <w:color w:val="auto"/>
                <w:kern w:val="0"/>
                <w:sz w:val="24"/>
                <w:vertAlign w:val="superscript"/>
              </w:rPr>
              <w:t>2</w:t>
            </w:r>
            <w:r>
              <w:rPr>
                <w:snapToGrid w:val="0"/>
                <w:color w:val="auto"/>
                <w:kern w:val="0"/>
                <w:sz w:val="24"/>
              </w:rPr>
              <w:t>，临时占地约1000m</w:t>
            </w:r>
            <w:r>
              <w:rPr>
                <w:snapToGrid w:val="0"/>
                <w:color w:val="auto"/>
                <w:kern w:val="0"/>
                <w:sz w:val="24"/>
                <w:vertAlign w:val="superscript"/>
              </w:rPr>
              <w:t>2</w:t>
            </w:r>
            <w:r>
              <w:rPr>
                <w:snapToGrid w:val="0"/>
                <w:color w:val="auto"/>
                <w:kern w:val="0"/>
                <w:sz w:val="24"/>
              </w:rPr>
              <w:t>。永久占地为输电线路塔基用地；临时占地为塔基处施工临时用地、牵张场等。</w:t>
            </w:r>
            <w:r>
              <w:rPr>
                <w:bCs/>
                <w:color w:val="auto"/>
                <w:sz w:val="24"/>
              </w:rPr>
              <w:t>根据《土地利用现状分类》（GB/T 21010-2017），结合现场调查及可研资料，本工程占地类型分为农用地以及未利用地，工程占地不涉及基本农田，详见表2-4。</w:t>
            </w:r>
          </w:p>
          <w:p w14:paraId="348FE110">
            <w:pPr>
              <w:autoSpaceDN w:val="0"/>
              <w:snapToGrid w:val="0"/>
              <w:spacing w:line="360" w:lineRule="auto"/>
              <w:ind w:firstLine="482" w:firstLineChars="200"/>
              <w:jc w:val="center"/>
              <w:rPr>
                <w:b/>
                <w:bCs/>
                <w:color w:val="auto"/>
                <w:sz w:val="24"/>
              </w:rPr>
            </w:pPr>
            <w:r>
              <w:rPr>
                <w:b/>
                <w:bCs/>
                <w:color w:val="auto"/>
                <w:sz w:val="24"/>
              </w:rPr>
              <w:t xml:space="preserve"> 表2-4  本工程土地利用现状一览表   （单位m</w:t>
            </w:r>
            <w:r>
              <w:rPr>
                <w:b/>
                <w:bCs/>
                <w:color w:val="auto"/>
                <w:sz w:val="24"/>
                <w:vertAlign w:val="superscript"/>
              </w:rPr>
              <w:t>2</w:t>
            </w:r>
            <w:r>
              <w:rPr>
                <w:b/>
                <w:bCs/>
                <w:color w:val="auto"/>
                <w:sz w:val="24"/>
              </w:rPr>
              <w:t>）</w:t>
            </w:r>
          </w:p>
          <w:tbl>
            <w:tblPr>
              <w:tblStyle w:val="27"/>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480"/>
              <w:gridCol w:w="1276"/>
              <w:gridCol w:w="1276"/>
              <w:gridCol w:w="1191"/>
              <w:gridCol w:w="2655"/>
            </w:tblGrid>
            <w:tr w14:paraId="1D92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Align w:val="center"/>
                </w:tcPr>
                <w:p w14:paraId="17C51907">
                  <w:pPr>
                    <w:pStyle w:val="15"/>
                    <w:autoSpaceDN w:val="0"/>
                    <w:adjustRightInd w:val="0"/>
                    <w:snapToGrid w:val="0"/>
                    <w:spacing w:after="0" w:line="240" w:lineRule="auto"/>
                    <w:ind w:left="0" w:leftChars="0"/>
                    <w:jc w:val="center"/>
                    <w:textAlignment w:val="baseline"/>
                    <w:rPr>
                      <w:color w:val="auto"/>
                      <w:szCs w:val="21"/>
                    </w:rPr>
                  </w:pPr>
                  <w:r>
                    <w:rPr>
                      <w:color w:val="auto"/>
                      <w:szCs w:val="21"/>
                    </w:rPr>
                    <w:t>序号</w:t>
                  </w:r>
                </w:p>
              </w:tc>
              <w:tc>
                <w:tcPr>
                  <w:tcW w:w="1480" w:type="dxa"/>
                  <w:vAlign w:val="center"/>
                </w:tcPr>
                <w:p w14:paraId="2B44F487">
                  <w:pPr>
                    <w:pStyle w:val="15"/>
                    <w:autoSpaceDN w:val="0"/>
                    <w:adjustRightInd w:val="0"/>
                    <w:snapToGrid w:val="0"/>
                    <w:spacing w:after="0" w:line="240" w:lineRule="auto"/>
                    <w:ind w:left="0" w:leftChars="0"/>
                    <w:jc w:val="center"/>
                    <w:textAlignment w:val="baseline"/>
                    <w:rPr>
                      <w:color w:val="auto"/>
                      <w:szCs w:val="21"/>
                    </w:rPr>
                  </w:pPr>
                  <w:r>
                    <w:rPr>
                      <w:color w:val="auto"/>
                      <w:szCs w:val="21"/>
                    </w:rPr>
                    <w:t>占地类型</w:t>
                  </w:r>
                </w:p>
              </w:tc>
              <w:tc>
                <w:tcPr>
                  <w:tcW w:w="1276" w:type="dxa"/>
                  <w:vAlign w:val="center"/>
                </w:tcPr>
                <w:p w14:paraId="6BB0121D">
                  <w:pPr>
                    <w:widowControl/>
                    <w:jc w:val="center"/>
                    <w:textAlignment w:val="center"/>
                    <w:rPr>
                      <w:color w:val="auto"/>
                      <w:szCs w:val="21"/>
                      <w:lang w:bidi="en-US"/>
                    </w:rPr>
                  </w:pPr>
                  <w:r>
                    <w:rPr>
                      <w:color w:val="auto"/>
                      <w:kern w:val="0"/>
                      <w:szCs w:val="21"/>
                      <w:lang w:bidi="ar"/>
                    </w:rPr>
                    <w:t>农用地</w:t>
                  </w:r>
                </w:p>
              </w:tc>
              <w:tc>
                <w:tcPr>
                  <w:tcW w:w="1276" w:type="dxa"/>
                  <w:vAlign w:val="center"/>
                </w:tcPr>
                <w:p w14:paraId="09E1D6B4">
                  <w:pPr>
                    <w:widowControl/>
                    <w:jc w:val="center"/>
                    <w:textAlignment w:val="center"/>
                    <w:rPr>
                      <w:color w:val="auto"/>
                      <w:szCs w:val="21"/>
                    </w:rPr>
                  </w:pPr>
                  <w:r>
                    <w:rPr>
                      <w:color w:val="auto"/>
                      <w:kern w:val="0"/>
                      <w:szCs w:val="21"/>
                      <w:lang w:bidi="ar"/>
                    </w:rPr>
                    <w:t>未利用地</w:t>
                  </w:r>
                </w:p>
              </w:tc>
              <w:tc>
                <w:tcPr>
                  <w:tcW w:w="1191" w:type="dxa"/>
                  <w:vAlign w:val="center"/>
                </w:tcPr>
                <w:p w14:paraId="242EEAD1">
                  <w:pPr>
                    <w:widowControl/>
                    <w:jc w:val="center"/>
                    <w:textAlignment w:val="center"/>
                    <w:rPr>
                      <w:color w:val="auto"/>
                      <w:szCs w:val="21"/>
                      <w:lang w:bidi="en-US"/>
                    </w:rPr>
                  </w:pPr>
                  <w:r>
                    <w:rPr>
                      <w:color w:val="auto"/>
                      <w:kern w:val="0"/>
                      <w:szCs w:val="21"/>
                      <w:lang w:bidi="ar"/>
                    </w:rPr>
                    <w:t>合计</w:t>
                  </w:r>
                </w:p>
              </w:tc>
              <w:tc>
                <w:tcPr>
                  <w:tcW w:w="2655" w:type="dxa"/>
                  <w:vAlign w:val="center"/>
                </w:tcPr>
                <w:p w14:paraId="1EA09EB6">
                  <w:pPr>
                    <w:pStyle w:val="15"/>
                    <w:autoSpaceDN w:val="0"/>
                    <w:adjustRightInd w:val="0"/>
                    <w:snapToGrid w:val="0"/>
                    <w:spacing w:after="0" w:line="240" w:lineRule="auto"/>
                    <w:ind w:left="0" w:leftChars="0"/>
                    <w:jc w:val="center"/>
                    <w:textAlignment w:val="baseline"/>
                    <w:rPr>
                      <w:color w:val="auto"/>
                      <w:szCs w:val="21"/>
                    </w:rPr>
                  </w:pPr>
                  <w:r>
                    <w:rPr>
                      <w:color w:val="auto"/>
                      <w:szCs w:val="21"/>
                    </w:rPr>
                    <w:t>备注</w:t>
                  </w:r>
                </w:p>
              </w:tc>
            </w:tr>
            <w:tr w14:paraId="12A1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Align w:val="center"/>
                </w:tcPr>
                <w:p w14:paraId="2399576C">
                  <w:pPr>
                    <w:pStyle w:val="15"/>
                    <w:autoSpaceDN w:val="0"/>
                    <w:adjustRightInd w:val="0"/>
                    <w:snapToGrid w:val="0"/>
                    <w:spacing w:after="0" w:line="240" w:lineRule="auto"/>
                    <w:ind w:left="0" w:leftChars="0"/>
                    <w:jc w:val="center"/>
                    <w:textAlignment w:val="baseline"/>
                    <w:rPr>
                      <w:color w:val="auto"/>
                      <w:szCs w:val="21"/>
                    </w:rPr>
                  </w:pPr>
                  <w:r>
                    <w:rPr>
                      <w:color w:val="auto"/>
                      <w:szCs w:val="21"/>
                    </w:rPr>
                    <w:t>1</w:t>
                  </w:r>
                </w:p>
              </w:tc>
              <w:tc>
                <w:tcPr>
                  <w:tcW w:w="1480" w:type="dxa"/>
                  <w:vAlign w:val="center"/>
                </w:tcPr>
                <w:p w14:paraId="3A6B6B67">
                  <w:pPr>
                    <w:pStyle w:val="15"/>
                    <w:autoSpaceDN w:val="0"/>
                    <w:adjustRightInd w:val="0"/>
                    <w:snapToGrid w:val="0"/>
                    <w:spacing w:after="0" w:line="240" w:lineRule="auto"/>
                    <w:ind w:left="0" w:leftChars="0"/>
                    <w:jc w:val="center"/>
                    <w:textAlignment w:val="baseline"/>
                    <w:rPr>
                      <w:color w:val="auto"/>
                      <w:szCs w:val="21"/>
                    </w:rPr>
                  </w:pPr>
                  <w:r>
                    <w:rPr>
                      <w:color w:val="auto"/>
                      <w:szCs w:val="21"/>
                    </w:rPr>
                    <w:t>永久占地</w:t>
                  </w:r>
                </w:p>
              </w:tc>
              <w:tc>
                <w:tcPr>
                  <w:tcW w:w="1276" w:type="dxa"/>
                  <w:vAlign w:val="center"/>
                </w:tcPr>
                <w:p w14:paraId="3FB2E38C">
                  <w:pPr>
                    <w:widowControl/>
                    <w:jc w:val="center"/>
                    <w:textAlignment w:val="center"/>
                    <w:rPr>
                      <w:color w:val="auto"/>
                      <w:szCs w:val="21"/>
                    </w:rPr>
                  </w:pPr>
                  <w:r>
                    <w:rPr>
                      <w:color w:val="auto"/>
                      <w:kern w:val="0"/>
                      <w:szCs w:val="21"/>
                      <w:lang w:bidi="ar"/>
                    </w:rPr>
                    <w:t>704</w:t>
                  </w:r>
                </w:p>
              </w:tc>
              <w:tc>
                <w:tcPr>
                  <w:tcW w:w="1276" w:type="dxa"/>
                  <w:vAlign w:val="center"/>
                </w:tcPr>
                <w:p w14:paraId="6AE8C9A2">
                  <w:pPr>
                    <w:widowControl/>
                    <w:jc w:val="center"/>
                    <w:textAlignment w:val="center"/>
                    <w:rPr>
                      <w:color w:val="auto"/>
                      <w:szCs w:val="21"/>
                    </w:rPr>
                  </w:pPr>
                  <w:r>
                    <w:rPr>
                      <w:color w:val="auto"/>
                      <w:kern w:val="0"/>
                      <w:szCs w:val="21"/>
                      <w:lang w:bidi="ar"/>
                    </w:rPr>
                    <w:t>0</w:t>
                  </w:r>
                </w:p>
              </w:tc>
              <w:tc>
                <w:tcPr>
                  <w:tcW w:w="1191" w:type="dxa"/>
                  <w:vAlign w:val="center"/>
                </w:tcPr>
                <w:p w14:paraId="3C5466AD">
                  <w:pPr>
                    <w:widowControl/>
                    <w:jc w:val="center"/>
                    <w:textAlignment w:val="center"/>
                    <w:rPr>
                      <w:color w:val="auto"/>
                      <w:szCs w:val="21"/>
                    </w:rPr>
                  </w:pPr>
                  <w:r>
                    <w:rPr>
                      <w:color w:val="auto"/>
                      <w:kern w:val="0"/>
                      <w:szCs w:val="21"/>
                      <w:lang w:bidi="ar"/>
                    </w:rPr>
                    <w:t>704</w:t>
                  </w:r>
                </w:p>
              </w:tc>
              <w:tc>
                <w:tcPr>
                  <w:tcW w:w="2655" w:type="dxa"/>
                  <w:vAlign w:val="center"/>
                </w:tcPr>
                <w:p w14:paraId="60214215">
                  <w:pPr>
                    <w:pStyle w:val="15"/>
                    <w:autoSpaceDN w:val="0"/>
                    <w:adjustRightInd w:val="0"/>
                    <w:snapToGrid w:val="0"/>
                    <w:spacing w:after="0" w:line="240" w:lineRule="auto"/>
                    <w:ind w:left="0" w:leftChars="0"/>
                    <w:jc w:val="center"/>
                    <w:textAlignment w:val="baseline"/>
                    <w:rPr>
                      <w:color w:val="auto"/>
                      <w:szCs w:val="21"/>
                    </w:rPr>
                  </w:pPr>
                  <w:r>
                    <w:rPr>
                      <w:color w:val="auto"/>
                      <w:szCs w:val="21"/>
                    </w:rPr>
                    <w:t>不涉及基本农田</w:t>
                  </w:r>
                </w:p>
              </w:tc>
            </w:tr>
            <w:tr w14:paraId="78B6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Align w:val="center"/>
                </w:tcPr>
                <w:p w14:paraId="1583590E">
                  <w:pPr>
                    <w:pStyle w:val="15"/>
                    <w:autoSpaceDN w:val="0"/>
                    <w:adjustRightInd w:val="0"/>
                    <w:snapToGrid w:val="0"/>
                    <w:spacing w:after="0" w:line="240" w:lineRule="auto"/>
                    <w:ind w:left="0" w:leftChars="0"/>
                    <w:jc w:val="center"/>
                    <w:textAlignment w:val="baseline"/>
                    <w:rPr>
                      <w:color w:val="auto"/>
                      <w:szCs w:val="21"/>
                    </w:rPr>
                  </w:pPr>
                  <w:r>
                    <w:rPr>
                      <w:color w:val="auto"/>
                      <w:szCs w:val="21"/>
                    </w:rPr>
                    <w:t>2</w:t>
                  </w:r>
                </w:p>
              </w:tc>
              <w:tc>
                <w:tcPr>
                  <w:tcW w:w="1480" w:type="dxa"/>
                  <w:vAlign w:val="center"/>
                </w:tcPr>
                <w:p w14:paraId="78E50E5A">
                  <w:pPr>
                    <w:pStyle w:val="15"/>
                    <w:autoSpaceDN w:val="0"/>
                    <w:adjustRightInd w:val="0"/>
                    <w:snapToGrid w:val="0"/>
                    <w:spacing w:after="0" w:line="240" w:lineRule="auto"/>
                    <w:ind w:left="0" w:leftChars="0"/>
                    <w:jc w:val="center"/>
                    <w:textAlignment w:val="baseline"/>
                    <w:rPr>
                      <w:color w:val="auto"/>
                      <w:szCs w:val="21"/>
                    </w:rPr>
                  </w:pPr>
                  <w:r>
                    <w:rPr>
                      <w:color w:val="auto"/>
                      <w:szCs w:val="21"/>
                    </w:rPr>
                    <w:t>临时占地</w:t>
                  </w:r>
                </w:p>
              </w:tc>
              <w:tc>
                <w:tcPr>
                  <w:tcW w:w="1276" w:type="dxa"/>
                  <w:vAlign w:val="center"/>
                </w:tcPr>
                <w:p w14:paraId="0AFEAF97">
                  <w:pPr>
                    <w:widowControl/>
                    <w:jc w:val="center"/>
                    <w:textAlignment w:val="center"/>
                    <w:rPr>
                      <w:color w:val="auto"/>
                      <w:szCs w:val="21"/>
                    </w:rPr>
                  </w:pPr>
                  <w:r>
                    <w:rPr>
                      <w:color w:val="auto"/>
                      <w:kern w:val="0"/>
                      <w:szCs w:val="21"/>
                      <w:lang w:bidi="ar"/>
                    </w:rPr>
                    <w:t>350</w:t>
                  </w:r>
                </w:p>
              </w:tc>
              <w:tc>
                <w:tcPr>
                  <w:tcW w:w="1276" w:type="dxa"/>
                  <w:vAlign w:val="center"/>
                </w:tcPr>
                <w:p w14:paraId="7C77CD4B">
                  <w:pPr>
                    <w:widowControl/>
                    <w:jc w:val="center"/>
                    <w:textAlignment w:val="center"/>
                    <w:rPr>
                      <w:color w:val="auto"/>
                      <w:szCs w:val="21"/>
                    </w:rPr>
                  </w:pPr>
                  <w:r>
                    <w:rPr>
                      <w:color w:val="auto"/>
                      <w:kern w:val="0"/>
                      <w:szCs w:val="21"/>
                      <w:lang w:bidi="ar"/>
                    </w:rPr>
                    <w:t>650</w:t>
                  </w:r>
                </w:p>
              </w:tc>
              <w:tc>
                <w:tcPr>
                  <w:tcW w:w="1191" w:type="dxa"/>
                  <w:vAlign w:val="center"/>
                </w:tcPr>
                <w:p w14:paraId="57FE5322">
                  <w:pPr>
                    <w:widowControl/>
                    <w:jc w:val="center"/>
                    <w:textAlignment w:val="center"/>
                    <w:rPr>
                      <w:color w:val="auto"/>
                      <w:szCs w:val="21"/>
                    </w:rPr>
                  </w:pPr>
                  <w:r>
                    <w:rPr>
                      <w:color w:val="auto"/>
                      <w:kern w:val="0"/>
                      <w:szCs w:val="21"/>
                      <w:lang w:bidi="ar"/>
                    </w:rPr>
                    <w:t>1000</w:t>
                  </w:r>
                </w:p>
              </w:tc>
              <w:tc>
                <w:tcPr>
                  <w:tcW w:w="2655" w:type="dxa"/>
                  <w:vAlign w:val="center"/>
                </w:tcPr>
                <w:p w14:paraId="02F788D9">
                  <w:pPr>
                    <w:pStyle w:val="15"/>
                    <w:autoSpaceDN w:val="0"/>
                    <w:adjustRightInd w:val="0"/>
                    <w:snapToGrid w:val="0"/>
                    <w:spacing w:after="0" w:line="240" w:lineRule="auto"/>
                    <w:ind w:left="0" w:leftChars="0"/>
                    <w:jc w:val="center"/>
                    <w:textAlignment w:val="baseline"/>
                    <w:rPr>
                      <w:color w:val="auto"/>
                      <w:szCs w:val="21"/>
                    </w:rPr>
                  </w:pPr>
                  <w:r>
                    <w:rPr>
                      <w:color w:val="auto"/>
                      <w:szCs w:val="21"/>
                    </w:rPr>
                    <w:t>不涉及基本农田</w:t>
                  </w:r>
                </w:p>
              </w:tc>
            </w:tr>
            <w:tr w14:paraId="7509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8" w:type="dxa"/>
                  <w:gridSpan w:val="2"/>
                </w:tcPr>
                <w:p w14:paraId="77D4B147">
                  <w:pPr>
                    <w:pStyle w:val="15"/>
                    <w:autoSpaceDN w:val="0"/>
                    <w:adjustRightInd w:val="0"/>
                    <w:snapToGrid w:val="0"/>
                    <w:spacing w:after="0" w:line="240" w:lineRule="auto"/>
                    <w:ind w:left="0" w:leftChars="0"/>
                    <w:jc w:val="center"/>
                    <w:textAlignment w:val="baseline"/>
                    <w:rPr>
                      <w:color w:val="auto"/>
                      <w:szCs w:val="21"/>
                    </w:rPr>
                  </w:pPr>
                  <w:r>
                    <w:rPr>
                      <w:color w:val="auto"/>
                      <w:szCs w:val="21"/>
                    </w:rPr>
                    <w:t>总计</w:t>
                  </w:r>
                </w:p>
              </w:tc>
              <w:tc>
                <w:tcPr>
                  <w:tcW w:w="1276" w:type="dxa"/>
                  <w:vAlign w:val="center"/>
                </w:tcPr>
                <w:p w14:paraId="6E2FB934">
                  <w:pPr>
                    <w:widowControl/>
                    <w:jc w:val="center"/>
                    <w:textAlignment w:val="center"/>
                    <w:rPr>
                      <w:color w:val="auto"/>
                      <w:szCs w:val="21"/>
                    </w:rPr>
                  </w:pPr>
                  <w:r>
                    <w:rPr>
                      <w:color w:val="auto"/>
                      <w:kern w:val="0"/>
                      <w:szCs w:val="21"/>
                      <w:lang w:bidi="ar"/>
                    </w:rPr>
                    <w:t>1054</w:t>
                  </w:r>
                </w:p>
              </w:tc>
              <w:tc>
                <w:tcPr>
                  <w:tcW w:w="1276" w:type="dxa"/>
                  <w:vAlign w:val="center"/>
                </w:tcPr>
                <w:p w14:paraId="6D9C23A8">
                  <w:pPr>
                    <w:widowControl/>
                    <w:jc w:val="center"/>
                    <w:textAlignment w:val="center"/>
                    <w:rPr>
                      <w:color w:val="auto"/>
                      <w:szCs w:val="21"/>
                    </w:rPr>
                  </w:pPr>
                  <w:r>
                    <w:rPr>
                      <w:color w:val="auto"/>
                      <w:kern w:val="0"/>
                      <w:szCs w:val="21"/>
                      <w:lang w:bidi="ar"/>
                    </w:rPr>
                    <w:t>650</w:t>
                  </w:r>
                </w:p>
              </w:tc>
              <w:tc>
                <w:tcPr>
                  <w:tcW w:w="1191" w:type="dxa"/>
                  <w:vAlign w:val="center"/>
                </w:tcPr>
                <w:p w14:paraId="40105486">
                  <w:pPr>
                    <w:widowControl/>
                    <w:jc w:val="center"/>
                    <w:textAlignment w:val="center"/>
                    <w:rPr>
                      <w:color w:val="auto"/>
                      <w:szCs w:val="21"/>
                    </w:rPr>
                  </w:pPr>
                  <w:r>
                    <w:rPr>
                      <w:color w:val="auto"/>
                      <w:kern w:val="0"/>
                      <w:szCs w:val="21"/>
                      <w:lang w:bidi="ar"/>
                    </w:rPr>
                    <w:t>1704</w:t>
                  </w:r>
                </w:p>
              </w:tc>
              <w:tc>
                <w:tcPr>
                  <w:tcW w:w="2655" w:type="dxa"/>
                  <w:vAlign w:val="center"/>
                </w:tcPr>
                <w:p w14:paraId="77A78EC0">
                  <w:pPr>
                    <w:pStyle w:val="15"/>
                    <w:autoSpaceDN w:val="0"/>
                    <w:adjustRightInd w:val="0"/>
                    <w:snapToGrid w:val="0"/>
                    <w:spacing w:after="0" w:line="240" w:lineRule="auto"/>
                    <w:ind w:left="0" w:leftChars="0"/>
                    <w:jc w:val="center"/>
                    <w:textAlignment w:val="baseline"/>
                    <w:rPr>
                      <w:color w:val="auto"/>
                      <w:szCs w:val="21"/>
                    </w:rPr>
                  </w:pPr>
                  <w:r>
                    <w:rPr>
                      <w:color w:val="auto"/>
                      <w:szCs w:val="21"/>
                    </w:rPr>
                    <w:t>/</w:t>
                  </w:r>
                </w:p>
              </w:tc>
            </w:tr>
          </w:tbl>
          <w:p w14:paraId="308B276B">
            <w:pPr>
              <w:pStyle w:val="47"/>
              <w:wordWrap w:val="0"/>
              <w:spacing w:line="360" w:lineRule="auto"/>
              <w:ind w:firstLine="0" w:firstLineChars="0"/>
              <w:rPr>
                <w:rFonts w:ascii="Times New Roman" w:hAnsi="Times New Roman" w:cs="Times New Roman"/>
                <w:b/>
                <w:bCs/>
                <w:color w:val="auto"/>
              </w:rPr>
            </w:pPr>
            <w:r>
              <w:rPr>
                <w:rFonts w:ascii="Times New Roman" w:hAnsi="Times New Roman" w:cs="Times New Roman"/>
                <w:b/>
                <w:bCs/>
                <w:color w:val="auto"/>
              </w:rPr>
              <w:t>2.7土石方量</w:t>
            </w:r>
          </w:p>
          <w:p w14:paraId="408E2B9B">
            <w:pPr>
              <w:autoSpaceDN w:val="0"/>
              <w:adjustRightInd w:val="0"/>
              <w:snapToGrid w:val="0"/>
              <w:spacing w:line="360" w:lineRule="auto"/>
              <w:ind w:firstLine="480" w:firstLineChars="200"/>
              <w:textAlignment w:val="baseline"/>
              <w:rPr>
                <w:b/>
                <w:bCs/>
                <w:color w:val="auto"/>
                <w:sz w:val="24"/>
              </w:rPr>
            </w:pPr>
            <w:r>
              <w:rPr>
                <w:bCs/>
                <w:color w:val="auto"/>
                <w:sz w:val="24"/>
              </w:rPr>
              <w:t>根据设计资料，本项目新建10基杆塔，</w:t>
            </w:r>
            <w:r>
              <w:rPr>
                <w:color w:val="auto"/>
                <w:sz w:val="24"/>
              </w:rPr>
              <w:t>塔基挖方量共计约1000m</w:t>
            </w:r>
            <w:r>
              <w:rPr>
                <w:color w:val="auto"/>
                <w:sz w:val="24"/>
                <w:vertAlign w:val="superscript"/>
              </w:rPr>
              <w:t>3</w:t>
            </w:r>
            <w:r>
              <w:rPr>
                <w:color w:val="auto"/>
                <w:sz w:val="24"/>
              </w:rPr>
              <w:t>，填方约700m</w:t>
            </w:r>
            <w:r>
              <w:rPr>
                <w:color w:val="auto"/>
                <w:sz w:val="24"/>
                <w:vertAlign w:val="superscript"/>
              </w:rPr>
              <w:t>3</w:t>
            </w:r>
            <w:r>
              <w:rPr>
                <w:color w:val="auto"/>
                <w:sz w:val="24"/>
              </w:rPr>
              <w:t>，</w:t>
            </w:r>
            <w:r>
              <w:rPr>
                <w:rFonts w:hint="eastAsia"/>
                <w:color w:val="auto"/>
                <w:sz w:val="24"/>
              </w:rPr>
              <w:t>回用方</w:t>
            </w:r>
            <w:r>
              <w:rPr>
                <w:color w:val="auto"/>
                <w:sz w:val="24"/>
              </w:rPr>
              <w:t>约300m</w:t>
            </w:r>
            <w:r>
              <w:rPr>
                <w:color w:val="auto"/>
                <w:sz w:val="24"/>
                <w:vertAlign w:val="superscript"/>
              </w:rPr>
              <w:t>3</w:t>
            </w:r>
            <w:r>
              <w:rPr>
                <w:color w:val="auto"/>
                <w:sz w:val="24"/>
              </w:rPr>
              <w:t>，</w:t>
            </w:r>
            <w:r>
              <w:rPr>
                <w:rFonts w:hint="eastAsia"/>
                <w:color w:val="auto"/>
                <w:sz w:val="24"/>
              </w:rPr>
              <w:t>回用方</w:t>
            </w:r>
            <w:r>
              <w:rPr>
                <w:color w:val="auto"/>
                <w:sz w:val="24"/>
              </w:rPr>
              <w:t>拟堆放回填在塔基周围低洼处，工程沿线不设弃渣场。</w:t>
            </w:r>
          </w:p>
        </w:tc>
      </w:tr>
      <w:tr w14:paraId="40610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56396724">
            <w:pPr>
              <w:adjustRightInd w:val="0"/>
              <w:snapToGrid w:val="0"/>
              <w:jc w:val="center"/>
              <w:rPr>
                <w:color w:val="auto"/>
                <w:sz w:val="24"/>
              </w:rPr>
            </w:pPr>
          </w:p>
          <w:p w14:paraId="70C616FA">
            <w:pPr>
              <w:adjustRightInd w:val="0"/>
              <w:snapToGrid w:val="0"/>
              <w:jc w:val="center"/>
              <w:rPr>
                <w:color w:val="auto"/>
                <w:sz w:val="24"/>
              </w:rPr>
            </w:pPr>
          </w:p>
          <w:p w14:paraId="332BEE71">
            <w:pPr>
              <w:adjustRightInd w:val="0"/>
              <w:snapToGrid w:val="0"/>
              <w:jc w:val="center"/>
              <w:rPr>
                <w:color w:val="auto"/>
                <w:sz w:val="24"/>
              </w:rPr>
            </w:pPr>
          </w:p>
          <w:p w14:paraId="58DDF751">
            <w:pPr>
              <w:adjustRightInd w:val="0"/>
              <w:snapToGrid w:val="0"/>
              <w:jc w:val="center"/>
              <w:rPr>
                <w:color w:val="auto"/>
                <w:sz w:val="24"/>
              </w:rPr>
            </w:pPr>
          </w:p>
          <w:p w14:paraId="64E0014D">
            <w:pPr>
              <w:adjustRightInd w:val="0"/>
              <w:snapToGrid w:val="0"/>
              <w:jc w:val="center"/>
              <w:rPr>
                <w:color w:val="auto"/>
                <w:sz w:val="24"/>
              </w:rPr>
            </w:pPr>
          </w:p>
          <w:p w14:paraId="48D05A45">
            <w:pPr>
              <w:adjustRightInd w:val="0"/>
              <w:snapToGrid w:val="0"/>
              <w:jc w:val="center"/>
              <w:rPr>
                <w:b/>
                <w:color w:val="auto"/>
                <w:sz w:val="24"/>
              </w:rPr>
            </w:pPr>
            <w:r>
              <w:rPr>
                <w:b/>
                <w:color w:val="auto"/>
                <w:sz w:val="24"/>
              </w:rPr>
              <w:t>总平面及现场布置</w:t>
            </w:r>
          </w:p>
        </w:tc>
        <w:tc>
          <w:tcPr>
            <w:tcW w:w="9032" w:type="dxa"/>
            <w:vAlign w:val="center"/>
          </w:tcPr>
          <w:p w14:paraId="49E2A165">
            <w:pPr>
              <w:pStyle w:val="47"/>
              <w:wordWrap w:val="0"/>
              <w:snapToGrid w:val="0"/>
              <w:spacing w:line="356" w:lineRule="auto"/>
              <w:ind w:firstLine="0" w:firstLineChars="0"/>
              <w:rPr>
                <w:rFonts w:ascii="Times New Roman" w:hAnsi="Times New Roman" w:cs="Times New Roman"/>
                <w:b/>
                <w:bCs/>
                <w:color w:val="auto"/>
              </w:rPr>
            </w:pPr>
            <w:r>
              <w:rPr>
                <w:rFonts w:ascii="Times New Roman" w:hAnsi="Times New Roman" w:cs="Times New Roman"/>
                <w:b/>
                <w:bCs/>
                <w:color w:val="auto"/>
              </w:rPr>
              <w:t>1、总平面布置</w:t>
            </w:r>
          </w:p>
          <w:p w14:paraId="6D86AA27">
            <w:pPr>
              <w:pStyle w:val="47"/>
              <w:snapToGrid w:val="0"/>
              <w:spacing w:line="356" w:lineRule="auto"/>
              <w:jc w:val="both"/>
              <w:rPr>
                <w:rFonts w:ascii="Times New Roman" w:hAnsi="Times New Roman" w:cs="Times New Roman"/>
                <w:color w:val="auto"/>
              </w:rPr>
            </w:pPr>
            <w:r>
              <w:rPr>
                <w:rFonts w:ascii="Times New Roman" w:hAnsi="Times New Roman" w:cs="Times New Roman"/>
                <w:color w:val="auto"/>
              </w:rPr>
              <w:t>线路起于原110kV油华线3号，止于原110kV油华线12号。线路在原110kV油华线3号利于原有线路向西北走线至本期新建N4号塔（原110kV油华线4号小号侧约70m处），在本期新建N4号塔处转向北走线，跨越110kV热驰线、油老线继续向北走线至本期新建N8号塔，在N8号塔转向西走线至本期新建N13号塔（原110kV油华线11号小号侧约20m处），在本期新建N13号塔处利用原有线路继续向西走线并接入原线路。新建段线路全长约4.1km，新建杆塔共计11基。线路路径图见附图2。</w:t>
            </w:r>
          </w:p>
          <w:p w14:paraId="48DCAE7D">
            <w:pPr>
              <w:pStyle w:val="47"/>
              <w:wordWrap w:val="0"/>
              <w:snapToGrid w:val="0"/>
              <w:spacing w:line="356" w:lineRule="auto"/>
              <w:ind w:firstLine="0" w:firstLineChars="0"/>
              <w:rPr>
                <w:rFonts w:ascii="Times New Roman" w:hAnsi="Times New Roman" w:cs="Times New Roman"/>
                <w:b/>
                <w:bCs/>
                <w:color w:val="auto"/>
              </w:rPr>
            </w:pPr>
            <w:r>
              <w:rPr>
                <w:rFonts w:ascii="Times New Roman" w:hAnsi="Times New Roman" w:cs="Times New Roman"/>
                <w:b/>
                <w:bCs/>
                <w:color w:val="auto"/>
              </w:rPr>
              <w:t>2、施工布置</w:t>
            </w:r>
          </w:p>
          <w:p w14:paraId="74117097">
            <w:pPr>
              <w:adjustRightInd w:val="0"/>
              <w:snapToGrid w:val="0"/>
              <w:spacing w:line="356" w:lineRule="auto"/>
              <w:ind w:firstLine="482" w:firstLineChars="200"/>
              <w:rPr>
                <w:b/>
                <w:bCs/>
                <w:color w:val="auto"/>
                <w:sz w:val="24"/>
              </w:rPr>
            </w:pPr>
            <w:r>
              <w:rPr>
                <w:b/>
                <w:bCs/>
                <w:color w:val="auto"/>
                <w:sz w:val="24"/>
              </w:rPr>
              <w:t>（1）交通运输</w:t>
            </w:r>
          </w:p>
          <w:p w14:paraId="3F3DF24F">
            <w:pPr>
              <w:adjustRightInd w:val="0"/>
              <w:snapToGrid w:val="0"/>
              <w:spacing w:line="356" w:lineRule="auto"/>
              <w:ind w:firstLine="464" w:firstLineChars="200"/>
              <w:rPr>
                <w:color w:val="auto"/>
                <w:sz w:val="24"/>
              </w:rPr>
            </w:pPr>
            <w:r>
              <w:rPr>
                <w:color w:val="auto"/>
                <w:spacing w:val="-4"/>
                <w:kern w:val="0"/>
                <w:sz w:val="24"/>
                <w:lang w:bidi="en-US"/>
              </w:rPr>
              <w:t>本项目位于涪陵区白涛街道，周边有G319、华峰大道及白涛工业园区内道路等交通要道可利用，交通条件较好，</w:t>
            </w:r>
            <w:r>
              <w:rPr>
                <w:color w:val="auto"/>
                <w:sz w:val="24"/>
              </w:rPr>
              <w:t>施工期尽量利用现有道路，在交通不便区域采用人背马驮方式，本项目施工期不开辟施工便道。</w:t>
            </w:r>
          </w:p>
          <w:p w14:paraId="0CFAB13A">
            <w:pPr>
              <w:widowControl/>
              <w:adjustRightInd w:val="0"/>
              <w:snapToGrid w:val="0"/>
              <w:spacing w:line="356" w:lineRule="auto"/>
              <w:ind w:firstLine="466" w:firstLineChars="200"/>
              <w:jc w:val="left"/>
              <w:rPr>
                <w:b/>
                <w:color w:val="auto"/>
                <w:spacing w:val="-4"/>
                <w:kern w:val="0"/>
                <w:sz w:val="24"/>
                <w:lang w:bidi="en-US"/>
              </w:rPr>
            </w:pPr>
            <w:r>
              <w:rPr>
                <w:b/>
                <w:color w:val="auto"/>
                <w:spacing w:val="-4"/>
                <w:kern w:val="0"/>
                <w:sz w:val="24"/>
                <w:lang w:bidi="en-US"/>
              </w:rPr>
              <w:t>（2）材料供应</w:t>
            </w:r>
          </w:p>
          <w:p w14:paraId="3DDE9838">
            <w:pPr>
              <w:widowControl/>
              <w:adjustRightInd w:val="0"/>
              <w:snapToGrid w:val="0"/>
              <w:spacing w:line="356" w:lineRule="auto"/>
              <w:ind w:firstLine="480" w:firstLineChars="200"/>
              <w:jc w:val="left"/>
              <w:rPr>
                <w:color w:val="auto"/>
                <w:sz w:val="24"/>
                <w:szCs w:val="20"/>
              </w:rPr>
            </w:pPr>
            <w:r>
              <w:rPr>
                <w:color w:val="auto"/>
                <w:kern w:val="0"/>
                <w:sz w:val="24"/>
                <w:lang w:bidi="en-US"/>
              </w:rPr>
              <w:t>项目不具备商品混凝土条件，塔基所用混凝土均采取现场人工拌合方式，线路塔基施工所用河沙、石子、水泥等施工材料均外购，所采用的砂石料清洗均由供货方清洗完毕后再运输至塔基附近，现场不进行砂石料清洗。线路杆塔为外购杆塔材料，杆塔材料为镀锌钢材，均由杆塔材料供应商在工厂内镀锌完成后分段包装后，运送至项目塔基附近，现场人工组装，现场不进行喷涂作业</w:t>
            </w:r>
            <w:r>
              <w:rPr>
                <w:color w:val="auto"/>
                <w:spacing w:val="-4"/>
                <w:kern w:val="0"/>
                <w:sz w:val="24"/>
                <w:lang w:bidi="en-US"/>
              </w:rPr>
              <w:t>。</w:t>
            </w:r>
          </w:p>
          <w:p w14:paraId="466F5035">
            <w:pPr>
              <w:adjustRightInd w:val="0"/>
              <w:snapToGrid w:val="0"/>
              <w:spacing w:line="356" w:lineRule="auto"/>
              <w:ind w:firstLine="482" w:firstLineChars="200"/>
              <w:rPr>
                <w:b/>
                <w:bCs/>
                <w:color w:val="auto"/>
                <w:sz w:val="24"/>
              </w:rPr>
            </w:pPr>
            <w:r>
              <w:rPr>
                <w:b/>
                <w:bCs/>
                <w:color w:val="auto"/>
                <w:sz w:val="24"/>
              </w:rPr>
              <w:t>（3）材料站</w:t>
            </w:r>
          </w:p>
          <w:p w14:paraId="049B66BD">
            <w:pPr>
              <w:widowControl/>
              <w:adjustRightInd w:val="0"/>
              <w:snapToGrid w:val="0"/>
              <w:spacing w:line="356" w:lineRule="auto"/>
              <w:ind w:firstLine="464" w:firstLineChars="200"/>
              <w:jc w:val="left"/>
              <w:rPr>
                <w:color w:val="auto"/>
                <w:spacing w:val="-4"/>
                <w:kern w:val="0"/>
                <w:sz w:val="24"/>
                <w:lang w:bidi="en-US"/>
              </w:rPr>
            </w:pPr>
            <w:r>
              <w:rPr>
                <w:color w:val="auto"/>
                <w:spacing w:val="-4"/>
                <w:kern w:val="0"/>
                <w:sz w:val="24"/>
                <w:lang w:bidi="en-US"/>
              </w:rPr>
              <w:t>线路沿线材料临时堆放于塔基永久占地范围内，部分材料可堆放于牵张场处，不设材料站。</w:t>
            </w:r>
          </w:p>
          <w:p w14:paraId="40FE4141">
            <w:pPr>
              <w:widowControl/>
              <w:adjustRightInd w:val="0"/>
              <w:snapToGrid w:val="0"/>
              <w:spacing w:line="356" w:lineRule="auto"/>
              <w:ind w:firstLine="466" w:firstLineChars="200"/>
              <w:jc w:val="left"/>
              <w:rPr>
                <w:b/>
                <w:bCs/>
                <w:color w:val="auto"/>
                <w:spacing w:val="-4"/>
                <w:kern w:val="0"/>
                <w:sz w:val="24"/>
                <w:lang w:bidi="en-US"/>
              </w:rPr>
            </w:pPr>
            <w:r>
              <w:rPr>
                <w:b/>
                <w:bCs/>
                <w:color w:val="auto"/>
                <w:spacing w:val="-4"/>
                <w:kern w:val="0"/>
                <w:sz w:val="24"/>
                <w:lang w:bidi="en-US"/>
              </w:rPr>
              <w:t>（4）牵张场</w:t>
            </w:r>
          </w:p>
          <w:p w14:paraId="3D101F50">
            <w:pPr>
              <w:widowControl/>
              <w:adjustRightInd w:val="0"/>
              <w:snapToGrid w:val="0"/>
              <w:spacing w:line="356" w:lineRule="auto"/>
              <w:ind w:firstLine="480" w:firstLineChars="200"/>
              <w:jc w:val="left"/>
              <w:rPr>
                <w:color w:val="auto"/>
                <w:kern w:val="0"/>
                <w:sz w:val="24"/>
                <w:lang w:bidi="en-US"/>
              </w:rPr>
            </w:pPr>
            <w:r>
              <w:rPr>
                <w:color w:val="auto"/>
                <w:kern w:val="0"/>
                <w:sz w:val="24"/>
                <w:lang w:bidi="en-US"/>
              </w:rPr>
              <w:t>本工程导线架设采用张力放线，需设置牵张场，场地内需放置张力机、牵引机以及线缆。根据可研资料，</w:t>
            </w:r>
            <w:r>
              <w:rPr>
                <w:color w:val="auto"/>
                <w:spacing w:val="-4"/>
                <w:kern w:val="0"/>
                <w:sz w:val="24"/>
                <w:lang w:bidi="en-US"/>
              </w:rPr>
              <w:t>本项目线路路径较短，预设牵张场2个，占地面积约400m</w:t>
            </w:r>
            <w:r>
              <w:rPr>
                <w:color w:val="auto"/>
                <w:spacing w:val="-4"/>
                <w:kern w:val="0"/>
                <w:sz w:val="24"/>
                <w:vertAlign w:val="superscript"/>
                <w:lang w:bidi="en-US"/>
              </w:rPr>
              <w:t>2</w:t>
            </w:r>
            <w:r>
              <w:rPr>
                <w:color w:val="auto"/>
                <w:spacing w:val="-4"/>
                <w:kern w:val="0"/>
                <w:sz w:val="24"/>
                <w:lang w:bidi="en-US"/>
              </w:rPr>
              <w:t>。经咨询建设单位，牵张场位置尚未确定，牵张场应利用周边现有平坦或坡度较缓地带进行布置，禁止占用基本农田。</w:t>
            </w:r>
          </w:p>
          <w:p w14:paraId="176C3293">
            <w:pPr>
              <w:widowControl/>
              <w:adjustRightInd w:val="0"/>
              <w:snapToGrid w:val="0"/>
              <w:spacing w:line="356" w:lineRule="auto"/>
              <w:ind w:firstLine="466" w:firstLineChars="200"/>
              <w:jc w:val="left"/>
              <w:rPr>
                <w:b/>
                <w:bCs/>
                <w:color w:val="auto"/>
                <w:spacing w:val="-4"/>
                <w:kern w:val="0"/>
                <w:sz w:val="24"/>
                <w:lang w:bidi="en-US"/>
              </w:rPr>
            </w:pPr>
            <w:r>
              <w:rPr>
                <w:b/>
                <w:bCs/>
                <w:color w:val="auto"/>
                <w:spacing w:val="-4"/>
                <w:kern w:val="0"/>
                <w:sz w:val="24"/>
                <w:lang w:bidi="en-US"/>
              </w:rPr>
              <w:t>（5）施工营地</w:t>
            </w:r>
          </w:p>
          <w:p w14:paraId="40DA66CD">
            <w:pPr>
              <w:pStyle w:val="47"/>
              <w:wordWrap w:val="0"/>
              <w:snapToGrid w:val="0"/>
              <w:spacing w:line="356" w:lineRule="auto"/>
              <w:rPr>
                <w:rFonts w:ascii="Times New Roman" w:hAnsi="Times New Roman" w:cs="Times New Roman"/>
                <w:color w:val="auto"/>
                <w:spacing w:val="-4"/>
                <w:kern w:val="0"/>
              </w:rPr>
            </w:pPr>
            <w:r>
              <w:rPr>
                <w:rFonts w:ascii="Times New Roman" w:hAnsi="Times New Roman" w:cs="Times New Roman"/>
                <w:color w:val="auto"/>
                <w:kern w:val="0"/>
              </w:rPr>
              <w:t>根据可研资料，本项目施工期工程量较小且呈点状分布，单个塔基施工期短，施工人员较少，且线路周边分布有空置民房，施工人员就近租用项目周边房屋，不另设施工营地。</w:t>
            </w:r>
          </w:p>
        </w:tc>
      </w:tr>
      <w:tr w14:paraId="14C19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0B0EE82F">
            <w:pPr>
              <w:adjustRightInd w:val="0"/>
              <w:snapToGrid w:val="0"/>
              <w:jc w:val="center"/>
              <w:rPr>
                <w:b/>
                <w:color w:val="auto"/>
                <w:sz w:val="24"/>
              </w:rPr>
            </w:pPr>
          </w:p>
          <w:p w14:paraId="2FCF5498">
            <w:pPr>
              <w:adjustRightInd w:val="0"/>
              <w:snapToGrid w:val="0"/>
              <w:jc w:val="center"/>
              <w:rPr>
                <w:b/>
                <w:color w:val="auto"/>
                <w:sz w:val="24"/>
              </w:rPr>
            </w:pPr>
          </w:p>
          <w:p w14:paraId="49C3A6A2">
            <w:pPr>
              <w:adjustRightInd w:val="0"/>
              <w:snapToGrid w:val="0"/>
              <w:jc w:val="center"/>
              <w:rPr>
                <w:b/>
                <w:color w:val="auto"/>
                <w:sz w:val="24"/>
              </w:rPr>
            </w:pPr>
          </w:p>
          <w:p w14:paraId="2D3656A3">
            <w:pPr>
              <w:adjustRightInd w:val="0"/>
              <w:snapToGrid w:val="0"/>
              <w:jc w:val="center"/>
              <w:rPr>
                <w:b/>
                <w:color w:val="auto"/>
                <w:sz w:val="24"/>
              </w:rPr>
            </w:pPr>
          </w:p>
          <w:p w14:paraId="30A7E9DA">
            <w:pPr>
              <w:adjustRightInd w:val="0"/>
              <w:snapToGrid w:val="0"/>
              <w:jc w:val="center"/>
              <w:rPr>
                <w:b/>
                <w:color w:val="auto"/>
                <w:sz w:val="24"/>
              </w:rPr>
            </w:pPr>
          </w:p>
          <w:p w14:paraId="72FFE7D6">
            <w:pPr>
              <w:adjustRightInd w:val="0"/>
              <w:snapToGrid w:val="0"/>
              <w:jc w:val="center"/>
              <w:rPr>
                <w:b/>
                <w:color w:val="auto"/>
                <w:sz w:val="24"/>
              </w:rPr>
            </w:pPr>
            <w:r>
              <w:rPr>
                <w:b/>
                <w:color w:val="auto"/>
                <w:sz w:val="24"/>
              </w:rPr>
              <w:t>施工方案</w:t>
            </w:r>
          </w:p>
        </w:tc>
        <w:tc>
          <w:tcPr>
            <w:tcW w:w="9032" w:type="dxa"/>
            <w:vAlign w:val="center"/>
          </w:tcPr>
          <w:p w14:paraId="04ED30D4">
            <w:pPr>
              <w:tabs>
                <w:tab w:val="left" w:pos="2880"/>
                <w:tab w:val="left" w:pos="3600"/>
              </w:tabs>
              <w:adjustRightInd w:val="0"/>
              <w:snapToGrid w:val="0"/>
              <w:spacing w:line="356" w:lineRule="auto"/>
              <w:rPr>
                <w:b/>
                <w:bCs/>
                <w:color w:val="auto"/>
                <w:sz w:val="24"/>
              </w:rPr>
            </w:pPr>
            <w:r>
              <w:rPr>
                <w:b/>
                <w:bCs/>
                <w:color w:val="auto"/>
                <w:sz w:val="24"/>
              </w:rPr>
              <w:t>1、施工工艺</w:t>
            </w:r>
          </w:p>
          <w:p w14:paraId="224660CF">
            <w:pPr>
              <w:autoSpaceDN w:val="0"/>
              <w:adjustRightInd w:val="0"/>
              <w:snapToGrid w:val="0"/>
              <w:spacing w:line="360" w:lineRule="auto"/>
              <w:ind w:firstLine="480" w:firstLineChars="200"/>
              <w:rPr>
                <w:b/>
                <w:color w:val="auto"/>
                <w:sz w:val="24"/>
              </w:rPr>
            </w:pPr>
            <w:r>
              <w:rPr>
                <w:color w:val="auto"/>
                <w:sz w:val="24"/>
              </w:rPr>
              <w:t>线路工程施工主要有：施工准备、基础施工、组装铁塔、导地线安装及调整几个阶段。</w:t>
            </w:r>
          </w:p>
          <w:p w14:paraId="4684B436">
            <w:pPr>
              <w:autoSpaceDN w:val="0"/>
              <w:adjustRightInd w:val="0"/>
              <w:snapToGrid w:val="0"/>
              <w:spacing w:line="360" w:lineRule="auto"/>
              <w:ind w:firstLine="482" w:firstLineChars="200"/>
              <w:rPr>
                <w:b/>
                <w:bCs/>
                <w:color w:val="auto"/>
                <w:sz w:val="24"/>
              </w:rPr>
            </w:pPr>
            <w:r>
              <w:rPr>
                <w:b/>
                <w:bCs/>
                <w:color w:val="auto"/>
                <w:sz w:val="24"/>
              </w:rPr>
              <w:t>（1）施工准备</w:t>
            </w:r>
          </w:p>
          <w:p w14:paraId="6F917EEA">
            <w:pPr>
              <w:autoSpaceDN w:val="0"/>
              <w:spacing w:line="360" w:lineRule="auto"/>
              <w:ind w:firstLine="480" w:firstLineChars="200"/>
              <w:rPr>
                <w:color w:val="auto"/>
                <w:sz w:val="24"/>
              </w:rPr>
            </w:pPr>
            <w:r>
              <w:rPr>
                <w:color w:val="auto"/>
                <w:sz w:val="24"/>
              </w:rPr>
              <w:t>本工程所用砂、石考虑统一外购。基础混凝土砂石料由运输车运送到塔位附近，再由人抬道路运送到每处塔位，现场搅拌后进行浇筑。搅拌不设混凝土搅拌机，采取人工搅拌方式。</w:t>
            </w:r>
          </w:p>
          <w:p w14:paraId="59154628">
            <w:pPr>
              <w:autoSpaceDN w:val="0"/>
              <w:spacing w:line="360" w:lineRule="auto"/>
              <w:ind w:firstLine="482" w:firstLineChars="200"/>
              <w:rPr>
                <w:b/>
                <w:bCs/>
                <w:color w:val="auto"/>
                <w:sz w:val="24"/>
              </w:rPr>
            </w:pPr>
            <w:r>
              <w:rPr>
                <w:b/>
                <w:bCs/>
                <w:color w:val="auto"/>
                <w:sz w:val="24"/>
              </w:rPr>
              <w:t>（2）基础施工</w:t>
            </w:r>
          </w:p>
          <w:p w14:paraId="54CD3F6E">
            <w:pPr>
              <w:autoSpaceDN w:val="0"/>
              <w:spacing w:line="360" w:lineRule="auto"/>
              <w:ind w:firstLine="480" w:firstLineChars="200"/>
              <w:rPr>
                <w:color w:val="auto"/>
                <w:sz w:val="24"/>
              </w:rPr>
            </w:pPr>
            <w:r>
              <w:rPr>
                <w:color w:val="auto"/>
                <w:sz w:val="24"/>
              </w:rPr>
              <w:t>本工程土方采用机械开挖和人工挖土相结合方式，土质基坑采用明挖方式，在挖掘前首先清理基面及基面附近的浮石等杂物，开挖自上而下进行，基坑四壁保持稳定放坡；遇有河塘边的泥水坑、流沙坑时，采用钢梁及钢模板组合挡土板配合抽水机抽水进行开挖施工；在交通条件许可的塔位采用挖掘机，以缩短挖坑的时间。</w:t>
            </w:r>
          </w:p>
          <w:p w14:paraId="28495D84">
            <w:pPr>
              <w:autoSpaceDN w:val="0"/>
              <w:spacing w:line="360" w:lineRule="auto"/>
              <w:ind w:firstLine="480" w:firstLineChars="200"/>
              <w:rPr>
                <w:color w:val="auto"/>
                <w:sz w:val="24"/>
              </w:rPr>
            </w:pPr>
            <w:r>
              <w:rPr>
                <w:color w:val="auto"/>
                <w:sz w:val="24"/>
              </w:rPr>
              <w:t>基坑开挖尽量保持坑壁成型完好，并做好临时堆土堆渣的防护，避免坑内积水以及影响周围环境和破坏植被，基础坑开挖好后应尽快浇筑混凝土。</w:t>
            </w:r>
          </w:p>
          <w:p w14:paraId="5080E2ED">
            <w:pPr>
              <w:autoSpaceDN w:val="0"/>
              <w:spacing w:line="360" w:lineRule="auto"/>
              <w:ind w:firstLine="482" w:firstLineChars="200"/>
              <w:rPr>
                <w:b/>
                <w:bCs/>
                <w:color w:val="auto"/>
                <w:sz w:val="24"/>
              </w:rPr>
            </w:pPr>
            <w:r>
              <w:rPr>
                <w:b/>
                <w:bCs/>
                <w:color w:val="auto"/>
                <w:sz w:val="24"/>
              </w:rPr>
              <w:t>（3）铁塔组立</w:t>
            </w:r>
          </w:p>
          <w:p w14:paraId="56D86231">
            <w:pPr>
              <w:autoSpaceDN w:val="0"/>
              <w:spacing w:line="360" w:lineRule="auto"/>
              <w:ind w:firstLine="480" w:firstLineChars="200"/>
              <w:rPr>
                <w:rFonts w:hint="eastAsia"/>
                <w:color w:val="auto"/>
                <w:sz w:val="24"/>
                <w:lang w:eastAsia="zh-CN"/>
              </w:rPr>
            </w:pPr>
            <w:r>
              <w:rPr>
                <w:color w:val="auto"/>
                <w:sz w:val="24"/>
              </w:rPr>
              <w:t>工程铁塔安装施工采用分解组塔的施工方法。在实际施工过程中，根据铁塔的形式、高度、重量以及施工场地、施工设备等施工现场情况，确定正装分解组塔。利用支立抱杆，吊装铁塔构件，抱杆通过牵引绳的连接拉动，随铁塔高度的增高而上升，各个构件顶端和底部支脚采用螺栓连接。</w:t>
            </w:r>
            <w:r>
              <w:rPr>
                <w:rFonts w:hint="eastAsia"/>
                <w:color w:val="auto"/>
                <w:sz w:val="24"/>
                <w:lang w:eastAsia="zh-CN"/>
              </w:rPr>
              <w:t>铁塔</w:t>
            </w:r>
            <w:r>
              <w:rPr>
                <w:color w:val="auto"/>
                <w:sz w:val="24"/>
              </w:rPr>
              <w:t>组立施工流程见图2-</w:t>
            </w:r>
            <w:r>
              <w:rPr>
                <w:rFonts w:hint="eastAsia"/>
                <w:color w:val="auto"/>
                <w:sz w:val="24"/>
              </w:rPr>
              <w:t>1</w:t>
            </w:r>
            <w:r>
              <w:rPr>
                <w:rFonts w:hint="eastAsia"/>
                <w:color w:val="auto"/>
                <w:sz w:val="24"/>
                <w:lang w:eastAsia="zh-CN"/>
              </w:rPr>
              <w:t>。</w:t>
            </w:r>
          </w:p>
          <w:p w14:paraId="5988BE9B">
            <w:pPr>
              <w:pStyle w:val="2"/>
              <w:rPr>
                <w:rFonts w:hint="eastAsia"/>
                <w:color w:val="auto"/>
                <w:sz w:val="24"/>
                <w:lang w:eastAsia="zh-CN"/>
              </w:rPr>
            </w:pPr>
          </w:p>
          <w:p w14:paraId="54BFDF62">
            <w:pPr>
              <w:pStyle w:val="2"/>
              <w:rPr>
                <w:rFonts w:hint="eastAsia"/>
                <w:color w:val="auto"/>
                <w:sz w:val="24"/>
                <w:lang w:eastAsia="zh-CN"/>
              </w:rPr>
            </w:pPr>
          </w:p>
          <w:p w14:paraId="4FA4B48D">
            <w:pPr>
              <w:pStyle w:val="2"/>
              <w:rPr>
                <w:rFonts w:hint="eastAsia"/>
                <w:color w:val="auto"/>
                <w:sz w:val="24"/>
                <w:lang w:eastAsia="zh-CN"/>
              </w:rPr>
            </w:pPr>
          </w:p>
          <w:p w14:paraId="2A1F69CA">
            <w:pPr>
              <w:pStyle w:val="2"/>
              <w:rPr>
                <w:rFonts w:hint="eastAsia"/>
                <w:color w:val="auto"/>
                <w:sz w:val="24"/>
                <w:lang w:eastAsia="zh-CN"/>
              </w:rPr>
            </w:pPr>
          </w:p>
          <w:p w14:paraId="41151A72">
            <w:pPr>
              <w:pStyle w:val="2"/>
              <w:rPr>
                <w:rFonts w:hint="eastAsia"/>
                <w:color w:val="auto"/>
                <w:sz w:val="24"/>
                <w:lang w:eastAsia="zh-CN"/>
              </w:rPr>
            </w:pPr>
          </w:p>
          <w:p w14:paraId="5FEF6B61">
            <w:pPr>
              <w:autoSpaceDN w:val="0"/>
              <w:spacing w:line="360" w:lineRule="auto"/>
              <w:jc w:val="center"/>
              <w:rPr>
                <w:color w:val="auto"/>
                <w:sz w:val="24"/>
              </w:rPr>
            </w:pPr>
            <w:r>
              <w:rPr>
                <w:color w:val="auto"/>
                <w:sz w:val="24"/>
              </w:rPr>
              <w:drawing>
                <wp:inline distT="0" distB="0" distL="114300" distR="114300">
                  <wp:extent cx="4808855" cy="2087880"/>
                  <wp:effectExtent l="0" t="0" r="10795" b="762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4808855" cy="2087880"/>
                          </a:xfrm>
                          <a:prstGeom prst="rect">
                            <a:avLst/>
                          </a:prstGeom>
                          <a:noFill/>
                          <a:ln w="9525">
                            <a:noFill/>
                          </a:ln>
                        </pic:spPr>
                      </pic:pic>
                    </a:graphicData>
                  </a:graphic>
                </wp:inline>
              </w:drawing>
            </w:r>
          </w:p>
          <w:p w14:paraId="537A6B30">
            <w:pPr>
              <w:autoSpaceDN w:val="0"/>
              <w:spacing w:line="360" w:lineRule="auto"/>
              <w:jc w:val="center"/>
              <w:rPr>
                <w:b/>
                <w:color w:val="auto"/>
                <w:sz w:val="24"/>
              </w:rPr>
            </w:pPr>
            <w:r>
              <w:rPr>
                <w:b/>
                <w:color w:val="auto"/>
                <w:sz w:val="24"/>
              </w:rPr>
              <w:t>图2-</w:t>
            </w:r>
            <w:r>
              <w:rPr>
                <w:rFonts w:hint="eastAsia"/>
                <w:b/>
                <w:color w:val="auto"/>
                <w:sz w:val="24"/>
              </w:rPr>
              <w:t>1</w:t>
            </w:r>
            <w:r>
              <w:rPr>
                <w:b/>
                <w:color w:val="auto"/>
                <w:sz w:val="24"/>
              </w:rPr>
              <w:t xml:space="preserve">  </w:t>
            </w:r>
            <w:r>
              <w:rPr>
                <w:rFonts w:hint="eastAsia"/>
                <w:b/>
                <w:color w:val="auto"/>
                <w:sz w:val="24"/>
                <w:lang w:eastAsia="zh-CN"/>
              </w:rPr>
              <w:t>铁塔</w:t>
            </w:r>
            <w:r>
              <w:rPr>
                <w:b/>
                <w:color w:val="auto"/>
                <w:sz w:val="24"/>
              </w:rPr>
              <w:t>组立施工流程图</w:t>
            </w:r>
          </w:p>
          <w:p w14:paraId="270AF647">
            <w:pPr>
              <w:autoSpaceDN w:val="0"/>
              <w:spacing w:line="360" w:lineRule="auto"/>
              <w:ind w:firstLine="482" w:firstLineChars="200"/>
              <w:rPr>
                <w:b/>
                <w:bCs/>
                <w:color w:val="auto"/>
                <w:sz w:val="24"/>
              </w:rPr>
            </w:pPr>
            <w:r>
              <w:rPr>
                <w:b/>
                <w:bCs/>
                <w:color w:val="auto"/>
                <w:sz w:val="24"/>
              </w:rPr>
              <w:t>（4）架线和附件安装</w:t>
            </w:r>
          </w:p>
          <w:p w14:paraId="1FD52F91">
            <w:pPr>
              <w:autoSpaceDN w:val="0"/>
              <w:spacing w:line="360" w:lineRule="auto"/>
              <w:ind w:firstLine="480" w:firstLineChars="200"/>
              <w:rPr>
                <w:color w:val="auto"/>
                <w:sz w:val="24"/>
              </w:rPr>
            </w:pPr>
            <w:r>
              <w:rPr>
                <w:color w:val="auto"/>
                <w:sz w:val="24"/>
              </w:rPr>
              <w:t>架线施工的主要流程：施工准备（包括通道清理）——放线（地线架设采用一牵一张力放线，导线架设采用一牵四或一牵二张力放线）——紧线——附件及金具安装。</w:t>
            </w:r>
          </w:p>
          <w:p w14:paraId="03E31C14">
            <w:pPr>
              <w:autoSpaceDN w:val="0"/>
              <w:spacing w:line="360" w:lineRule="auto"/>
              <w:ind w:firstLine="480" w:firstLineChars="200"/>
              <w:rPr>
                <w:color w:val="auto"/>
                <w:sz w:val="24"/>
              </w:rPr>
            </w:pPr>
            <w:r>
              <w:rPr>
                <w:color w:val="auto"/>
                <w:sz w:val="24"/>
              </w:rPr>
              <w:t>线路架线时采用张力放线、无人机放线，避免架线时对通道走廊林草植被的砍伐。牵张场使用时间多在10-15天，施工结束后应及时对牵张场进行植被恢复。</w:t>
            </w:r>
          </w:p>
          <w:p w14:paraId="7BA0251D">
            <w:pPr>
              <w:pStyle w:val="2"/>
              <w:jc w:val="center"/>
              <w:rPr>
                <w:color w:val="auto"/>
                <w:sz w:val="24"/>
              </w:rPr>
            </w:pPr>
            <w:r>
              <w:rPr>
                <w:color w:val="auto"/>
                <w:sz w:val="24"/>
              </w:rPr>
              <w:drawing>
                <wp:inline distT="0" distB="0" distL="114300" distR="114300">
                  <wp:extent cx="4878070" cy="2807970"/>
                  <wp:effectExtent l="0" t="0" r="17780" b="1143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4878070" cy="2807970"/>
                          </a:xfrm>
                          <a:prstGeom prst="rect">
                            <a:avLst/>
                          </a:prstGeom>
                          <a:noFill/>
                          <a:ln w="9525">
                            <a:noFill/>
                          </a:ln>
                        </pic:spPr>
                      </pic:pic>
                    </a:graphicData>
                  </a:graphic>
                </wp:inline>
              </w:drawing>
            </w:r>
          </w:p>
          <w:p w14:paraId="6FD915D7">
            <w:pPr>
              <w:pStyle w:val="2"/>
              <w:jc w:val="center"/>
              <w:rPr>
                <w:color w:val="auto"/>
              </w:rPr>
            </w:pPr>
            <w:r>
              <w:rPr>
                <w:b/>
                <w:color w:val="auto"/>
                <w:sz w:val="24"/>
              </w:rPr>
              <w:t>图2-</w:t>
            </w:r>
            <w:r>
              <w:rPr>
                <w:rFonts w:hint="eastAsia"/>
                <w:b/>
                <w:color w:val="auto"/>
                <w:sz w:val="24"/>
              </w:rPr>
              <w:t>2</w:t>
            </w:r>
            <w:r>
              <w:rPr>
                <w:b/>
                <w:color w:val="auto"/>
                <w:sz w:val="24"/>
              </w:rPr>
              <w:t xml:space="preserve">  架线施工流程图</w:t>
            </w:r>
          </w:p>
          <w:p w14:paraId="30721D2B">
            <w:pPr>
              <w:tabs>
                <w:tab w:val="left" w:pos="2880"/>
                <w:tab w:val="left" w:pos="3600"/>
              </w:tabs>
              <w:adjustRightInd w:val="0"/>
              <w:snapToGrid w:val="0"/>
              <w:spacing w:line="356" w:lineRule="auto"/>
              <w:ind w:firstLine="482" w:firstLineChars="200"/>
              <w:rPr>
                <w:b/>
                <w:bCs/>
                <w:color w:val="auto"/>
                <w:sz w:val="24"/>
              </w:rPr>
            </w:pPr>
            <w:r>
              <w:rPr>
                <w:b/>
                <w:bCs/>
                <w:color w:val="auto"/>
                <w:sz w:val="24"/>
              </w:rPr>
              <w:t>（4）原杆塔、导线拆除</w:t>
            </w:r>
          </w:p>
          <w:p w14:paraId="28A2883C">
            <w:pPr>
              <w:tabs>
                <w:tab w:val="left" w:pos="2880"/>
                <w:tab w:val="left" w:pos="3600"/>
              </w:tabs>
              <w:adjustRightInd w:val="0"/>
              <w:snapToGrid w:val="0"/>
              <w:spacing w:line="356" w:lineRule="auto"/>
              <w:ind w:firstLine="480" w:firstLineChars="200"/>
              <w:rPr>
                <w:color w:val="auto"/>
                <w:sz w:val="24"/>
              </w:rPr>
            </w:pPr>
            <w:r>
              <w:rPr>
                <w:color w:val="auto"/>
                <w:sz w:val="24"/>
              </w:rPr>
              <w:t>协调相关部门停电后拆除导线，由工作人员上塔身固定钢丝绳，拆解塔基紧固螺丝，对塔身逐一进行分解，再用钢丝绳将杆塔材料吊下。铁塔拆除过程中应实时监控线塔的稳定和牢固，加强塔下施工人员的安全防护，对锈死的螺丝可以采用气焊切割，杆塔材料拆除完成后运出施工现场，交由建设单位物资回收部门处理。原杆塔基础不拆除，根据周边用地性质采取覆土恢复耕种或绿化。</w:t>
            </w:r>
          </w:p>
          <w:p w14:paraId="52179844">
            <w:pPr>
              <w:spacing w:line="360" w:lineRule="auto"/>
              <w:jc w:val="center"/>
              <w:rPr>
                <w:b/>
                <w:color w:val="auto"/>
                <w:sz w:val="24"/>
              </w:rPr>
            </w:pPr>
          </w:p>
          <w:p w14:paraId="0D295FCA">
            <w:pPr>
              <w:tabs>
                <w:tab w:val="left" w:pos="2880"/>
                <w:tab w:val="left" w:pos="3600"/>
              </w:tabs>
              <w:adjustRightInd w:val="0"/>
              <w:snapToGrid w:val="0"/>
              <w:spacing w:line="356" w:lineRule="auto"/>
              <w:rPr>
                <w:b/>
                <w:bCs/>
                <w:color w:val="auto"/>
                <w:sz w:val="24"/>
              </w:rPr>
            </w:pPr>
            <w:r>
              <w:rPr>
                <w:b/>
                <w:bCs/>
                <w:color w:val="auto"/>
                <w:sz w:val="24"/>
              </w:rPr>
              <w:t>2、施工周期</w:t>
            </w:r>
          </w:p>
          <w:p w14:paraId="191B385B">
            <w:pPr>
              <w:tabs>
                <w:tab w:val="left" w:pos="2880"/>
                <w:tab w:val="left" w:pos="3600"/>
              </w:tabs>
              <w:adjustRightInd w:val="0"/>
              <w:snapToGrid w:val="0"/>
              <w:spacing w:line="356" w:lineRule="auto"/>
              <w:ind w:firstLine="480" w:firstLineChars="200"/>
              <w:rPr>
                <w:color w:val="auto"/>
                <w:sz w:val="24"/>
              </w:rPr>
            </w:pPr>
            <w:r>
              <w:rPr>
                <w:color w:val="auto"/>
                <w:sz w:val="24"/>
              </w:rPr>
              <w:t>根据可研报告，本工程施工工期约4个月。</w:t>
            </w:r>
          </w:p>
        </w:tc>
      </w:tr>
      <w:tr w14:paraId="247B7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21782CE0">
            <w:pPr>
              <w:adjustRightInd w:val="0"/>
              <w:snapToGrid w:val="0"/>
              <w:jc w:val="center"/>
              <w:rPr>
                <w:b/>
                <w:color w:val="auto"/>
                <w:sz w:val="24"/>
              </w:rPr>
            </w:pPr>
            <w:r>
              <w:rPr>
                <w:b/>
                <w:color w:val="auto"/>
                <w:sz w:val="24"/>
              </w:rPr>
              <w:t>其他</w:t>
            </w:r>
          </w:p>
        </w:tc>
        <w:tc>
          <w:tcPr>
            <w:tcW w:w="9032" w:type="dxa"/>
            <w:vAlign w:val="center"/>
          </w:tcPr>
          <w:p w14:paraId="5F009A07">
            <w:pPr>
              <w:tabs>
                <w:tab w:val="left" w:pos="2880"/>
                <w:tab w:val="left" w:pos="3600"/>
              </w:tabs>
              <w:adjustRightInd w:val="0"/>
              <w:snapToGrid w:val="0"/>
              <w:spacing w:line="356" w:lineRule="auto"/>
              <w:rPr>
                <w:b/>
                <w:bCs/>
                <w:color w:val="auto"/>
                <w:sz w:val="24"/>
              </w:rPr>
            </w:pPr>
            <w:r>
              <w:rPr>
                <w:b/>
                <w:bCs/>
                <w:color w:val="auto"/>
                <w:sz w:val="24"/>
              </w:rPr>
              <w:t>1、线路比选</w:t>
            </w:r>
          </w:p>
          <w:p w14:paraId="0F98019A">
            <w:pPr>
              <w:widowControl/>
              <w:adjustRightInd w:val="0"/>
              <w:snapToGrid w:val="0"/>
              <w:spacing w:line="356" w:lineRule="auto"/>
              <w:ind w:firstLine="480" w:firstLineChars="200"/>
              <w:jc w:val="left"/>
              <w:rPr>
                <w:b/>
                <w:bCs/>
                <w:color w:val="auto"/>
                <w:sz w:val="24"/>
              </w:rPr>
            </w:pPr>
            <w:r>
              <w:rPr>
                <w:color w:val="auto"/>
                <w:sz w:val="24"/>
              </w:rPr>
              <w:t>根据可研资料，因110kV油华线部分线路位于在建的钛白粉厂房区域内，为保证白涛工业园钛白粉项目顺利推进，建设单位开展了110kV油华线迁改工程。根据现场调查，现有110kV油华线南侧分布有大型工厂，无多余电力廊道；现有110kV油华线北侧主要受白涛工业园区规划影响，本项目新建线路路径需避开白涛工业园规划区，在工业园规划区外围走线，因此本工程线路路径方案唯一，无比选方案。且本项目线路方案已经取得重庆市涪陵区规划和自然资源局选址意见书（用字第市政500102202100029号）。</w:t>
            </w:r>
          </w:p>
          <w:p w14:paraId="772374CF">
            <w:pPr>
              <w:tabs>
                <w:tab w:val="left" w:pos="2880"/>
                <w:tab w:val="left" w:pos="3600"/>
              </w:tabs>
              <w:adjustRightInd w:val="0"/>
              <w:snapToGrid w:val="0"/>
              <w:spacing w:line="356" w:lineRule="auto"/>
              <w:rPr>
                <w:b/>
                <w:bCs/>
                <w:color w:val="auto"/>
                <w:sz w:val="24"/>
              </w:rPr>
            </w:pPr>
            <w:r>
              <w:rPr>
                <w:b/>
                <w:bCs/>
                <w:color w:val="auto"/>
                <w:sz w:val="24"/>
              </w:rPr>
              <w:t>2、施工方案比选</w:t>
            </w:r>
          </w:p>
          <w:p w14:paraId="07D9B426">
            <w:pPr>
              <w:widowControl/>
              <w:adjustRightInd w:val="0"/>
              <w:snapToGrid w:val="0"/>
              <w:spacing w:line="356" w:lineRule="auto"/>
              <w:ind w:firstLine="480" w:firstLineChars="200"/>
              <w:jc w:val="left"/>
              <w:rPr>
                <w:color w:val="auto"/>
                <w:sz w:val="24"/>
              </w:rPr>
            </w:pPr>
            <w:r>
              <w:rPr>
                <w:color w:val="auto"/>
                <w:sz w:val="24"/>
              </w:rPr>
              <w:t>本项目尚未开工，施工单位尚未确定，施工组织方案暂按常规方案考虑。</w:t>
            </w:r>
          </w:p>
          <w:p w14:paraId="3B9B7F94">
            <w:pPr>
              <w:widowControl/>
              <w:adjustRightInd w:val="0"/>
              <w:snapToGrid w:val="0"/>
              <w:spacing w:line="356" w:lineRule="auto"/>
              <w:ind w:firstLine="480" w:firstLineChars="200"/>
              <w:jc w:val="left"/>
              <w:rPr>
                <w:color w:val="auto"/>
                <w:sz w:val="24"/>
              </w:rPr>
            </w:pPr>
            <w:r>
              <w:rPr>
                <w:color w:val="auto"/>
                <w:sz w:val="24"/>
              </w:rPr>
              <w:t>本项目新建线路施工活动应集中在昼间进行；铁塔施工临时场地选择需紧邻塔基处；施工人抬便道分布于塔基附近，尽可能利用既有小道进行修整；牵张场设置于塔基附近便于放紧线施工、临近既有道路便于材料运输；跨越施工场设置于线路跨越既有线路处；铁塔施工临时场地、施工人抬便道、牵张场和跨越施工场应尽可能避让植被密集区，以占用植被较低矮、稀疏处，以减少对当地植被和农作物的破坏；划定最小的施工作业区域，划定永久占地、临时占地范围红线，严禁施工人员和施工机械超出作业区域施工</w:t>
            </w:r>
            <w:r>
              <w:rPr>
                <w:rFonts w:hint="eastAsia"/>
                <w:color w:val="auto"/>
                <w:sz w:val="24"/>
              </w:rPr>
              <w:t>。</w:t>
            </w:r>
          </w:p>
          <w:p w14:paraId="1BF9C872">
            <w:pPr>
              <w:widowControl/>
              <w:adjustRightInd w:val="0"/>
              <w:snapToGrid w:val="0"/>
              <w:spacing w:line="356" w:lineRule="auto"/>
              <w:ind w:firstLine="480" w:firstLineChars="200"/>
              <w:jc w:val="left"/>
              <w:rPr>
                <w:color w:val="auto"/>
                <w:sz w:val="24"/>
              </w:rPr>
            </w:pPr>
          </w:p>
          <w:p w14:paraId="35441269">
            <w:pPr>
              <w:widowControl/>
              <w:adjustRightInd w:val="0"/>
              <w:snapToGrid w:val="0"/>
              <w:spacing w:line="356" w:lineRule="auto"/>
              <w:ind w:firstLine="480" w:firstLineChars="200"/>
              <w:jc w:val="left"/>
              <w:rPr>
                <w:color w:val="auto"/>
                <w:sz w:val="24"/>
              </w:rPr>
            </w:pPr>
          </w:p>
          <w:p w14:paraId="2667A23B">
            <w:pPr>
              <w:pStyle w:val="2"/>
              <w:rPr>
                <w:color w:val="auto"/>
                <w:sz w:val="24"/>
              </w:rPr>
            </w:pPr>
          </w:p>
          <w:p w14:paraId="29AC778A">
            <w:pPr>
              <w:pStyle w:val="2"/>
              <w:rPr>
                <w:color w:val="auto"/>
                <w:sz w:val="24"/>
              </w:rPr>
            </w:pPr>
          </w:p>
          <w:p w14:paraId="601B5D01">
            <w:pPr>
              <w:pStyle w:val="2"/>
              <w:rPr>
                <w:color w:val="auto"/>
                <w:sz w:val="24"/>
              </w:rPr>
            </w:pPr>
          </w:p>
          <w:p w14:paraId="4BEE87C5">
            <w:pPr>
              <w:pStyle w:val="2"/>
              <w:rPr>
                <w:color w:val="auto"/>
                <w:sz w:val="24"/>
              </w:rPr>
            </w:pPr>
          </w:p>
          <w:p w14:paraId="38A6405D">
            <w:pPr>
              <w:pStyle w:val="2"/>
              <w:rPr>
                <w:color w:val="auto"/>
                <w:sz w:val="24"/>
              </w:rPr>
            </w:pPr>
          </w:p>
          <w:p w14:paraId="04A1842F">
            <w:pPr>
              <w:pStyle w:val="2"/>
              <w:rPr>
                <w:color w:val="auto"/>
                <w:sz w:val="24"/>
              </w:rPr>
            </w:pPr>
          </w:p>
          <w:p w14:paraId="4BDD0D01">
            <w:pPr>
              <w:pStyle w:val="2"/>
              <w:rPr>
                <w:color w:val="auto"/>
                <w:sz w:val="24"/>
              </w:rPr>
            </w:pPr>
          </w:p>
          <w:p w14:paraId="26A80A30">
            <w:pPr>
              <w:pStyle w:val="2"/>
              <w:rPr>
                <w:color w:val="auto"/>
                <w:sz w:val="24"/>
              </w:rPr>
            </w:pPr>
          </w:p>
          <w:p w14:paraId="246F9783">
            <w:pPr>
              <w:pStyle w:val="2"/>
              <w:rPr>
                <w:color w:val="auto"/>
                <w:sz w:val="24"/>
              </w:rPr>
            </w:pPr>
          </w:p>
          <w:p w14:paraId="2CFAE01D">
            <w:pPr>
              <w:pStyle w:val="2"/>
              <w:rPr>
                <w:color w:val="auto"/>
                <w:sz w:val="24"/>
              </w:rPr>
            </w:pPr>
          </w:p>
          <w:p w14:paraId="182D6A41">
            <w:pPr>
              <w:widowControl/>
              <w:adjustRightInd w:val="0"/>
              <w:snapToGrid w:val="0"/>
              <w:spacing w:line="356" w:lineRule="auto"/>
              <w:ind w:firstLine="480" w:firstLineChars="200"/>
              <w:jc w:val="left"/>
              <w:rPr>
                <w:color w:val="auto"/>
                <w:sz w:val="24"/>
              </w:rPr>
            </w:pPr>
          </w:p>
          <w:p w14:paraId="3E375103">
            <w:pPr>
              <w:widowControl/>
              <w:adjustRightInd w:val="0"/>
              <w:snapToGrid w:val="0"/>
              <w:spacing w:line="356" w:lineRule="auto"/>
              <w:ind w:firstLine="480" w:firstLineChars="200"/>
              <w:jc w:val="left"/>
              <w:rPr>
                <w:color w:val="auto"/>
                <w:sz w:val="24"/>
              </w:rPr>
            </w:pPr>
          </w:p>
          <w:p w14:paraId="3CD23E50">
            <w:pPr>
              <w:widowControl/>
              <w:adjustRightInd w:val="0"/>
              <w:snapToGrid w:val="0"/>
              <w:spacing w:line="356" w:lineRule="auto"/>
              <w:ind w:firstLine="480" w:firstLineChars="200"/>
              <w:jc w:val="left"/>
              <w:rPr>
                <w:color w:val="auto"/>
                <w:sz w:val="24"/>
              </w:rPr>
            </w:pPr>
          </w:p>
        </w:tc>
      </w:tr>
    </w:tbl>
    <w:p w14:paraId="28EE346D">
      <w:pPr>
        <w:adjustRightInd w:val="0"/>
        <w:snapToGrid w:val="0"/>
        <w:spacing w:line="288" w:lineRule="auto"/>
        <w:jc w:val="center"/>
        <w:rPr>
          <w:color w:val="auto"/>
          <w:sz w:val="36"/>
          <w:szCs w:val="36"/>
        </w:rPr>
        <w:sectPr>
          <w:pgSz w:w="11906" w:h="16838"/>
          <w:pgMar w:top="1134" w:right="1134" w:bottom="1134" w:left="1134" w:header="851" w:footer="992" w:gutter="0"/>
          <w:cols w:space="425" w:num="1"/>
          <w:docGrid w:linePitch="312" w:charSpace="0"/>
        </w:sectPr>
      </w:pPr>
    </w:p>
    <w:p w14:paraId="7B4269D1">
      <w:pPr>
        <w:pStyle w:val="24"/>
        <w:spacing w:before="0" w:beforeAutospacing="0" w:after="0" w:afterAutospacing="0" w:line="360" w:lineRule="auto"/>
        <w:jc w:val="center"/>
        <w:outlineLvl w:val="0"/>
        <w:rPr>
          <w:rFonts w:ascii="Times New Roman" w:hAnsi="Times New Roman"/>
          <w:b/>
          <w:snapToGrid w:val="0"/>
          <w:color w:val="auto"/>
          <w:sz w:val="30"/>
          <w:szCs w:val="30"/>
        </w:rPr>
      </w:pPr>
      <w:bookmarkStart w:id="8" w:name="_Toc63026906"/>
      <w:r>
        <w:rPr>
          <w:rFonts w:ascii="Times New Roman" w:hAnsi="Times New Roman"/>
          <w:b/>
          <w:snapToGrid w:val="0"/>
          <w:color w:val="auto"/>
          <w:sz w:val="30"/>
          <w:szCs w:val="30"/>
        </w:rPr>
        <w:t>三、生态环境现状、保护目标及评价标准</w:t>
      </w:r>
      <w:bookmarkEnd w:id="8"/>
    </w:p>
    <w:tbl>
      <w:tblPr>
        <w:tblStyle w:val="2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101"/>
      </w:tblGrid>
      <w:tr w14:paraId="125EA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7890038">
            <w:pPr>
              <w:adjustRightInd w:val="0"/>
              <w:snapToGrid w:val="0"/>
              <w:spacing w:line="360" w:lineRule="auto"/>
              <w:jc w:val="center"/>
              <w:rPr>
                <w:b/>
                <w:color w:val="auto"/>
                <w:kern w:val="0"/>
                <w:sz w:val="24"/>
              </w:rPr>
            </w:pPr>
            <w:r>
              <w:rPr>
                <w:b/>
                <w:color w:val="auto"/>
                <w:kern w:val="0"/>
                <w:sz w:val="24"/>
              </w:rPr>
              <w:t>生态环境现状</w:t>
            </w:r>
          </w:p>
        </w:tc>
        <w:tc>
          <w:tcPr>
            <w:tcW w:w="9101" w:type="dxa"/>
            <w:vAlign w:val="center"/>
          </w:tcPr>
          <w:p w14:paraId="7057E163">
            <w:pPr>
              <w:keepNext/>
              <w:keepLines/>
              <w:tabs>
                <w:tab w:val="left" w:pos="420"/>
                <w:tab w:val="left" w:pos="567"/>
              </w:tabs>
              <w:adjustRightInd w:val="0"/>
              <w:snapToGrid w:val="0"/>
              <w:spacing w:line="360" w:lineRule="auto"/>
              <w:jc w:val="left"/>
              <w:outlineLvl w:val="1"/>
              <w:rPr>
                <w:b/>
                <w:bCs/>
                <w:color w:val="auto"/>
                <w:sz w:val="24"/>
              </w:rPr>
            </w:pPr>
            <w:r>
              <w:rPr>
                <w:b/>
                <w:bCs/>
                <w:color w:val="auto"/>
                <w:sz w:val="24"/>
              </w:rPr>
              <w:t>1、生态环境</w:t>
            </w:r>
          </w:p>
          <w:p w14:paraId="3090077D">
            <w:pPr>
              <w:adjustRightInd w:val="0"/>
              <w:snapToGrid w:val="0"/>
              <w:spacing w:line="360" w:lineRule="auto"/>
              <w:rPr>
                <w:color w:val="auto"/>
                <w:sz w:val="24"/>
                <w:szCs w:val="22"/>
              </w:rPr>
            </w:pPr>
            <w:r>
              <w:rPr>
                <w:b/>
                <w:bCs/>
                <w:color w:val="auto"/>
                <w:sz w:val="24"/>
              </w:rPr>
              <w:t>1.1主体功能区划</w:t>
            </w:r>
          </w:p>
          <w:p w14:paraId="74291B77">
            <w:pPr>
              <w:widowControl/>
              <w:adjustRightInd w:val="0"/>
              <w:snapToGrid w:val="0"/>
              <w:spacing w:line="360" w:lineRule="auto"/>
              <w:ind w:firstLine="480" w:firstLineChars="200"/>
              <w:jc w:val="left"/>
              <w:rPr>
                <w:color w:val="auto"/>
                <w:kern w:val="0"/>
                <w:sz w:val="24"/>
              </w:rPr>
            </w:pPr>
            <w:r>
              <w:rPr>
                <w:color w:val="auto"/>
                <w:kern w:val="0"/>
                <w:sz w:val="24"/>
              </w:rPr>
              <w:t>根据《重庆市主体功能区规划》，本工程所在区域属于重庆市重点开发区域。</w:t>
            </w:r>
          </w:p>
          <w:p w14:paraId="26E1D218">
            <w:pPr>
              <w:widowControl/>
              <w:adjustRightInd w:val="0"/>
              <w:snapToGrid w:val="0"/>
              <w:spacing w:line="360" w:lineRule="auto"/>
              <w:ind w:firstLine="480" w:firstLineChars="200"/>
              <w:jc w:val="left"/>
              <w:rPr>
                <w:color w:val="auto"/>
                <w:kern w:val="0"/>
                <w:sz w:val="24"/>
              </w:rPr>
            </w:pPr>
            <w:r>
              <w:rPr>
                <w:color w:val="auto"/>
                <w:kern w:val="0"/>
                <w:sz w:val="24"/>
              </w:rPr>
              <w:t>本功能区功能定位及发展目标：①合理调整国土空间，适度扩大服务业、制造业、交通、公共服务设施和城市居住等建设空间，减少农村生活空间，适当扩大绿色生态空间；②加快城镇化进程，做优做强主城特大都市，提速发展区域性中心城市，发展壮大中小城市，增强城镇功能和承载能力，基本现成分工协作、优势互补、结构合理、集约高效的城镇群；③加快产业发展，稳定提高农产品保障能力，大力发展现代制造业和生产服务业，引导产业集中到园区发展，引导产业分区布局，加快产业集聚，培育产业集群，快速增强产业的总体实力和综合竞争力；④促进人口集聚，完善市政基础设施和公共服务设施，增强人口吸纳能力，改善人居环境，促进流动人口定居，实现人口集聚规模较快增长；⑤提高发展质量，转变发展方式，控制开发时序，保护好生态环境和基本农田，降低单位产出的资源消耗和污染排放，提高单位空间的产出效率和人口集聚密度。</w:t>
            </w:r>
          </w:p>
          <w:p w14:paraId="04043377">
            <w:pPr>
              <w:widowControl/>
              <w:adjustRightInd w:val="0"/>
              <w:snapToGrid w:val="0"/>
              <w:spacing w:line="360" w:lineRule="auto"/>
              <w:jc w:val="left"/>
              <w:rPr>
                <w:b/>
                <w:bCs/>
                <w:color w:val="auto"/>
                <w:kern w:val="0"/>
                <w:sz w:val="24"/>
              </w:rPr>
            </w:pPr>
            <w:r>
              <w:rPr>
                <w:b/>
                <w:bCs/>
                <w:color w:val="auto"/>
                <w:kern w:val="0"/>
                <w:sz w:val="24"/>
              </w:rPr>
              <w:t>1.2</w:t>
            </w:r>
            <w:r>
              <w:rPr>
                <w:b/>
                <w:bCs/>
                <w:color w:val="auto"/>
                <w:sz w:val="24"/>
              </w:rPr>
              <w:t>生态功能区划</w:t>
            </w:r>
          </w:p>
          <w:p w14:paraId="5425FBD0">
            <w:pPr>
              <w:widowControl/>
              <w:adjustRightInd w:val="0"/>
              <w:snapToGrid w:val="0"/>
              <w:spacing w:line="360" w:lineRule="auto"/>
              <w:ind w:firstLine="480" w:firstLineChars="200"/>
              <w:jc w:val="left"/>
              <w:rPr>
                <w:color w:val="auto"/>
                <w:kern w:val="0"/>
                <w:sz w:val="24"/>
              </w:rPr>
            </w:pPr>
            <w:r>
              <w:rPr>
                <w:color w:val="auto"/>
                <w:kern w:val="0"/>
                <w:sz w:val="24"/>
              </w:rPr>
              <w:t>根据《重庆市生态功能区划修编（2008）》，本项目所在地属于“</w:t>
            </w:r>
            <w:r>
              <w:rPr>
                <w:color w:val="auto"/>
              </w:rPr>
              <w:fldChar w:fldCharType="begin"/>
            </w:r>
            <w:r>
              <w:rPr>
                <w:color w:val="auto"/>
              </w:rPr>
              <w:instrText xml:space="preserve"> = 4 \* ROMAN </w:instrText>
            </w:r>
            <w:r>
              <w:rPr>
                <w:color w:val="auto"/>
              </w:rPr>
              <w:fldChar w:fldCharType="separate"/>
            </w:r>
            <w:r>
              <w:rPr>
                <w:color w:val="auto"/>
              </w:rPr>
              <w:t>IV</w:t>
            </w:r>
            <w:r>
              <w:rPr>
                <w:color w:val="auto"/>
              </w:rPr>
              <w:fldChar w:fldCharType="end"/>
            </w:r>
            <w:r>
              <w:rPr>
                <w:color w:val="auto"/>
                <w:kern w:val="0"/>
                <w:sz w:val="24"/>
              </w:rPr>
              <w:t>1-1长寿-涪陵水质保护-营养物质保持生态功能区”，见下图3-1。</w:t>
            </w:r>
          </w:p>
          <w:p w14:paraId="150F5DAA">
            <w:pPr>
              <w:widowControl/>
              <w:adjustRightInd w:val="0"/>
              <w:snapToGrid w:val="0"/>
              <w:spacing w:line="360" w:lineRule="auto"/>
              <w:ind w:firstLine="480" w:firstLineChars="200"/>
              <w:jc w:val="left"/>
              <w:rPr>
                <w:color w:val="auto"/>
                <w:kern w:val="0"/>
                <w:sz w:val="24"/>
              </w:rPr>
            </w:pPr>
            <w:r>
              <w:rPr>
                <w:color w:val="auto"/>
                <w:kern w:val="0"/>
                <w:sz w:val="24"/>
              </w:rPr>
              <w:t>本生态功能区位于铜锣山和武陵山之间，地处三峡库区，</w:t>
            </w:r>
            <w:bookmarkStart w:id="24" w:name="_GoBack"/>
            <w:bookmarkEnd w:id="24"/>
            <w:r>
              <w:rPr>
                <w:color w:val="auto"/>
                <w:kern w:val="0"/>
                <w:sz w:val="24"/>
              </w:rPr>
              <w:t>包括涪陵区和长寿区，幅员面积4365.46 km</w:t>
            </w:r>
            <w:r>
              <w:rPr>
                <w:color w:val="auto"/>
                <w:kern w:val="0"/>
                <w:sz w:val="24"/>
                <w:vertAlign w:val="superscript"/>
              </w:rPr>
              <w:t>2</w:t>
            </w:r>
            <w:r>
              <w:rPr>
                <w:color w:val="auto"/>
                <w:kern w:val="0"/>
                <w:sz w:val="24"/>
              </w:rPr>
              <w:t>。</w:t>
            </w:r>
          </w:p>
          <w:p w14:paraId="612A86AD">
            <w:pPr>
              <w:widowControl/>
              <w:adjustRightInd w:val="0"/>
              <w:snapToGrid w:val="0"/>
              <w:spacing w:line="360" w:lineRule="auto"/>
              <w:ind w:firstLine="480" w:firstLineChars="200"/>
              <w:jc w:val="left"/>
              <w:rPr>
                <w:color w:val="auto"/>
                <w:kern w:val="0"/>
                <w:sz w:val="24"/>
              </w:rPr>
            </w:pPr>
            <w:r>
              <w:rPr>
                <w:color w:val="auto"/>
                <w:kern w:val="0"/>
                <w:sz w:val="24"/>
              </w:rPr>
              <w:t>本区主要生态环境问题主要体现在粗放型增长方式尚未根本改变，资源、环境矛盾比较突出，经济发展仍呈粗放型格局，循环经济体系尚未建立。生态环境保护面临植被退化明显、森林覆盖率低、水土流失严重；农业面临污染日益突出；次级河流污染严重等问题。</w:t>
            </w:r>
          </w:p>
          <w:p w14:paraId="309E6789">
            <w:pPr>
              <w:widowControl/>
              <w:adjustRightInd w:val="0"/>
              <w:snapToGrid w:val="0"/>
              <w:spacing w:line="360" w:lineRule="auto"/>
              <w:ind w:firstLine="480" w:firstLineChars="200"/>
              <w:jc w:val="left"/>
              <w:rPr>
                <w:color w:val="auto"/>
                <w:kern w:val="0"/>
                <w:sz w:val="24"/>
              </w:rPr>
            </w:pPr>
            <w:r>
              <w:rPr>
                <w:color w:val="auto"/>
                <w:kern w:val="0"/>
                <w:sz w:val="24"/>
              </w:rPr>
              <w:t>本区主导生态功能为水土保持，辅助功能为农业营养物质保持、水质保护、水源涵养和地质灾害防治。</w:t>
            </w:r>
          </w:p>
          <w:p w14:paraId="549D257A">
            <w:pPr>
              <w:widowControl/>
              <w:adjustRightInd w:val="0"/>
              <w:snapToGrid w:val="0"/>
              <w:spacing w:line="360" w:lineRule="auto"/>
              <w:ind w:firstLine="480" w:firstLineChars="200"/>
              <w:jc w:val="left"/>
              <w:rPr>
                <w:color w:val="auto"/>
                <w:kern w:val="0"/>
                <w:sz w:val="24"/>
              </w:rPr>
            </w:pPr>
            <w:r>
              <w:rPr>
                <w:color w:val="auto"/>
                <w:kern w:val="0"/>
                <w:sz w:val="24"/>
              </w:rPr>
              <w:t>本区为生态区内水土流失较为严重的地区，建立植被结构优化的低山丘陵森林生态系统，强化其水源涵养和水文调蓄功能是本区的主导方向。</w:t>
            </w:r>
          </w:p>
          <w:p w14:paraId="488A981D">
            <w:pPr>
              <w:widowControl/>
              <w:adjustRightInd w:val="0"/>
              <w:snapToGrid w:val="0"/>
              <w:spacing w:line="360" w:lineRule="auto"/>
              <w:ind w:firstLine="480" w:firstLineChars="200"/>
              <w:jc w:val="left"/>
              <w:rPr>
                <w:color w:val="auto"/>
                <w:kern w:val="0"/>
                <w:sz w:val="24"/>
              </w:rPr>
            </w:pPr>
            <w:r>
              <w:rPr>
                <w:color w:val="auto"/>
                <w:kern w:val="0"/>
                <w:sz w:val="24"/>
              </w:rPr>
              <w:t>重点任务是加大陡坡耕地的退耕还林、还草、和天然林保护力度，调整完善森林植被的结构，强化植被的水土保持和水源涵养功能。低山丘陵地区要重点监督水土流失强度与特点，因地制宜的开展生态农业建设与示范，调整农业结构，大力发展中草药的栽培与林下种植，建立农林(药)牧复合生态农业系统，加大农产品加工业的投入，提高农业效率。全面实施侵蚀土地的植被恢复，防止土壤侵蚀加剧，控制工业污染物排放量，防止酸雨对土地的进一步侵蚀。应抓好节水降耗减排工作，加强农村面源、企业工业废水污染防治和城镇生活污水、垃圾无害化处理处置，大力防治水环境污染，加强对长寿湖的生态保护。</w:t>
            </w:r>
          </w:p>
          <w:p w14:paraId="114A6F40">
            <w:pPr>
              <w:widowControl/>
              <w:adjustRightInd w:val="0"/>
              <w:snapToGrid w:val="0"/>
              <w:spacing w:line="360" w:lineRule="auto"/>
              <w:ind w:firstLine="480" w:firstLineChars="200"/>
              <w:jc w:val="left"/>
              <w:rPr>
                <w:color w:val="auto"/>
                <w:kern w:val="0"/>
                <w:sz w:val="24"/>
              </w:rPr>
            </w:pPr>
            <w:r>
              <w:rPr>
                <w:color w:val="auto"/>
                <w:kern w:val="0"/>
                <w:sz w:val="24"/>
              </w:rPr>
              <w:t>加强对涪陵区卫东水库、水磨滩水库，长寿区狮子滩水库、大洪河水库的水质保护。加强对涪陵区大木山自然保护区(面积14630.20hm</w:t>
            </w:r>
            <w:r>
              <w:rPr>
                <w:color w:val="auto"/>
                <w:kern w:val="0"/>
                <w:sz w:val="24"/>
                <w:vertAlign w:val="superscript"/>
              </w:rPr>
              <w:t>2</w:t>
            </w:r>
            <w:r>
              <w:rPr>
                <w:color w:val="auto"/>
                <w:kern w:val="0"/>
                <w:sz w:val="24"/>
              </w:rPr>
              <w:t>，占全市自然保护区面积的1.60%)和江东桫椤自然保护区(面积2500 hm</w:t>
            </w:r>
            <w:r>
              <w:rPr>
                <w:color w:val="auto"/>
                <w:kern w:val="0"/>
                <w:sz w:val="24"/>
                <w:vertAlign w:val="superscript"/>
              </w:rPr>
              <w:t>2</w:t>
            </w:r>
            <w:r>
              <w:rPr>
                <w:color w:val="auto"/>
                <w:kern w:val="0"/>
                <w:sz w:val="24"/>
              </w:rPr>
              <w:t>，占全市自然保护区面积的0.27%)的保护，在坚持生态优先和保护第一的前提下，合理开发利用保护区内的自然资源，不断提高保护区的自养能力；加强对涪陵区武陵山国家森林公园、太极森林公园、乌江森林公园和长寿区楠木院森林公园的管理保护(总面积4008 hm</w:t>
            </w:r>
            <w:r>
              <w:rPr>
                <w:color w:val="auto"/>
                <w:kern w:val="0"/>
                <w:sz w:val="24"/>
                <w:vertAlign w:val="superscript"/>
              </w:rPr>
              <w:t>2</w:t>
            </w:r>
            <w:r>
              <w:rPr>
                <w:color w:val="auto"/>
                <w:kern w:val="0"/>
                <w:sz w:val="24"/>
              </w:rPr>
              <w:t>，占全市森林公园总面积的2.02%)。</w:t>
            </w:r>
          </w:p>
          <w:p w14:paraId="48907A68">
            <w:pPr>
              <w:widowControl/>
              <w:adjustRightInd w:val="0"/>
              <w:snapToGrid w:val="0"/>
              <w:spacing w:line="360" w:lineRule="auto"/>
              <w:ind w:firstLine="480" w:firstLineChars="200"/>
              <w:jc w:val="left"/>
              <w:rPr>
                <w:color w:val="auto"/>
                <w:kern w:val="0"/>
                <w:sz w:val="24"/>
              </w:rPr>
            </w:pPr>
          </w:p>
          <w:p w14:paraId="45465918">
            <w:pPr>
              <w:widowControl/>
              <w:adjustRightInd w:val="0"/>
              <w:snapToGrid w:val="0"/>
              <w:spacing w:line="360" w:lineRule="auto"/>
              <w:ind w:firstLine="480" w:firstLineChars="200"/>
              <w:jc w:val="left"/>
              <w:rPr>
                <w:color w:val="auto"/>
                <w:kern w:val="0"/>
                <w:sz w:val="24"/>
              </w:rPr>
            </w:pPr>
          </w:p>
          <w:p w14:paraId="2029AAD4">
            <w:pPr>
              <w:widowControl/>
              <w:adjustRightInd w:val="0"/>
              <w:snapToGrid w:val="0"/>
              <w:spacing w:line="360" w:lineRule="auto"/>
              <w:ind w:firstLine="480" w:firstLineChars="200"/>
              <w:jc w:val="left"/>
              <w:rPr>
                <w:color w:val="auto"/>
                <w:kern w:val="0"/>
                <w:sz w:val="24"/>
              </w:rPr>
            </w:pPr>
          </w:p>
          <w:p w14:paraId="566206A9">
            <w:pPr>
              <w:widowControl/>
              <w:adjustRightInd w:val="0"/>
              <w:snapToGrid w:val="0"/>
              <w:spacing w:line="360" w:lineRule="auto"/>
              <w:ind w:firstLine="480" w:firstLineChars="200"/>
              <w:jc w:val="left"/>
              <w:rPr>
                <w:color w:val="auto"/>
                <w:kern w:val="0"/>
                <w:sz w:val="24"/>
              </w:rPr>
            </w:pPr>
          </w:p>
          <w:p w14:paraId="16F0FE52">
            <w:pPr>
              <w:widowControl/>
              <w:adjustRightInd w:val="0"/>
              <w:snapToGrid w:val="0"/>
              <w:spacing w:line="360" w:lineRule="auto"/>
              <w:ind w:firstLine="480" w:firstLineChars="200"/>
              <w:jc w:val="left"/>
              <w:rPr>
                <w:color w:val="auto"/>
                <w:kern w:val="0"/>
                <w:sz w:val="24"/>
              </w:rPr>
            </w:pPr>
          </w:p>
          <w:p w14:paraId="6FCC7F0E">
            <w:pPr>
              <w:widowControl/>
              <w:adjustRightInd w:val="0"/>
              <w:snapToGrid w:val="0"/>
              <w:spacing w:line="360" w:lineRule="auto"/>
              <w:ind w:firstLine="480" w:firstLineChars="200"/>
              <w:jc w:val="left"/>
              <w:rPr>
                <w:color w:val="auto"/>
                <w:kern w:val="0"/>
                <w:sz w:val="24"/>
              </w:rPr>
            </w:pPr>
          </w:p>
          <w:p w14:paraId="0D7795EE">
            <w:pPr>
              <w:widowControl/>
              <w:adjustRightInd w:val="0"/>
              <w:snapToGrid w:val="0"/>
              <w:spacing w:line="360" w:lineRule="auto"/>
              <w:ind w:firstLine="480" w:firstLineChars="200"/>
              <w:jc w:val="left"/>
              <w:rPr>
                <w:color w:val="auto"/>
                <w:kern w:val="0"/>
                <w:sz w:val="24"/>
              </w:rPr>
            </w:pPr>
          </w:p>
          <w:p w14:paraId="4BC1D144">
            <w:pPr>
              <w:widowControl/>
              <w:adjustRightInd w:val="0"/>
              <w:snapToGrid w:val="0"/>
              <w:spacing w:line="360" w:lineRule="auto"/>
              <w:ind w:firstLine="480" w:firstLineChars="200"/>
              <w:jc w:val="left"/>
              <w:rPr>
                <w:color w:val="auto"/>
                <w:kern w:val="0"/>
                <w:sz w:val="24"/>
              </w:rPr>
            </w:pPr>
          </w:p>
          <w:p w14:paraId="265ACEC8">
            <w:pPr>
              <w:widowControl/>
              <w:adjustRightInd w:val="0"/>
              <w:snapToGrid w:val="0"/>
              <w:spacing w:line="360" w:lineRule="auto"/>
              <w:ind w:firstLine="480" w:firstLineChars="200"/>
              <w:jc w:val="left"/>
              <w:rPr>
                <w:color w:val="auto"/>
                <w:kern w:val="0"/>
                <w:sz w:val="24"/>
              </w:rPr>
            </w:pPr>
          </w:p>
          <w:p w14:paraId="40F6CEF2">
            <w:pPr>
              <w:widowControl/>
              <w:adjustRightInd w:val="0"/>
              <w:snapToGrid w:val="0"/>
              <w:spacing w:line="360" w:lineRule="auto"/>
              <w:ind w:firstLine="480" w:firstLineChars="200"/>
              <w:jc w:val="left"/>
              <w:rPr>
                <w:color w:val="auto"/>
                <w:kern w:val="0"/>
                <w:sz w:val="24"/>
              </w:rPr>
            </w:pPr>
          </w:p>
          <w:p w14:paraId="5C28E1D7">
            <w:pPr>
              <w:widowControl/>
              <w:adjustRightInd w:val="0"/>
              <w:snapToGrid w:val="0"/>
              <w:spacing w:line="360" w:lineRule="auto"/>
              <w:ind w:firstLine="480" w:firstLineChars="200"/>
              <w:jc w:val="left"/>
              <w:rPr>
                <w:color w:val="auto"/>
                <w:kern w:val="0"/>
                <w:sz w:val="24"/>
              </w:rPr>
            </w:pPr>
          </w:p>
          <w:p w14:paraId="710C1171">
            <w:pPr>
              <w:widowControl/>
              <w:adjustRightInd w:val="0"/>
              <w:snapToGrid w:val="0"/>
              <w:spacing w:line="360" w:lineRule="auto"/>
              <w:ind w:firstLine="480" w:firstLineChars="200"/>
              <w:jc w:val="left"/>
              <w:rPr>
                <w:color w:val="auto"/>
                <w:kern w:val="0"/>
                <w:sz w:val="24"/>
              </w:rPr>
            </w:pPr>
          </w:p>
          <w:p w14:paraId="7B807B92">
            <w:pPr>
              <w:widowControl/>
              <w:adjustRightInd w:val="0"/>
              <w:snapToGrid w:val="0"/>
              <w:spacing w:line="360" w:lineRule="auto"/>
              <w:ind w:firstLine="480" w:firstLineChars="200"/>
              <w:jc w:val="left"/>
              <w:rPr>
                <w:color w:val="auto"/>
                <w:kern w:val="0"/>
                <w:sz w:val="24"/>
              </w:rPr>
            </w:pPr>
          </w:p>
          <w:p w14:paraId="23843E23">
            <w:pPr>
              <w:widowControl/>
              <w:adjustRightInd w:val="0"/>
              <w:snapToGrid w:val="0"/>
              <w:spacing w:line="360" w:lineRule="auto"/>
              <w:ind w:firstLine="480" w:firstLineChars="200"/>
              <w:jc w:val="left"/>
              <w:rPr>
                <w:color w:val="auto"/>
                <w:kern w:val="0"/>
                <w:sz w:val="24"/>
              </w:rPr>
            </w:pPr>
          </w:p>
          <w:p w14:paraId="435E43C5">
            <w:pPr>
              <w:widowControl/>
              <w:adjustRightInd w:val="0"/>
              <w:snapToGrid w:val="0"/>
              <w:spacing w:line="360" w:lineRule="auto"/>
              <w:ind w:firstLine="480" w:firstLineChars="200"/>
              <w:jc w:val="left"/>
              <w:rPr>
                <w:color w:val="auto"/>
                <w:kern w:val="0"/>
                <w:sz w:val="24"/>
              </w:rPr>
            </w:pPr>
          </w:p>
          <w:p w14:paraId="2E193A42">
            <w:pPr>
              <w:widowControl/>
              <w:adjustRightInd w:val="0"/>
              <w:snapToGrid w:val="0"/>
              <w:spacing w:line="360" w:lineRule="auto"/>
              <w:ind w:firstLine="480" w:firstLineChars="200"/>
              <w:jc w:val="left"/>
              <w:rPr>
                <w:color w:val="auto"/>
                <w:kern w:val="0"/>
                <w:sz w:val="24"/>
              </w:rPr>
            </w:pPr>
          </w:p>
          <w:p w14:paraId="79FF96D0">
            <w:pPr>
              <w:widowControl/>
              <w:adjustRightInd w:val="0"/>
              <w:snapToGrid w:val="0"/>
              <w:spacing w:line="360" w:lineRule="auto"/>
              <w:ind w:firstLine="480" w:firstLineChars="200"/>
              <w:jc w:val="left"/>
              <w:rPr>
                <w:color w:val="auto"/>
                <w:kern w:val="0"/>
                <w:sz w:val="24"/>
              </w:rPr>
            </w:pPr>
          </w:p>
          <w:p w14:paraId="7BE972D6">
            <w:pPr>
              <w:widowControl/>
              <w:adjustRightInd w:val="0"/>
              <w:snapToGrid w:val="0"/>
              <w:spacing w:line="360" w:lineRule="auto"/>
              <w:ind w:firstLine="480" w:firstLineChars="200"/>
              <w:jc w:val="left"/>
              <w:rPr>
                <w:color w:val="auto"/>
                <w:kern w:val="0"/>
                <w:sz w:val="24"/>
              </w:rPr>
            </w:pPr>
          </w:p>
          <w:p w14:paraId="3CD881B1">
            <w:pPr>
              <w:widowControl/>
              <w:adjustRightInd w:val="0"/>
              <w:snapToGrid w:val="0"/>
              <w:spacing w:line="360" w:lineRule="auto"/>
              <w:ind w:firstLine="480" w:firstLineChars="200"/>
              <w:jc w:val="left"/>
              <w:rPr>
                <w:color w:val="auto"/>
                <w:kern w:val="0"/>
                <w:sz w:val="24"/>
              </w:rPr>
            </w:pPr>
          </w:p>
          <w:p w14:paraId="6FC1AABE">
            <w:pPr>
              <w:widowControl/>
              <w:adjustRightInd w:val="0"/>
              <w:snapToGrid w:val="0"/>
              <w:spacing w:line="360" w:lineRule="auto"/>
              <w:ind w:firstLine="480" w:firstLineChars="200"/>
              <w:jc w:val="left"/>
              <w:rPr>
                <w:color w:val="auto"/>
                <w:kern w:val="0"/>
                <w:sz w:val="24"/>
              </w:rPr>
            </w:pPr>
          </w:p>
          <w:p w14:paraId="1E39F8D4">
            <w:pPr>
              <w:spacing w:line="240" w:lineRule="atLeast"/>
              <w:jc w:val="center"/>
              <w:rPr>
                <w:color w:val="auto"/>
                <w:sz w:val="24"/>
                <w:szCs w:val="22"/>
              </w:rPr>
            </w:pPr>
            <w:r>
              <w:rPr>
                <w:color w:val="auto"/>
                <w:sz w:val="24"/>
                <w:szCs w:val="22"/>
              </w:rPr>
              <w:drawing>
                <wp:inline distT="0" distB="0" distL="114300" distR="114300">
                  <wp:extent cx="5390515" cy="6665595"/>
                  <wp:effectExtent l="0" t="0" r="635" b="1905"/>
                  <wp:docPr id="2" name="图片 1" descr="E:\李艾熹\2021\涛白西线\作图\生态环境三级区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李艾熹\2021\涛白西线\作图\生态环境三级区划图.jpg"/>
                          <pic:cNvPicPr>
                            <a:picLocks noChangeAspect="1"/>
                          </pic:cNvPicPr>
                        </pic:nvPicPr>
                        <pic:blipFill>
                          <a:blip r:embed="rId10"/>
                          <a:stretch>
                            <a:fillRect/>
                          </a:stretch>
                        </pic:blipFill>
                        <pic:spPr>
                          <a:xfrm>
                            <a:off x="0" y="0"/>
                            <a:ext cx="5390515" cy="6665595"/>
                          </a:xfrm>
                          <a:prstGeom prst="rect">
                            <a:avLst/>
                          </a:prstGeom>
                          <a:noFill/>
                          <a:ln w="9525">
                            <a:noFill/>
                          </a:ln>
                        </pic:spPr>
                      </pic:pic>
                    </a:graphicData>
                  </a:graphic>
                </wp:inline>
              </w:drawing>
            </w:r>
          </w:p>
          <w:p w14:paraId="047AA16B">
            <w:pPr>
              <w:adjustRightInd w:val="0"/>
              <w:snapToGrid w:val="0"/>
              <w:jc w:val="center"/>
              <w:rPr>
                <w:b/>
                <w:color w:val="auto"/>
                <w:sz w:val="24"/>
              </w:rPr>
            </w:pPr>
            <w:r>
              <w:rPr>
                <w:b/>
                <w:color w:val="auto"/>
                <w:sz w:val="24"/>
                <w:szCs w:val="22"/>
              </w:rPr>
              <w:t>图3-1本工程所在区域的生态功能三级区划图</w:t>
            </w:r>
          </w:p>
          <w:p w14:paraId="48C83A60">
            <w:pPr>
              <w:adjustRightInd w:val="0"/>
              <w:snapToGrid w:val="0"/>
              <w:spacing w:line="360" w:lineRule="auto"/>
              <w:rPr>
                <w:b/>
                <w:bCs/>
                <w:color w:val="auto"/>
                <w:sz w:val="24"/>
              </w:rPr>
            </w:pPr>
            <w:r>
              <w:rPr>
                <w:b/>
                <w:bCs/>
                <w:color w:val="auto"/>
                <w:sz w:val="24"/>
              </w:rPr>
              <w:t>1.3生态环境现状</w:t>
            </w:r>
          </w:p>
          <w:p w14:paraId="03C579A6">
            <w:pPr>
              <w:adjustRightInd w:val="0"/>
              <w:snapToGrid w:val="0"/>
              <w:spacing w:line="360" w:lineRule="auto"/>
              <w:rPr>
                <w:b/>
                <w:bCs/>
                <w:color w:val="auto"/>
                <w:sz w:val="24"/>
              </w:rPr>
            </w:pPr>
            <w:r>
              <w:rPr>
                <w:b/>
                <w:bCs/>
                <w:color w:val="auto"/>
                <w:sz w:val="24"/>
              </w:rPr>
              <w:t>1.3.1土地利用现状</w:t>
            </w:r>
          </w:p>
          <w:p w14:paraId="71873EC6">
            <w:pPr>
              <w:autoSpaceDN w:val="0"/>
              <w:adjustRightInd w:val="0"/>
              <w:spacing w:line="360" w:lineRule="auto"/>
              <w:ind w:firstLine="480" w:firstLineChars="200"/>
              <w:rPr>
                <w:bCs/>
                <w:color w:val="auto"/>
                <w:sz w:val="24"/>
              </w:rPr>
            </w:pPr>
            <w:r>
              <w:rPr>
                <w:snapToGrid w:val="0"/>
                <w:color w:val="auto"/>
                <w:kern w:val="0"/>
                <w:sz w:val="24"/>
              </w:rPr>
              <w:t>根据可研资料，本项目总占地面积约1704m</w:t>
            </w:r>
            <w:r>
              <w:rPr>
                <w:snapToGrid w:val="0"/>
                <w:color w:val="auto"/>
                <w:kern w:val="0"/>
                <w:sz w:val="24"/>
                <w:vertAlign w:val="superscript"/>
              </w:rPr>
              <w:t>2</w:t>
            </w:r>
            <w:r>
              <w:rPr>
                <w:snapToGrid w:val="0"/>
                <w:color w:val="auto"/>
                <w:kern w:val="0"/>
                <w:sz w:val="24"/>
              </w:rPr>
              <w:t>，其中永久占地约704m</w:t>
            </w:r>
            <w:r>
              <w:rPr>
                <w:snapToGrid w:val="0"/>
                <w:color w:val="auto"/>
                <w:kern w:val="0"/>
                <w:sz w:val="24"/>
                <w:vertAlign w:val="superscript"/>
              </w:rPr>
              <w:t>2</w:t>
            </w:r>
            <w:r>
              <w:rPr>
                <w:snapToGrid w:val="0"/>
                <w:color w:val="auto"/>
                <w:kern w:val="0"/>
                <w:sz w:val="24"/>
              </w:rPr>
              <w:t>，临时占地约1000m</w:t>
            </w:r>
            <w:r>
              <w:rPr>
                <w:snapToGrid w:val="0"/>
                <w:color w:val="auto"/>
                <w:kern w:val="0"/>
                <w:sz w:val="24"/>
                <w:vertAlign w:val="superscript"/>
              </w:rPr>
              <w:t>2</w:t>
            </w:r>
            <w:r>
              <w:rPr>
                <w:snapToGrid w:val="0"/>
                <w:color w:val="auto"/>
                <w:kern w:val="0"/>
                <w:sz w:val="24"/>
              </w:rPr>
              <w:t>。永久占地为输电线路塔基用地；临时占地为塔基处施工临时用地、牵张场等。</w:t>
            </w:r>
            <w:r>
              <w:rPr>
                <w:bCs/>
                <w:color w:val="auto"/>
                <w:sz w:val="24"/>
              </w:rPr>
              <w:t>根据《土地利用现状分类》（GB/T 21010-2017），结合现场调查及可研资料，本工程占地类型分为农用地以及未利用地，工程占地不涉及基本农田，详见表2-4。</w:t>
            </w:r>
          </w:p>
          <w:p w14:paraId="65D83975">
            <w:pPr>
              <w:adjustRightInd w:val="0"/>
              <w:snapToGrid w:val="0"/>
              <w:spacing w:line="360" w:lineRule="auto"/>
              <w:rPr>
                <w:b/>
                <w:bCs/>
                <w:color w:val="auto"/>
                <w:sz w:val="24"/>
              </w:rPr>
            </w:pPr>
            <w:r>
              <w:rPr>
                <w:b/>
                <w:bCs/>
                <w:color w:val="auto"/>
                <w:sz w:val="24"/>
              </w:rPr>
              <w:t>1.3.2植被</w:t>
            </w:r>
          </w:p>
          <w:p w14:paraId="6B4CB7F2">
            <w:pPr>
              <w:autoSpaceDN w:val="0"/>
              <w:adjustRightInd w:val="0"/>
              <w:snapToGrid w:val="0"/>
              <w:spacing w:line="360" w:lineRule="auto"/>
              <w:ind w:firstLine="480"/>
              <w:rPr>
                <w:color w:val="auto"/>
                <w:sz w:val="24"/>
              </w:rPr>
            </w:pPr>
            <w:r>
              <w:rPr>
                <w:color w:val="auto"/>
                <w:sz w:val="24"/>
              </w:rPr>
              <w:t>根据现场调查，本项目线路沿线主要分布有农用地、灌草地、林地等，树木多为常见的</w:t>
            </w:r>
            <w:r>
              <w:rPr>
                <w:rFonts w:hint="eastAsia"/>
                <w:color w:val="auto"/>
                <w:sz w:val="24"/>
              </w:rPr>
              <w:t>松</w:t>
            </w:r>
            <w:r>
              <w:rPr>
                <w:color w:val="auto"/>
                <w:sz w:val="24"/>
              </w:rPr>
              <w:t>树、竹子、果树等经济林。</w:t>
            </w:r>
            <w:r>
              <w:rPr>
                <w:color w:val="auto"/>
                <w:sz w:val="24"/>
                <w:szCs w:val="22"/>
              </w:rPr>
              <w:t>现场调查期间评价区域内未发现国家及重庆市级重点保护的野生植物和名木古树分布，工程沿线典型植被情况见下图3-2。</w:t>
            </w:r>
          </w:p>
          <w:tbl>
            <w:tblPr>
              <w:tblStyle w:val="2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4"/>
              <w:gridCol w:w="4441"/>
            </w:tblGrid>
            <w:tr w14:paraId="6BC3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4434" w:type="dxa"/>
                  <w:vAlign w:val="center"/>
                </w:tcPr>
                <w:p w14:paraId="14E9261B">
                  <w:pPr>
                    <w:snapToGrid w:val="0"/>
                    <w:jc w:val="center"/>
                    <w:rPr>
                      <w:color w:val="auto"/>
                      <w:sz w:val="24"/>
                    </w:rPr>
                  </w:pPr>
                </w:p>
              </w:tc>
              <w:tc>
                <w:tcPr>
                  <w:tcW w:w="4441" w:type="dxa"/>
                  <w:vAlign w:val="center"/>
                </w:tcPr>
                <w:p w14:paraId="6C31645D">
                  <w:pPr>
                    <w:snapToGrid w:val="0"/>
                    <w:jc w:val="center"/>
                    <w:rPr>
                      <w:color w:val="auto"/>
                      <w:sz w:val="24"/>
                    </w:rPr>
                  </w:pPr>
                </w:p>
              </w:tc>
            </w:tr>
            <w:tr w14:paraId="652A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4434" w:type="dxa"/>
                  <w:vAlign w:val="center"/>
                </w:tcPr>
                <w:p w14:paraId="7613D842">
                  <w:pPr>
                    <w:snapToGrid w:val="0"/>
                    <w:jc w:val="center"/>
                    <w:rPr>
                      <w:color w:val="auto"/>
                      <w:sz w:val="24"/>
                    </w:rPr>
                  </w:pPr>
                </w:p>
              </w:tc>
              <w:tc>
                <w:tcPr>
                  <w:tcW w:w="4441" w:type="dxa"/>
                  <w:vAlign w:val="center"/>
                </w:tcPr>
                <w:p w14:paraId="66E43F93">
                  <w:pPr>
                    <w:snapToGrid w:val="0"/>
                    <w:jc w:val="center"/>
                    <w:rPr>
                      <w:color w:val="auto"/>
                      <w:sz w:val="24"/>
                    </w:rPr>
                  </w:pPr>
                </w:p>
              </w:tc>
            </w:tr>
          </w:tbl>
          <w:p w14:paraId="38C01C65">
            <w:pPr>
              <w:adjustRightInd w:val="0"/>
              <w:snapToGrid w:val="0"/>
              <w:spacing w:line="360" w:lineRule="auto"/>
              <w:jc w:val="center"/>
              <w:rPr>
                <w:color w:val="auto"/>
                <w:sz w:val="24"/>
              </w:rPr>
            </w:pPr>
            <w:r>
              <w:rPr>
                <w:b/>
                <w:color w:val="auto"/>
                <w:sz w:val="24"/>
              </w:rPr>
              <w:t>图3-2 工程所在地典型生态现状</w:t>
            </w:r>
          </w:p>
          <w:p w14:paraId="6FD3C7D6">
            <w:pPr>
              <w:adjustRightInd w:val="0"/>
              <w:snapToGrid w:val="0"/>
              <w:spacing w:line="360" w:lineRule="auto"/>
              <w:rPr>
                <w:b/>
                <w:bCs/>
                <w:color w:val="auto"/>
                <w:sz w:val="24"/>
              </w:rPr>
            </w:pPr>
            <w:r>
              <w:rPr>
                <w:b/>
                <w:bCs/>
                <w:color w:val="auto"/>
                <w:sz w:val="24"/>
              </w:rPr>
              <w:t>1.3.3动物</w:t>
            </w:r>
          </w:p>
          <w:p w14:paraId="0485CA5B">
            <w:pPr>
              <w:adjustRightInd w:val="0"/>
              <w:snapToGrid w:val="0"/>
              <w:spacing w:line="360" w:lineRule="auto"/>
              <w:ind w:firstLine="480" w:firstLineChars="200"/>
              <w:rPr>
                <w:color w:val="auto"/>
                <w:sz w:val="24"/>
                <w:szCs w:val="20"/>
              </w:rPr>
            </w:pPr>
            <w:r>
              <w:rPr>
                <w:color w:val="auto"/>
                <w:sz w:val="24"/>
                <w:szCs w:val="20"/>
              </w:rPr>
              <w:t>根据现场调查，线路沿线</w:t>
            </w:r>
            <w:r>
              <w:rPr>
                <w:color w:val="auto"/>
                <w:sz w:val="24"/>
              </w:rPr>
              <w:t>动物主要以人工饲养家禽、鼠类以及麻雀等常见动物为主，调查期间</w:t>
            </w:r>
            <w:r>
              <w:rPr>
                <w:color w:val="auto"/>
                <w:sz w:val="24"/>
                <w:szCs w:val="22"/>
              </w:rPr>
              <w:t>评价区域内</w:t>
            </w:r>
            <w:r>
              <w:rPr>
                <w:color w:val="auto"/>
                <w:sz w:val="24"/>
              </w:rPr>
              <w:t>未发现珍稀</w:t>
            </w:r>
            <w:r>
              <w:rPr>
                <w:color w:val="auto"/>
                <w:sz w:val="24"/>
                <w:szCs w:val="22"/>
              </w:rPr>
              <w:t>野生保护动物</w:t>
            </w:r>
            <w:r>
              <w:rPr>
                <w:color w:val="auto"/>
                <w:sz w:val="24"/>
                <w:szCs w:val="20"/>
              </w:rPr>
              <w:t>。</w:t>
            </w:r>
          </w:p>
          <w:p w14:paraId="54BE88BB">
            <w:pPr>
              <w:adjustRightInd w:val="0"/>
              <w:snapToGrid w:val="0"/>
              <w:spacing w:line="360" w:lineRule="auto"/>
              <w:rPr>
                <w:b/>
                <w:bCs/>
                <w:color w:val="auto"/>
                <w:sz w:val="24"/>
              </w:rPr>
            </w:pPr>
            <w:r>
              <w:rPr>
                <w:b/>
                <w:bCs/>
                <w:color w:val="auto"/>
                <w:sz w:val="24"/>
              </w:rPr>
              <w:t>1.3.4生态敏感区</w:t>
            </w:r>
          </w:p>
          <w:p w14:paraId="7E5332CC">
            <w:pPr>
              <w:adjustRightInd w:val="0"/>
              <w:snapToGrid w:val="0"/>
              <w:spacing w:line="348" w:lineRule="auto"/>
              <w:ind w:firstLine="480" w:firstLineChars="200"/>
              <w:rPr>
                <w:color w:val="auto"/>
                <w:sz w:val="24"/>
              </w:rPr>
            </w:pPr>
            <w:r>
              <w:rPr>
                <w:color w:val="auto"/>
                <w:sz w:val="24"/>
                <w:szCs w:val="32"/>
              </w:rPr>
              <w:t>工程所经区域及项目评价范围内不涉及国家公园、自然保护区、风景名胜区、世界文化和自然遗产地、海洋特别保护区、饮用水水源保护区等生态敏感区。</w:t>
            </w:r>
          </w:p>
          <w:p w14:paraId="4112479C">
            <w:pPr>
              <w:keepNext/>
              <w:keepLines/>
              <w:tabs>
                <w:tab w:val="left" w:pos="420"/>
                <w:tab w:val="left" w:pos="567"/>
              </w:tabs>
              <w:adjustRightInd w:val="0"/>
              <w:snapToGrid w:val="0"/>
              <w:spacing w:line="360" w:lineRule="auto"/>
              <w:jc w:val="left"/>
              <w:outlineLvl w:val="1"/>
              <w:rPr>
                <w:b/>
                <w:bCs/>
                <w:color w:val="auto"/>
                <w:sz w:val="24"/>
              </w:rPr>
            </w:pPr>
            <w:r>
              <w:rPr>
                <w:b/>
                <w:bCs/>
                <w:color w:val="auto"/>
                <w:sz w:val="24"/>
              </w:rPr>
              <w:t>2、电磁环境及声环境质量现状</w:t>
            </w:r>
          </w:p>
          <w:p w14:paraId="31D45F4A">
            <w:pPr>
              <w:pStyle w:val="47"/>
              <w:snapToGrid w:val="0"/>
              <w:spacing w:line="348" w:lineRule="auto"/>
              <w:rPr>
                <w:rFonts w:ascii="Times New Roman" w:hAnsi="Times New Roman" w:cs="Times New Roman"/>
                <w:b/>
                <w:color w:val="auto"/>
              </w:rPr>
            </w:pPr>
            <w:r>
              <w:rPr>
                <w:rFonts w:ascii="Times New Roman" w:hAnsi="Times New Roman" w:cs="Times New Roman"/>
                <w:color w:val="auto"/>
              </w:rPr>
              <w:t>本项目属于输电线路工程，根据项目环境影响特点及《环境影响评价技术导则 输变电》（HJ24-2020）相关要求，项目所在地环境质量现状重点评价电磁环境和声环境质量现状。为了解项目区域声环境及电磁环境现状，我公司委托有监测资质单位对项目所在地电磁环境及声环境进行了监测。现状监测期间，原110kV油华线正常运行。</w:t>
            </w:r>
          </w:p>
          <w:p w14:paraId="3A91D0D5">
            <w:pPr>
              <w:pStyle w:val="47"/>
              <w:snapToGrid w:val="0"/>
              <w:spacing w:line="348" w:lineRule="auto"/>
              <w:ind w:firstLine="0" w:firstLineChars="0"/>
              <w:rPr>
                <w:rFonts w:ascii="Times New Roman" w:hAnsi="Times New Roman" w:cs="Times New Roman"/>
                <w:b/>
                <w:color w:val="auto"/>
              </w:rPr>
            </w:pPr>
            <w:r>
              <w:rPr>
                <w:rFonts w:ascii="Times New Roman" w:hAnsi="Times New Roman" w:cs="Times New Roman"/>
                <w:b/>
                <w:color w:val="auto"/>
              </w:rPr>
              <w:t>2.1电磁环境</w:t>
            </w:r>
          </w:p>
          <w:p w14:paraId="7921E260">
            <w:pPr>
              <w:keepNext/>
              <w:keepLines/>
              <w:tabs>
                <w:tab w:val="left" w:pos="420"/>
                <w:tab w:val="left" w:pos="567"/>
              </w:tabs>
              <w:adjustRightInd w:val="0"/>
              <w:snapToGrid w:val="0"/>
              <w:spacing w:line="360" w:lineRule="auto"/>
              <w:jc w:val="left"/>
              <w:outlineLvl w:val="1"/>
              <w:rPr>
                <w:b/>
                <w:bCs/>
                <w:color w:val="auto"/>
                <w:sz w:val="24"/>
              </w:rPr>
            </w:pPr>
            <w:r>
              <w:rPr>
                <w:b/>
                <w:bCs/>
                <w:color w:val="auto"/>
                <w:sz w:val="24"/>
              </w:rPr>
              <w:t>2.1.1监测布点及合理性分析</w:t>
            </w:r>
          </w:p>
          <w:p w14:paraId="5B5E5A70">
            <w:pPr>
              <w:pStyle w:val="2"/>
              <w:autoSpaceDN w:val="0"/>
              <w:snapToGrid w:val="0"/>
              <w:spacing w:line="348"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根据现场调查，本项目新建架空线路沿线无居民、工厂等电磁环境保护目标分布。</w:t>
            </w:r>
          </w:p>
          <w:p w14:paraId="612D748F">
            <w:pPr>
              <w:pStyle w:val="2"/>
              <w:autoSpaceDN w:val="0"/>
              <w:snapToGrid w:val="0"/>
              <w:spacing w:line="348"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为了解原110kV油华线</w:t>
            </w:r>
            <w:r>
              <w:rPr>
                <w:rFonts w:hint="eastAsia" w:ascii="Times New Roman" w:hAnsi="Times New Roman" w:cs="Times New Roman"/>
                <w:color w:val="auto"/>
                <w:sz w:val="24"/>
                <w:szCs w:val="24"/>
              </w:rPr>
              <w:t>3</w:t>
            </w:r>
            <w:r>
              <w:rPr>
                <w:rFonts w:ascii="Times New Roman" w:hAnsi="Times New Roman" w:cs="Times New Roman"/>
                <w:color w:val="auto"/>
                <w:sz w:val="24"/>
                <w:szCs w:val="24"/>
              </w:rPr>
              <w:t>号至1</w:t>
            </w:r>
            <w:r>
              <w:rPr>
                <w:rFonts w:hint="eastAsia" w:ascii="Times New Roman" w:hAnsi="Times New Roman" w:cs="Times New Roman"/>
                <w:color w:val="auto"/>
                <w:sz w:val="24"/>
                <w:szCs w:val="24"/>
              </w:rPr>
              <w:t>2</w:t>
            </w:r>
            <w:r>
              <w:rPr>
                <w:rFonts w:ascii="Times New Roman" w:hAnsi="Times New Roman" w:cs="Times New Roman"/>
                <w:color w:val="auto"/>
                <w:sz w:val="24"/>
                <w:szCs w:val="24"/>
              </w:rPr>
              <w:t>号段沿线电磁环境质量现状，本次评价在原110kV油华线</w:t>
            </w:r>
            <w:r>
              <w:rPr>
                <w:rFonts w:hint="eastAsia" w:ascii="Times New Roman" w:hAnsi="Times New Roman" w:cs="Times New Roman"/>
                <w:color w:val="auto"/>
                <w:sz w:val="24"/>
                <w:szCs w:val="24"/>
              </w:rPr>
              <w:t>3</w:t>
            </w:r>
            <w:r>
              <w:rPr>
                <w:rFonts w:ascii="Times New Roman" w:hAnsi="Times New Roman" w:cs="Times New Roman"/>
                <w:color w:val="auto"/>
                <w:sz w:val="24"/>
                <w:szCs w:val="24"/>
              </w:rPr>
              <w:t>号至1</w:t>
            </w:r>
            <w:r>
              <w:rPr>
                <w:rFonts w:hint="eastAsia" w:ascii="Times New Roman" w:hAnsi="Times New Roman" w:cs="Times New Roman"/>
                <w:color w:val="auto"/>
                <w:sz w:val="24"/>
                <w:szCs w:val="24"/>
              </w:rPr>
              <w:t>2</w:t>
            </w:r>
            <w:r>
              <w:rPr>
                <w:rFonts w:ascii="Times New Roman" w:hAnsi="Times New Roman" w:cs="Times New Roman"/>
                <w:color w:val="auto"/>
                <w:sz w:val="24"/>
                <w:szCs w:val="24"/>
              </w:rPr>
              <w:t>号段线下布设了1个监测点位，该监测点位布设在原110kV油华线</w:t>
            </w:r>
            <w:r>
              <w:rPr>
                <w:rFonts w:hint="eastAsia" w:ascii="Times New Roman" w:hAnsi="Times New Roman" w:cs="Times New Roman"/>
                <w:color w:val="auto"/>
                <w:sz w:val="24"/>
                <w:szCs w:val="24"/>
              </w:rPr>
              <w:t>3</w:t>
            </w:r>
            <w:r>
              <w:rPr>
                <w:rFonts w:ascii="Times New Roman" w:hAnsi="Times New Roman" w:cs="Times New Roman"/>
                <w:color w:val="auto"/>
                <w:sz w:val="24"/>
                <w:szCs w:val="24"/>
              </w:rPr>
              <w:t>号至1</w:t>
            </w:r>
            <w:r>
              <w:rPr>
                <w:rFonts w:hint="eastAsia" w:ascii="Times New Roman" w:hAnsi="Times New Roman" w:cs="Times New Roman"/>
                <w:color w:val="auto"/>
                <w:sz w:val="24"/>
                <w:szCs w:val="24"/>
              </w:rPr>
              <w:t>2</w:t>
            </w:r>
            <w:r>
              <w:rPr>
                <w:rFonts w:ascii="Times New Roman" w:hAnsi="Times New Roman" w:cs="Times New Roman"/>
                <w:color w:val="auto"/>
                <w:sz w:val="24"/>
                <w:szCs w:val="24"/>
              </w:rPr>
              <w:t>号段</w:t>
            </w:r>
            <w:r>
              <w:rPr>
                <w:rFonts w:hint="eastAsia" w:ascii="Times New Roman" w:hAnsi="Times New Roman" w:cs="Times New Roman"/>
                <w:color w:val="auto"/>
                <w:sz w:val="24"/>
                <w:szCs w:val="24"/>
              </w:rPr>
              <w:t>具备</w:t>
            </w:r>
            <w:r>
              <w:rPr>
                <w:rFonts w:ascii="Times New Roman" w:hAnsi="Times New Roman" w:cs="Times New Roman"/>
                <w:color w:val="auto"/>
                <w:sz w:val="24"/>
                <w:szCs w:val="24"/>
              </w:rPr>
              <w:t>监测条件</w:t>
            </w:r>
            <w:r>
              <w:rPr>
                <w:rFonts w:hint="eastAsia" w:ascii="Times New Roman" w:hAnsi="Times New Roman" w:cs="Times New Roman"/>
                <w:color w:val="auto"/>
                <w:sz w:val="24"/>
                <w:szCs w:val="24"/>
              </w:rPr>
              <w:t>的</w:t>
            </w:r>
            <w:r>
              <w:rPr>
                <w:rFonts w:ascii="Times New Roman" w:hAnsi="Times New Roman" w:cs="Times New Roman"/>
                <w:color w:val="auto"/>
                <w:sz w:val="24"/>
                <w:szCs w:val="24"/>
              </w:rPr>
              <w:t>导线对地</w:t>
            </w:r>
            <w:r>
              <w:rPr>
                <w:rFonts w:hint="eastAsia" w:ascii="Times New Roman" w:hAnsi="Times New Roman" w:cs="Times New Roman"/>
                <w:color w:val="auto"/>
                <w:sz w:val="24"/>
                <w:szCs w:val="24"/>
              </w:rPr>
              <w:t>最</w:t>
            </w:r>
            <w:r>
              <w:rPr>
                <w:rFonts w:ascii="Times New Roman" w:hAnsi="Times New Roman" w:cs="Times New Roman"/>
                <w:color w:val="auto"/>
                <w:sz w:val="24"/>
                <w:szCs w:val="24"/>
              </w:rPr>
              <w:t>低处</w:t>
            </w:r>
            <w:r>
              <w:rPr>
                <w:rFonts w:hint="eastAsia" w:ascii="Times New Roman" w:hAnsi="Times New Roman" w:cs="Times New Roman"/>
                <w:color w:val="auto"/>
                <w:sz w:val="24"/>
                <w:szCs w:val="24"/>
                <w:lang w:eastAsia="zh-CN"/>
              </w:rPr>
              <w:t>，同时该监测点位位于迁改线路调整弧垂段，可代表本项目迁改线路沿线监测点位</w:t>
            </w:r>
            <w:r>
              <w:rPr>
                <w:rFonts w:ascii="Times New Roman" w:hAnsi="Times New Roman" w:cs="Times New Roman"/>
                <w:color w:val="auto"/>
                <w:sz w:val="24"/>
                <w:szCs w:val="24"/>
              </w:rPr>
              <w:t>。</w:t>
            </w:r>
          </w:p>
          <w:p w14:paraId="45800653">
            <w:pPr>
              <w:pStyle w:val="2"/>
              <w:autoSpaceDN w:val="0"/>
              <w:snapToGrid w:val="0"/>
              <w:spacing w:line="348"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因本项目拟建</w:t>
            </w:r>
            <w:r>
              <w:rPr>
                <w:rFonts w:ascii="Times New Roman" w:hAnsi="Times New Roman" w:cs="Times New Roman"/>
                <w:color w:val="auto"/>
                <w:sz w:val="24"/>
                <w:szCs w:val="24"/>
              </w:rPr>
              <w:t>110kV单回架空线路</w:t>
            </w:r>
            <w:r>
              <w:rPr>
                <w:rFonts w:hint="eastAsia" w:ascii="Times New Roman" w:hAnsi="Times New Roman" w:cs="Times New Roman"/>
                <w:color w:val="auto"/>
                <w:sz w:val="24"/>
                <w:szCs w:val="24"/>
              </w:rPr>
              <w:t>路径较短，均位于同一行政区内，</w:t>
            </w:r>
            <w:r>
              <w:rPr>
                <w:rFonts w:ascii="Times New Roman" w:hAnsi="Times New Roman" w:cs="Times New Roman"/>
                <w:color w:val="auto"/>
                <w:sz w:val="24"/>
                <w:szCs w:val="24"/>
              </w:rPr>
              <w:t>本次环评在拟建110kV单回架空线路沿线布设了1处背景监测点位。</w:t>
            </w:r>
          </w:p>
          <w:p w14:paraId="5BC36AB3">
            <w:pPr>
              <w:pStyle w:val="47"/>
              <w:snapToGrid w:val="0"/>
              <w:spacing w:line="348" w:lineRule="auto"/>
              <w:rPr>
                <w:rFonts w:ascii="Times New Roman" w:hAnsi="Times New Roman" w:cs="Times New Roman"/>
                <w:color w:val="auto"/>
              </w:rPr>
            </w:pPr>
            <w:r>
              <w:rPr>
                <w:rFonts w:ascii="Times New Roman" w:hAnsi="Times New Roman" w:cs="Times New Roman"/>
                <w:color w:val="auto"/>
              </w:rPr>
              <w:t>综合以上分析，本次环评监测布点满足《环境影响评价技术导则 输变电》（HJ24-2020）中监测布点相关要求。具体监测点位见表3-1、附图2、3。</w:t>
            </w:r>
          </w:p>
          <w:p w14:paraId="484EC9F6">
            <w:pPr>
              <w:pStyle w:val="47"/>
              <w:snapToGrid w:val="0"/>
              <w:spacing w:line="348" w:lineRule="auto"/>
              <w:ind w:firstLine="482"/>
              <w:jc w:val="center"/>
              <w:rPr>
                <w:rFonts w:ascii="Times New Roman" w:hAnsi="Times New Roman" w:cs="Times New Roman"/>
                <w:b/>
                <w:bCs/>
                <w:color w:val="auto"/>
              </w:rPr>
            </w:pPr>
            <w:r>
              <w:rPr>
                <w:rFonts w:ascii="Times New Roman" w:hAnsi="Times New Roman" w:cs="Times New Roman"/>
                <w:b/>
                <w:color w:val="auto"/>
              </w:rPr>
              <w:t>表</w:t>
            </w:r>
            <w:r>
              <w:rPr>
                <w:rFonts w:ascii="Times New Roman" w:hAnsi="Times New Roman" w:cs="Times New Roman"/>
                <w:b/>
                <w:bCs/>
                <w:color w:val="auto"/>
              </w:rPr>
              <w:t>3-1 本工程监测点位一览表</w:t>
            </w:r>
          </w:p>
          <w:tbl>
            <w:tblPr>
              <w:tblStyle w:val="2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17"/>
              <w:gridCol w:w="2288"/>
              <w:gridCol w:w="1284"/>
              <w:gridCol w:w="1066"/>
              <w:gridCol w:w="1920"/>
            </w:tblGrid>
            <w:tr w14:paraId="47DF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5DD580BD">
                  <w:pPr>
                    <w:tabs>
                      <w:tab w:val="left" w:pos="1845"/>
                      <w:tab w:val="left" w:pos="4080"/>
                    </w:tabs>
                    <w:adjustRightInd w:val="0"/>
                    <w:snapToGrid w:val="0"/>
                    <w:jc w:val="center"/>
                    <w:rPr>
                      <w:bCs/>
                      <w:color w:val="auto"/>
                      <w:szCs w:val="21"/>
                    </w:rPr>
                  </w:pPr>
                  <w:r>
                    <w:rPr>
                      <w:bCs/>
                      <w:color w:val="auto"/>
                      <w:szCs w:val="21"/>
                    </w:rPr>
                    <w:t>监测点位编号</w:t>
                  </w:r>
                </w:p>
              </w:tc>
              <w:tc>
                <w:tcPr>
                  <w:tcW w:w="1417" w:type="dxa"/>
                  <w:vAlign w:val="center"/>
                </w:tcPr>
                <w:p w14:paraId="19BE7BC1">
                  <w:pPr>
                    <w:adjustRightInd w:val="0"/>
                    <w:snapToGrid w:val="0"/>
                    <w:jc w:val="center"/>
                    <w:rPr>
                      <w:bCs/>
                      <w:color w:val="auto"/>
                      <w:szCs w:val="21"/>
                    </w:rPr>
                  </w:pPr>
                  <w:r>
                    <w:rPr>
                      <w:bCs/>
                      <w:color w:val="auto"/>
                      <w:szCs w:val="21"/>
                    </w:rPr>
                    <w:t>监测点位</w:t>
                  </w:r>
                </w:p>
              </w:tc>
              <w:tc>
                <w:tcPr>
                  <w:tcW w:w="2288" w:type="dxa"/>
                  <w:vAlign w:val="center"/>
                </w:tcPr>
                <w:p w14:paraId="1D11D501">
                  <w:pPr>
                    <w:adjustRightInd w:val="0"/>
                    <w:snapToGrid w:val="0"/>
                    <w:jc w:val="center"/>
                    <w:rPr>
                      <w:bCs/>
                      <w:color w:val="auto"/>
                      <w:szCs w:val="21"/>
                    </w:rPr>
                  </w:pPr>
                  <w:r>
                    <w:rPr>
                      <w:bCs/>
                      <w:color w:val="auto"/>
                      <w:szCs w:val="21"/>
                    </w:rPr>
                    <w:t>监测点位描述</w:t>
                  </w:r>
                </w:p>
              </w:tc>
              <w:tc>
                <w:tcPr>
                  <w:tcW w:w="1284" w:type="dxa"/>
                  <w:vAlign w:val="center"/>
                </w:tcPr>
                <w:p w14:paraId="071B8544">
                  <w:pPr>
                    <w:adjustRightInd w:val="0"/>
                    <w:snapToGrid w:val="0"/>
                    <w:jc w:val="center"/>
                    <w:rPr>
                      <w:bCs/>
                      <w:color w:val="auto"/>
                      <w:szCs w:val="21"/>
                    </w:rPr>
                  </w:pPr>
                  <w:r>
                    <w:rPr>
                      <w:bCs/>
                      <w:color w:val="auto"/>
                      <w:szCs w:val="21"/>
                    </w:rPr>
                    <w:t>东经</w:t>
                  </w:r>
                </w:p>
              </w:tc>
              <w:tc>
                <w:tcPr>
                  <w:tcW w:w="1066" w:type="dxa"/>
                  <w:vAlign w:val="center"/>
                </w:tcPr>
                <w:p w14:paraId="305EB04E">
                  <w:pPr>
                    <w:adjustRightInd w:val="0"/>
                    <w:snapToGrid w:val="0"/>
                    <w:jc w:val="center"/>
                    <w:rPr>
                      <w:bCs/>
                      <w:color w:val="auto"/>
                      <w:szCs w:val="21"/>
                    </w:rPr>
                  </w:pPr>
                  <w:r>
                    <w:rPr>
                      <w:bCs/>
                      <w:color w:val="auto"/>
                      <w:szCs w:val="21"/>
                    </w:rPr>
                    <w:t>北纬</w:t>
                  </w:r>
                </w:p>
              </w:tc>
              <w:tc>
                <w:tcPr>
                  <w:tcW w:w="1920" w:type="dxa"/>
                  <w:vAlign w:val="center"/>
                </w:tcPr>
                <w:p w14:paraId="52C4FE16">
                  <w:pPr>
                    <w:adjustRightInd w:val="0"/>
                    <w:snapToGrid w:val="0"/>
                    <w:jc w:val="center"/>
                    <w:rPr>
                      <w:bCs/>
                      <w:color w:val="auto"/>
                      <w:szCs w:val="21"/>
                    </w:rPr>
                  </w:pPr>
                  <w:r>
                    <w:rPr>
                      <w:bCs/>
                      <w:color w:val="auto"/>
                      <w:szCs w:val="21"/>
                    </w:rPr>
                    <w:t>代表性分析</w:t>
                  </w:r>
                </w:p>
              </w:tc>
            </w:tr>
            <w:tr w14:paraId="1090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00" w:type="dxa"/>
                  <w:vAlign w:val="center"/>
                </w:tcPr>
                <w:p w14:paraId="248BD403">
                  <w:pPr>
                    <w:tabs>
                      <w:tab w:val="left" w:pos="1845"/>
                      <w:tab w:val="left" w:pos="4920"/>
                    </w:tabs>
                    <w:spacing w:line="360" w:lineRule="auto"/>
                    <w:jc w:val="center"/>
                    <w:rPr>
                      <w:bCs/>
                      <w:color w:val="auto"/>
                      <w:szCs w:val="21"/>
                    </w:rPr>
                  </w:pPr>
                  <w:r>
                    <w:rPr>
                      <w:color w:val="auto"/>
                      <w:kern w:val="0"/>
                      <w:szCs w:val="21"/>
                    </w:rPr>
                    <w:t>1</w:t>
                  </w:r>
                </w:p>
              </w:tc>
              <w:tc>
                <w:tcPr>
                  <w:tcW w:w="1417" w:type="dxa"/>
                  <w:vAlign w:val="center"/>
                </w:tcPr>
                <w:p w14:paraId="4D513B84">
                  <w:pPr>
                    <w:tabs>
                      <w:tab w:val="left" w:pos="1845"/>
                      <w:tab w:val="left" w:pos="4920"/>
                    </w:tabs>
                    <w:rPr>
                      <w:bCs/>
                      <w:color w:val="auto"/>
                      <w:szCs w:val="21"/>
                    </w:rPr>
                  </w:pPr>
                  <w:r>
                    <w:rPr>
                      <w:color w:val="auto"/>
                      <w:kern w:val="0"/>
                      <w:szCs w:val="21"/>
                    </w:rPr>
                    <w:t>110kV油华线11#塔附近</w:t>
                  </w:r>
                </w:p>
              </w:tc>
              <w:tc>
                <w:tcPr>
                  <w:tcW w:w="2288" w:type="dxa"/>
                  <w:vAlign w:val="center"/>
                </w:tcPr>
                <w:p w14:paraId="0F573556">
                  <w:pPr>
                    <w:tabs>
                      <w:tab w:val="left" w:pos="1845"/>
                      <w:tab w:val="left" w:pos="4920"/>
                    </w:tabs>
                    <w:rPr>
                      <w:bCs/>
                      <w:color w:val="auto"/>
                      <w:szCs w:val="21"/>
                    </w:rPr>
                  </w:pPr>
                  <w:r>
                    <w:rPr>
                      <w:color w:val="auto"/>
                      <w:kern w:val="0"/>
                      <w:szCs w:val="21"/>
                    </w:rPr>
                    <w:t>监测点位于110kV油华线正下方，距离最低导线垂直距离约18m</w:t>
                  </w:r>
                </w:p>
              </w:tc>
              <w:tc>
                <w:tcPr>
                  <w:tcW w:w="1284" w:type="dxa"/>
                  <w:vAlign w:val="center"/>
                </w:tcPr>
                <w:p w14:paraId="59E2CC11">
                  <w:pPr>
                    <w:adjustRightInd w:val="0"/>
                    <w:snapToGrid w:val="0"/>
                    <w:jc w:val="center"/>
                    <w:outlineLvl w:val="0"/>
                    <w:rPr>
                      <w:bCs/>
                      <w:color w:val="auto"/>
                      <w:szCs w:val="21"/>
                    </w:rPr>
                  </w:pPr>
                  <w:r>
                    <w:rPr>
                      <w:rFonts w:hint="eastAsia"/>
                      <w:color w:val="auto"/>
                      <w:sz w:val="24"/>
                      <w:lang w:val="en-US" w:eastAsia="zh-CN"/>
                    </w:rPr>
                    <w:t>****</w:t>
                  </w:r>
                </w:p>
              </w:tc>
              <w:tc>
                <w:tcPr>
                  <w:tcW w:w="1066" w:type="dxa"/>
                  <w:vAlign w:val="center"/>
                </w:tcPr>
                <w:p w14:paraId="6332FF50">
                  <w:pPr>
                    <w:adjustRightInd w:val="0"/>
                    <w:snapToGrid w:val="0"/>
                    <w:jc w:val="center"/>
                    <w:outlineLvl w:val="0"/>
                    <w:rPr>
                      <w:bCs/>
                      <w:color w:val="auto"/>
                      <w:szCs w:val="21"/>
                    </w:rPr>
                  </w:pPr>
                  <w:r>
                    <w:rPr>
                      <w:rFonts w:hint="eastAsia"/>
                      <w:color w:val="auto"/>
                      <w:sz w:val="24"/>
                      <w:lang w:val="en-US" w:eastAsia="zh-CN"/>
                    </w:rPr>
                    <w:t>****</w:t>
                  </w:r>
                </w:p>
              </w:tc>
              <w:tc>
                <w:tcPr>
                  <w:tcW w:w="1920" w:type="dxa"/>
                  <w:vAlign w:val="center"/>
                </w:tcPr>
                <w:p w14:paraId="43142067">
                  <w:pPr>
                    <w:adjustRightInd w:val="0"/>
                    <w:snapToGrid w:val="0"/>
                    <w:jc w:val="center"/>
                    <w:rPr>
                      <w:bCs/>
                      <w:color w:val="auto"/>
                      <w:szCs w:val="21"/>
                    </w:rPr>
                  </w:pPr>
                  <w:r>
                    <w:rPr>
                      <w:rFonts w:hint="eastAsia"/>
                      <w:bCs/>
                      <w:color w:val="auto"/>
                      <w:szCs w:val="21"/>
                    </w:rPr>
                    <w:t>代表</w:t>
                  </w:r>
                  <w:r>
                    <w:rPr>
                      <w:bCs/>
                      <w:color w:val="auto"/>
                      <w:szCs w:val="21"/>
                    </w:rPr>
                    <w:t>原110kV油华线</w:t>
                  </w:r>
                  <w:r>
                    <w:rPr>
                      <w:rFonts w:hint="eastAsia"/>
                      <w:bCs/>
                      <w:color w:val="auto"/>
                      <w:szCs w:val="21"/>
                    </w:rPr>
                    <w:t>3</w:t>
                  </w:r>
                  <w:r>
                    <w:rPr>
                      <w:bCs/>
                      <w:color w:val="auto"/>
                      <w:szCs w:val="21"/>
                    </w:rPr>
                    <w:t>号至1</w:t>
                  </w:r>
                  <w:r>
                    <w:rPr>
                      <w:rFonts w:hint="eastAsia"/>
                      <w:bCs/>
                      <w:color w:val="auto"/>
                      <w:szCs w:val="21"/>
                    </w:rPr>
                    <w:t>2</w:t>
                  </w:r>
                  <w:r>
                    <w:rPr>
                      <w:bCs/>
                      <w:color w:val="auto"/>
                      <w:szCs w:val="21"/>
                    </w:rPr>
                    <w:t>号段</w:t>
                  </w:r>
                  <w:r>
                    <w:rPr>
                      <w:rFonts w:hint="eastAsia"/>
                      <w:bCs/>
                      <w:color w:val="auto"/>
                      <w:szCs w:val="21"/>
                    </w:rPr>
                    <w:t>电磁环境质量</w:t>
                  </w:r>
                  <w:r>
                    <w:rPr>
                      <w:bCs/>
                      <w:color w:val="auto"/>
                      <w:szCs w:val="21"/>
                    </w:rPr>
                    <w:t>现状</w:t>
                  </w:r>
                  <w:r>
                    <w:rPr>
                      <w:rFonts w:hint="eastAsia"/>
                      <w:bCs/>
                      <w:color w:val="auto"/>
                      <w:szCs w:val="21"/>
                      <w:lang w:eastAsia="zh-CN"/>
                    </w:rPr>
                    <w:t>以及</w:t>
                  </w:r>
                  <w:r>
                    <w:rPr>
                      <w:rFonts w:hint="eastAsia"/>
                      <w:bCs/>
                      <w:color w:val="auto"/>
                      <w:szCs w:val="21"/>
                    </w:rPr>
                    <w:t>新建线路</w:t>
                  </w:r>
                  <w:r>
                    <w:rPr>
                      <w:rFonts w:hint="eastAsia"/>
                      <w:bCs/>
                      <w:color w:val="auto"/>
                      <w:szCs w:val="21"/>
                      <w:lang w:eastAsia="zh-CN"/>
                    </w:rPr>
                    <w:t>调整弧垂段</w:t>
                  </w:r>
                  <w:r>
                    <w:rPr>
                      <w:rFonts w:hint="eastAsia"/>
                      <w:bCs/>
                      <w:color w:val="auto"/>
                      <w:szCs w:val="21"/>
                    </w:rPr>
                    <w:t>电磁环境质量</w:t>
                  </w:r>
                </w:p>
              </w:tc>
            </w:tr>
            <w:tr w14:paraId="6E76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1FB69C81">
                  <w:pPr>
                    <w:tabs>
                      <w:tab w:val="left" w:pos="1845"/>
                      <w:tab w:val="left" w:pos="4920"/>
                    </w:tabs>
                    <w:spacing w:line="360" w:lineRule="auto"/>
                    <w:jc w:val="center"/>
                    <w:rPr>
                      <w:bCs/>
                      <w:color w:val="auto"/>
                      <w:kern w:val="0"/>
                      <w:szCs w:val="21"/>
                    </w:rPr>
                  </w:pPr>
                  <w:r>
                    <w:rPr>
                      <w:color w:val="auto"/>
                      <w:kern w:val="0"/>
                      <w:szCs w:val="21"/>
                    </w:rPr>
                    <w:t>2</w:t>
                  </w:r>
                </w:p>
              </w:tc>
              <w:tc>
                <w:tcPr>
                  <w:tcW w:w="1417" w:type="dxa"/>
                  <w:vAlign w:val="center"/>
                </w:tcPr>
                <w:p w14:paraId="468FCD78">
                  <w:pPr>
                    <w:tabs>
                      <w:tab w:val="left" w:pos="1845"/>
                      <w:tab w:val="left" w:pos="4920"/>
                    </w:tabs>
                    <w:rPr>
                      <w:color w:val="auto"/>
                      <w:kern w:val="0"/>
                      <w:szCs w:val="21"/>
                    </w:rPr>
                  </w:pPr>
                  <w:r>
                    <w:rPr>
                      <w:color w:val="auto"/>
                      <w:kern w:val="0"/>
                      <w:szCs w:val="21"/>
                    </w:rPr>
                    <w:t>拟建线路正下方</w:t>
                  </w:r>
                </w:p>
              </w:tc>
              <w:tc>
                <w:tcPr>
                  <w:tcW w:w="2288" w:type="dxa"/>
                  <w:vAlign w:val="center"/>
                </w:tcPr>
                <w:p w14:paraId="0747E3CE">
                  <w:pPr>
                    <w:tabs>
                      <w:tab w:val="left" w:pos="1845"/>
                      <w:tab w:val="left" w:pos="4920"/>
                    </w:tabs>
                    <w:rPr>
                      <w:color w:val="auto"/>
                      <w:kern w:val="0"/>
                      <w:szCs w:val="21"/>
                    </w:rPr>
                  </w:pPr>
                  <w:r>
                    <w:rPr>
                      <w:color w:val="auto"/>
                      <w:kern w:val="0"/>
                      <w:szCs w:val="21"/>
                    </w:rPr>
                    <w:t>监测点位于拟建线路正下方</w:t>
                  </w:r>
                </w:p>
              </w:tc>
              <w:tc>
                <w:tcPr>
                  <w:tcW w:w="1284" w:type="dxa"/>
                  <w:vAlign w:val="center"/>
                </w:tcPr>
                <w:p w14:paraId="154E9BE2">
                  <w:pPr>
                    <w:adjustRightInd w:val="0"/>
                    <w:snapToGrid w:val="0"/>
                    <w:jc w:val="center"/>
                    <w:outlineLvl w:val="0"/>
                    <w:rPr>
                      <w:bCs/>
                      <w:color w:val="auto"/>
                      <w:szCs w:val="21"/>
                    </w:rPr>
                  </w:pPr>
                  <w:r>
                    <w:rPr>
                      <w:rFonts w:hint="eastAsia"/>
                      <w:color w:val="auto"/>
                      <w:sz w:val="24"/>
                      <w:lang w:val="en-US" w:eastAsia="zh-CN"/>
                    </w:rPr>
                    <w:t>****</w:t>
                  </w:r>
                </w:p>
              </w:tc>
              <w:tc>
                <w:tcPr>
                  <w:tcW w:w="1066" w:type="dxa"/>
                  <w:vAlign w:val="center"/>
                </w:tcPr>
                <w:p w14:paraId="06B50C7A">
                  <w:pPr>
                    <w:adjustRightInd w:val="0"/>
                    <w:snapToGrid w:val="0"/>
                    <w:jc w:val="center"/>
                    <w:outlineLvl w:val="0"/>
                    <w:rPr>
                      <w:bCs/>
                      <w:color w:val="auto"/>
                      <w:szCs w:val="21"/>
                    </w:rPr>
                  </w:pPr>
                  <w:r>
                    <w:rPr>
                      <w:rFonts w:hint="eastAsia"/>
                      <w:color w:val="auto"/>
                      <w:sz w:val="24"/>
                      <w:lang w:val="en-US" w:eastAsia="zh-CN"/>
                    </w:rPr>
                    <w:t>****</w:t>
                  </w:r>
                </w:p>
              </w:tc>
              <w:tc>
                <w:tcPr>
                  <w:tcW w:w="1920" w:type="dxa"/>
                  <w:vAlign w:val="center"/>
                </w:tcPr>
                <w:p w14:paraId="4226F5CB">
                  <w:pPr>
                    <w:adjustRightInd w:val="0"/>
                    <w:snapToGrid w:val="0"/>
                    <w:jc w:val="center"/>
                    <w:rPr>
                      <w:color w:val="auto"/>
                      <w:szCs w:val="21"/>
                    </w:rPr>
                  </w:pPr>
                  <w:r>
                    <w:rPr>
                      <w:rFonts w:hint="eastAsia"/>
                      <w:bCs/>
                      <w:color w:val="auto"/>
                      <w:szCs w:val="21"/>
                    </w:rPr>
                    <w:t>代表新建线路沿线电磁环境质量背景</w:t>
                  </w:r>
                </w:p>
              </w:tc>
            </w:tr>
          </w:tbl>
          <w:p w14:paraId="3B926307">
            <w:pPr>
              <w:keepNext/>
              <w:keepLines/>
              <w:tabs>
                <w:tab w:val="left" w:pos="420"/>
                <w:tab w:val="left" w:pos="567"/>
              </w:tabs>
              <w:adjustRightInd w:val="0"/>
              <w:snapToGrid w:val="0"/>
              <w:spacing w:line="360" w:lineRule="auto"/>
              <w:jc w:val="left"/>
              <w:outlineLvl w:val="1"/>
              <w:rPr>
                <w:b/>
                <w:bCs/>
                <w:color w:val="auto"/>
                <w:sz w:val="24"/>
              </w:rPr>
            </w:pPr>
            <w:r>
              <w:rPr>
                <w:b/>
                <w:bCs/>
                <w:color w:val="auto"/>
                <w:sz w:val="24"/>
              </w:rPr>
              <w:t>2.1.2监测结果及分析</w:t>
            </w:r>
          </w:p>
          <w:p w14:paraId="10AAB482">
            <w:pPr>
              <w:pStyle w:val="2"/>
              <w:snapToGrid w:val="0"/>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本项目</w:t>
            </w:r>
            <w:r>
              <w:rPr>
                <w:rFonts w:ascii="Times New Roman" w:hAnsi="Times New Roman" w:cs="Times New Roman"/>
                <w:bCs/>
                <w:color w:val="auto"/>
                <w:kern w:val="0"/>
                <w:sz w:val="24"/>
                <w:szCs w:val="24"/>
              </w:rPr>
              <w:t>电磁环境质量监测结果</w:t>
            </w:r>
            <w:r>
              <w:rPr>
                <w:rFonts w:ascii="Times New Roman" w:hAnsi="Times New Roman" w:cs="Times New Roman"/>
                <w:color w:val="auto"/>
                <w:sz w:val="24"/>
                <w:szCs w:val="24"/>
              </w:rPr>
              <w:t>见表3-2</w:t>
            </w:r>
            <w:r>
              <w:rPr>
                <w:rStyle w:val="33"/>
                <w:rFonts w:ascii="Times New Roman" w:hAnsi="Times New Roman" w:cs="Times New Roman"/>
                <w:color w:val="auto"/>
                <w:kern w:val="0"/>
                <w:sz w:val="24"/>
                <w:szCs w:val="24"/>
              </w:rPr>
              <w:t>。</w:t>
            </w:r>
          </w:p>
          <w:p w14:paraId="7773320A">
            <w:pPr>
              <w:pStyle w:val="2"/>
              <w:tabs>
                <w:tab w:val="right" w:pos="5142"/>
              </w:tabs>
              <w:snapToGrid w:val="0"/>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表3-2 监测点位工频电场强度、工频磁感应强度现状监测结果</w:t>
            </w:r>
          </w:p>
          <w:tbl>
            <w:tblPr>
              <w:tblStyle w:val="2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787"/>
              <w:gridCol w:w="3491"/>
              <w:gridCol w:w="1494"/>
              <w:gridCol w:w="1346"/>
            </w:tblGrid>
            <w:tr w14:paraId="2D0F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7" w:type="dxa"/>
                  <w:vAlign w:val="center"/>
                </w:tcPr>
                <w:p w14:paraId="16A4247E">
                  <w:pPr>
                    <w:snapToGrid w:val="0"/>
                    <w:jc w:val="center"/>
                    <w:rPr>
                      <w:bCs/>
                      <w:color w:val="auto"/>
                      <w:szCs w:val="21"/>
                    </w:rPr>
                  </w:pPr>
                  <w:r>
                    <w:rPr>
                      <w:bCs/>
                      <w:color w:val="auto"/>
                      <w:szCs w:val="21"/>
                    </w:rPr>
                    <w:t>监测点位</w:t>
                  </w:r>
                </w:p>
              </w:tc>
              <w:tc>
                <w:tcPr>
                  <w:tcW w:w="1787" w:type="dxa"/>
                  <w:vAlign w:val="center"/>
                </w:tcPr>
                <w:p w14:paraId="32E9B225">
                  <w:pPr>
                    <w:adjustRightInd w:val="0"/>
                    <w:snapToGrid w:val="0"/>
                    <w:jc w:val="center"/>
                    <w:rPr>
                      <w:bCs/>
                      <w:color w:val="auto"/>
                      <w:szCs w:val="21"/>
                    </w:rPr>
                  </w:pPr>
                  <w:r>
                    <w:rPr>
                      <w:bCs/>
                      <w:color w:val="auto"/>
                      <w:szCs w:val="21"/>
                    </w:rPr>
                    <w:t>监测点位</w:t>
                  </w:r>
                </w:p>
              </w:tc>
              <w:tc>
                <w:tcPr>
                  <w:tcW w:w="3491" w:type="dxa"/>
                  <w:vAlign w:val="center"/>
                </w:tcPr>
                <w:p w14:paraId="5A6833B6">
                  <w:pPr>
                    <w:adjustRightInd w:val="0"/>
                    <w:snapToGrid w:val="0"/>
                    <w:jc w:val="center"/>
                    <w:rPr>
                      <w:bCs/>
                      <w:color w:val="auto"/>
                      <w:szCs w:val="21"/>
                    </w:rPr>
                  </w:pPr>
                  <w:r>
                    <w:rPr>
                      <w:bCs/>
                      <w:color w:val="auto"/>
                      <w:szCs w:val="21"/>
                    </w:rPr>
                    <w:t>监测点位描述</w:t>
                  </w:r>
                </w:p>
              </w:tc>
              <w:tc>
                <w:tcPr>
                  <w:tcW w:w="1494" w:type="dxa"/>
                  <w:vAlign w:val="center"/>
                </w:tcPr>
                <w:p w14:paraId="1297DF2A">
                  <w:pPr>
                    <w:snapToGrid w:val="0"/>
                    <w:jc w:val="center"/>
                    <w:rPr>
                      <w:bCs/>
                      <w:color w:val="auto"/>
                      <w:szCs w:val="21"/>
                    </w:rPr>
                  </w:pPr>
                  <w:r>
                    <w:rPr>
                      <w:bCs/>
                      <w:color w:val="auto"/>
                      <w:szCs w:val="21"/>
                    </w:rPr>
                    <w:t>工频电场强度（V/m）</w:t>
                  </w:r>
                </w:p>
              </w:tc>
              <w:tc>
                <w:tcPr>
                  <w:tcW w:w="1346" w:type="dxa"/>
                  <w:vAlign w:val="center"/>
                </w:tcPr>
                <w:p w14:paraId="29F46DA3">
                  <w:pPr>
                    <w:snapToGrid w:val="0"/>
                    <w:jc w:val="center"/>
                    <w:rPr>
                      <w:bCs/>
                      <w:color w:val="auto"/>
                      <w:szCs w:val="21"/>
                    </w:rPr>
                  </w:pPr>
                  <w:r>
                    <w:rPr>
                      <w:bCs/>
                      <w:color w:val="auto"/>
                      <w:szCs w:val="21"/>
                    </w:rPr>
                    <w:t>工频磁感应强度（</w:t>
                  </w:r>
                  <w:r>
                    <w:rPr>
                      <w:color w:val="auto"/>
                      <w:szCs w:val="21"/>
                    </w:rPr>
                    <w:t>μT</w:t>
                  </w:r>
                  <w:r>
                    <w:rPr>
                      <w:bCs/>
                      <w:color w:val="auto"/>
                      <w:szCs w:val="21"/>
                    </w:rPr>
                    <w:t>）</w:t>
                  </w:r>
                </w:p>
              </w:tc>
            </w:tr>
            <w:tr w14:paraId="68B7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7" w:type="dxa"/>
                  <w:vAlign w:val="center"/>
                </w:tcPr>
                <w:p w14:paraId="45E82DE9">
                  <w:pPr>
                    <w:tabs>
                      <w:tab w:val="left" w:pos="1845"/>
                      <w:tab w:val="left" w:pos="4920"/>
                    </w:tabs>
                    <w:spacing w:line="360" w:lineRule="auto"/>
                    <w:jc w:val="center"/>
                    <w:rPr>
                      <w:bCs/>
                      <w:color w:val="auto"/>
                      <w:szCs w:val="21"/>
                    </w:rPr>
                  </w:pPr>
                  <w:r>
                    <w:rPr>
                      <w:color w:val="auto"/>
                      <w:kern w:val="0"/>
                      <w:szCs w:val="21"/>
                    </w:rPr>
                    <w:t>1</w:t>
                  </w:r>
                </w:p>
              </w:tc>
              <w:tc>
                <w:tcPr>
                  <w:tcW w:w="1787" w:type="dxa"/>
                  <w:vAlign w:val="center"/>
                </w:tcPr>
                <w:p w14:paraId="7919B02A">
                  <w:pPr>
                    <w:tabs>
                      <w:tab w:val="left" w:pos="1845"/>
                      <w:tab w:val="left" w:pos="4920"/>
                    </w:tabs>
                    <w:rPr>
                      <w:bCs/>
                      <w:color w:val="auto"/>
                      <w:szCs w:val="21"/>
                    </w:rPr>
                  </w:pPr>
                  <w:r>
                    <w:rPr>
                      <w:color w:val="auto"/>
                      <w:kern w:val="0"/>
                      <w:szCs w:val="21"/>
                    </w:rPr>
                    <w:t>110kV油华线11#塔附近</w:t>
                  </w:r>
                </w:p>
              </w:tc>
              <w:tc>
                <w:tcPr>
                  <w:tcW w:w="3491" w:type="dxa"/>
                  <w:vAlign w:val="center"/>
                </w:tcPr>
                <w:p w14:paraId="48EB02D3">
                  <w:pPr>
                    <w:tabs>
                      <w:tab w:val="left" w:pos="1845"/>
                      <w:tab w:val="left" w:pos="4920"/>
                    </w:tabs>
                    <w:rPr>
                      <w:color w:val="auto"/>
                      <w:kern w:val="0"/>
                      <w:szCs w:val="21"/>
                    </w:rPr>
                  </w:pPr>
                  <w:r>
                    <w:rPr>
                      <w:color w:val="auto"/>
                      <w:kern w:val="0"/>
                      <w:szCs w:val="21"/>
                    </w:rPr>
                    <w:t>监测点位于110kV油华线正下方，距离最低导线垂直距离约18m</w:t>
                  </w:r>
                </w:p>
              </w:tc>
              <w:tc>
                <w:tcPr>
                  <w:tcW w:w="1494" w:type="dxa"/>
                  <w:vAlign w:val="center"/>
                </w:tcPr>
                <w:p w14:paraId="3EDEE4CE">
                  <w:pPr>
                    <w:snapToGrid w:val="0"/>
                    <w:jc w:val="center"/>
                    <w:rPr>
                      <w:color w:val="auto"/>
                      <w:szCs w:val="21"/>
                    </w:rPr>
                  </w:pPr>
                  <w:r>
                    <w:rPr>
                      <w:color w:val="auto"/>
                      <w:kern w:val="0"/>
                      <w:szCs w:val="21"/>
                      <w:lang w:bidi="ar"/>
                    </w:rPr>
                    <w:t>220.1</w:t>
                  </w:r>
                </w:p>
              </w:tc>
              <w:tc>
                <w:tcPr>
                  <w:tcW w:w="1346" w:type="dxa"/>
                  <w:vAlign w:val="center"/>
                </w:tcPr>
                <w:p w14:paraId="0AA98F34">
                  <w:pPr>
                    <w:pStyle w:val="47"/>
                    <w:snapToGrid w:val="0"/>
                    <w:spacing w:line="360" w:lineRule="auto"/>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0.0903</w:t>
                  </w:r>
                </w:p>
              </w:tc>
            </w:tr>
            <w:tr w14:paraId="2B16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7" w:type="dxa"/>
                  <w:vAlign w:val="center"/>
                </w:tcPr>
                <w:p w14:paraId="24958668">
                  <w:pPr>
                    <w:tabs>
                      <w:tab w:val="left" w:pos="1845"/>
                      <w:tab w:val="left" w:pos="4920"/>
                    </w:tabs>
                    <w:spacing w:line="360" w:lineRule="auto"/>
                    <w:jc w:val="center"/>
                    <w:rPr>
                      <w:bCs/>
                      <w:color w:val="auto"/>
                      <w:szCs w:val="21"/>
                    </w:rPr>
                  </w:pPr>
                  <w:r>
                    <w:rPr>
                      <w:color w:val="auto"/>
                      <w:kern w:val="0"/>
                      <w:szCs w:val="21"/>
                    </w:rPr>
                    <w:t>2</w:t>
                  </w:r>
                </w:p>
              </w:tc>
              <w:tc>
                <w:tcPr>
                  <w:tcW w:w="1787" w:type="dxa"/>
                  <w:vAlign w:val="center"/>
                </w:tcPr>
                <w:p w14:paraId="3046926D">
                  <w:pPr>
                    <w:tabs>
                      <w:tab w:val="left" w:pos="1845"/>
                      <w:tab w:val="left" w:pos="4920"/>
                    </w:tabs>
                    <w:rPr>
                      <w:bCs/>
                      <w:color w:val="auto"/>
                      <w:szCs w:val="21"/>
                    </w:rPr>
                  </w:pPr>
                  <w:r>
                    <w:rPr>
                      <w:color w:val="auto"/>
                      <w:kern w:val="0"/>
                      <w:szCs w:val="21"/>
                    </w:rPr>
                    <w:t>拟建线路正下方</w:t>
                  </w:r>
                </w:p>
              </w:tc>
              <w:tc>
                <w:tcPr>
                  <w:tcW w:w="3491" w:type="dxa"/>
                  <w:vAlign w:val="center"/>
                </w:tcPr>
                <w:p w14:paraId="3F617F5C">
                  <w:pPr>
                    <w:tabs>
                      <w:tab w:val="left" w:pos="1845"/>
                      <w:tab w:val="left" w:pos="4920"/>
                    </w:tabs>
                    <w:rPr>
                      <w:color w:val="auto"/>
                      <w:kern w:val="0"/>
                      <w:szCs w:val="21"/>
                    </w:rPr>
                  </w:pPr>
                  <w:r>
                    <w:rPr>
                      <w:color w:val="auto"/>
                      <w:kern w:val="0"/>
                      <w:szCs w:val="21"/>
                    </w:rPr>
                    <w:t>监测点位于拟建线路正下方</w:t>
                  </w:r>
                </w:p>
              </w:tc>
              <w:tc>
                <w:tcPr>
                  <w:tcW w:w="1494" w:type="dxa"/>
                  <w:vAlign w:val="center"/>
                </w:tcPr>
                <w:p w14:paraId="40E99CBF">
                  <w:pPr>
                    <w:snapToGrid w:val="0"/>
                    <w:jc w:val="center"/>
                    <w:rPr>
                      <w:color w:val="auto"/>
                      <w:szCs w:val="21"/>
                    </w:rPr>
                  </w:pPr>
                  <w:r>
                    <w:rPr>
                      <w:color w:val="auto"/>
                      <w:szCs w:val="21"/>
                    </w:rPr>
                    <w:t>0.255</w:t>
                  </w:r>
                </w:p>
              </w:tc>
              <w:tc>
                <w:tcPr>
                  <w:tcW w:w="1346" w:type="dxa"/>
                  <w:vAlign w:val="center"/>
                </w:tcPr>
                <w:p w14:paraId="035A42DA">
                  <w:pPr>
                    <w:snapToGrid w:val="0"/>
                    <w:jc w:val="center"/>
                    <w:rPr>
                      <w:color w:val="auto"/>
                      <w:szCs w:val="21"/>
                    </w:rPr>
                  </w:pPr>
                  <w:r>
                    <w:rPr>
                      <w:color w:val="auto"/>
                      <w:szCs w:val="21"/>
                    </w:rPr>
                    <w:t>0.0103</w:t>
                  </w:r>
                </w:p>
              </w:tc>
            </w:tr>
          </w:tbl>
          <w:p w14:paraId="5840DB76">
            <w:pPr>
              <w:pStyle w:val="2"/>
              <w:autoSpaceDN w:val="0"/>
              <w:snapToGrid w:val="0"/>
              <w:spacing w:line="348"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经监测，本项目线路沿线工频电场强度在（0.255～</w:t>
            </w:r>
            <w:r>
              <w:rPr>
                <w:rFonts w:ascii="Times New Roman" w:hAnsi="Times New Roman" w:cs="Times New Roman"/>
                <w:color w:val="auto"/>
                <w:kern w:val="0"/>
                <w:sz w:val="24"/>
                <w:szCs w:val="24"/>
                <w:lang w:bidi="ar"/>
              </w:rPr>
              <w:t>220.1</w:t>
            </w:r>
            <w:r>
              <w:rPr>
                <w:rFonts w:ascii="Times New Roman" w:hAnsi="Times New Roman" w:cs="Times New Roman"/>
                <w:color w:val="auto"/>
                <w:sz w:val="24"/>
                <w:szCs w:val="24"/>
              </w:rPr>
              <w:t>）V/m之间、工频磁感应强度在（</w:t>
            </w:r>
            <w:r>
              <w:rPr>
                <w:rFonts w:hint="eastAsia" w:ascii="Times New Roman" w:hAnsi="Times New Roman" w:cs="Times New Roman"/>
                <w:color w:val="auto"/>
                <w:sz w:val="24"/>
                <w:szCs w:val="24"/>
              </w:rPr>
              <w:t>0.0103~0.0903</w:t>
            </w:r>
            <w:r>
              <w:rPr>
                <w:rFonts w:ascii="Times New Roman" w:hAnsi="Times New Roman" w:cs="Times New Roman"/>
                <w:color w:val="auto"/>
                <w:sz w:val="24"/>
                <w:szCs w:val="24"/>
              </w:rPr>
              <w:t>）μT之间，均分别低于《电磁环境控制限值》（GB 8702-2014）4000V/m及100μT的评价标准。详细监测布点合理性分析及监测结果见《白涛钛白粉场平电力线路迁改工程（110kV油华线）电磁环境影响评价专题》（送审版）。</w:t>
            </w:r>
          </w:p>
          <w:p w14:paraId="2667DB56">
            <w:pPr>
              <w:pStyle w:val="47"/>
              <w:snapToGrid w:val="0"/>
              <w:spacing w:line="348" w:lineRule="auto"/>
              <w:ind w:firstLine="0" w:firstLineChars="0"/>
              <w:rPr>
                <w:rFonts w:ascii="Times New Roman" w:hAnsi="Times New Roman" w:cs="Times New Roman"/>
                <w:b/>
                <w:color w:val="auto"/>
              </w:rPr>
            </w:pPr>
            <w:r>
              <w:rPr>
                <w:rFonts w:ascii="Times New Roman" w:hAnsi="Times New Roman" w:cs="Times New Roman"/>
                <w:b/>
                <w:color w:val="auto"/>
              </w:rPr>
              <w:t>2.2声环境</w:t>
            </w:r>
          </w:p>
          <w:p w14:paraId="03FA2F44">
            <w:pPr>
              <w:keepNext/>
              <w:keepLines/>
              <w:tabs>
                <w:tab w:val="left" w:pos="420"/>
                <w:tab w:val="left" w:pos="567"/>
              </w:tabs>
              <w:adjustRightInd w:val="0"/>
              <w:snapToGrid w:val="0"/>
              <w:spacing w:line="360" w:lineRule="auto"/>
              <w:jc w:val="left"/>
              <w:outlineLvl w:val="1"/>
              <w:rPr>
                <w:b/>
                <w:bCs/>
                <w:color w:val="auto"/>
                <w:sz w:val="24"/>
              </w:rPr>
            </w:pPr>
            <w:r>
              <w:rPr>
                <w:b/>
                <w:bCs/>
                <w:color w:val="auto"/>
                <w:sz w:val="24"/>
              </w:rPr>
              <w:t>2.2.1监测因子</w:t>
            </w:r>
          </w:p>
          <w:p w14:paraId="4BE467E9">
            <w:pPr>
              <w:adjustRightInd w:val="0"/>
              <w:snapToGrid w:val="0"/>
              <w:spacing w:line="360" w:lineRule="auto"/>
              <w:ind w:firstLine="480" w:firstLineChars="200"/>
              <w:jc w:val="left"/>
              <w:textAlignment w:val="baseline"/>
              <w:rPr>
                <w:color w:val="auto"/>
                <w:kern w:val="0"/>
                <w:sz w:val="24"/>
              </w:rPr>
            </w:pPr>
            <w:r>
              <w:rPr>
                <w:color w:val="auto"/>
                <w:kern w:val="0"/>
                <w:sz w:val="24"/>
              </w:rPr>
              <w:t>等效连续A声级。</w:t>
            </w:r>
          </w:p>
          <w:p w14:paraId="31E16EF5">
            <w:pPr>
              <w:pStyle w:val="47"/>
              <w:snapToGrid w:val="0"/>
              <w:spacing w:line="348" w:lineRule="auto"/>
              <w:ind w:firstLine="0" w:firstLineChars="0"/>
              <w:rPr>
                <w:rFonts w:ascii="Times New Roman" w:hAnsi="Times New Roman" w:cs="Times New Roman"/>
                <w:b/>
                <w:bCs/>
                <w:color w:val="auto"/>
                <w:lang w:bidi="ar-SA"/>
              </w:rPr>
            </w:pPr>
            <w:bookmarkStart w:id="9" w:name="_Hlk67395993"/>
            <w:r>
              <w:rPr>
                <w:rFonts w:ascii="Times New Roman" w:hAnsi="Times New Roman" w:cs="Times New Roman"/>
                <w:b/>
                <w:bCs/>
                <w:color w:val="auto"/>
                <w:lang w:bidi="ar-SA"/>
              </w:rPr>
              <w:t>2.2.2监测布点及合理性分析</w:t>
            </w:r>
          </w:p>
          <w:p w14:paraId="7E99CD87">
            <w:pPr>
              <w:pStyle w:val="2"/>
              <w:autoSpaceDN w:val="0"/>
              <w:snapToGrid w:val="0"/>
              <w:spacing w:line="348"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根据现场调查，本项目新建架空线路沿线无居民、学校等声环境保护目标分布。</w:t>
            </w:r>
          </w:p>
          <w:p w14:paraId="6C6D6D3B">
            <w:pPr>
              <w:pStyle w:val="2"/>
              <w:autoSpaceDN w:val="0"/>
              <w:snapToGrid w:val="0"/>
              <w:spacing w:line="348"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为了解原110kV油华线</w:t>
            </w:r>
            <w:r>
              <w:rPr>
                <w:rFonts w:hint="eastAsia" w:ascii="Times New Roman" w:hAnsi="Times New Roman" w:cs="Times New Roman"/>
                <w:color w:val="auto"/>
                <w:sz w:val="24"/>
                <w:szCs w:val="24"/>
              </w:rPr>
              <w:t>3</w:t>
            </w:r>
            <w:r>
              <w:rPr>
                <w:rFonts w:ascii="Times New Roman" w:hAnsi="Times New Roman" w:cs="Times New Roman"/>
                <w:color w:val="auto"/>
                <w:sz w:val="24"/>
                <w:szCs w:val="24"/>
              </w:rPr>
              <w:t>号至1</w:t>
            </w:r>
            <w:r>
              <w:rPr>
                <w:rFonts w:hint="eastAsia" w:ascii="Times New Roman" w:hAnsi="Times New Roman" w:cs="Times New Roman"/>
                <w:color w:val="auto"/>
                <w:sz w:val="24"/>
                <w:szCs w:val="24"/>
              </w:rPr>
              <w:t>2</w:t>
            </w:r>
            <w:r>
              <w:rPr>
                <w:rFonts w:ascii="Times New Roman" w:hAnsi="Times New Roman" w:cs="Times New Roman"/>
                <w:color w:val="auto"/>
                <w:sz w:val="24"/>
                <w:szCs w:val="24"/>
              </w:rPr>
              <w:t>号段沿线声环境质量现状，本次评价在原110kV油华线</w:t>
            </w:r>
            <w:r>
              <w:rPr>
                <w:rFonts w:hint="eastAsia" w:ascii="Times New Roman" w:hAnsi="Times New Roman" w:cs="Times New Roman"/>
                <w:color w:val="auto"/>
                <w:sz w:val="24"/>
                <w:szCs w:val="24"/>
              </w:rPr>
              <w:t>3</w:t>
            </w:r>
            <w:r>
              <w:rPr>
                <w:rFonts w:ascii="Times New Roman" w:hAnsi="Times New Roman" w:cs="Times New Roman"/>
                <w:color w:val="auto"/>
                <w:sz w:val="24"/>
                <w:szCs w:val="24"/>
              </w:rPr>
              <w:t>号至1</w:t>
            </w:r>
            <w:r>
              <w:rPr>
                <w:rFonts w:hint="eastAsia" w:ascii="Times New Roman" w:hAnsi="Times New Roman" w:cs="Times New Roman"/>
                <w:color w:val="auto"/>
                <w:sz w:val="24"/>
                <w:szCs w:val="24"/>
              </w:rPr>
              <w:t>2</w:t>
            </w:r>
            <w:r>
              <w:rPr>
                <w:rFonts w:ascii="Times New Roman" w:hAnsi="Times New Roman" w:cs="Times New Roman"/>
                <w:color w:val="auto"/>
                <w:sz w:val="24"/>
                <w:szCs w:val="24"/>
              </w:rPr>
              <w:t>号段线下布设了1个监测点位，该监测点位布设在原110kV油华线</w:t>
            </w:r>
            <w:r>
              <w:rPr>
                <w:rFonts w:hint="eastAsia" w:ascii="Times New Roman" w:hAnsi="Times New Roman" w:cs="Times New Roman"/>
                <w:color w:val="auto"/>
                <w:sz w:val="24"/>
                <w:szCs w:val="24"/>
              </w:rPr>
              <w:t>3</w:t>
            </w:r>
            <w:r>
              <w:rPr>
                <w:rFonts w:ascii="Times New Roman" w:hAnsi="Times New Roman" w:cs="Times New Roman"/>
                <w:color w:val="auto"/>
                <w:sz w:val="24"/>
                <w:szCs w:val="24"/>
              </w:rPr>
              <w:t>号至1</w:t>
            </w:r>
            <w:r>
              <w:rPr>
                <w:rFonts w:hint="eastAsia" w:ascii="Times New Roman" w:hAnsi="Times New Roman" w:cs="Times New Roman"/>
                <w:color w:val="auto"/>
                <w:sz w:val="24"/>
                <w:szCs w:val="24"/>
              </w:rPr>
              <w:t>2</w:t>
            </w:r>
            <w:r>
              <w:rPr>
                <w:rFonts w:ascii="Times New Roman" w:hAnsi="Times New Roman" w:cs="Times New Roman"/>
                <w:color w:val="auto"/>
                <w:sz w:val="24"/>
                <w:szCs w:val="24"/>
              </w:rPr>
              <w:t>号段</w:t>
            </w:r>
            <w:r>
              <w:rPr>
                <w:rFonts w:hint="eastAsia" w:ascii="Times New Roman" w:hAnsi="Times New Roman" w:cs="Times New Roman"/>
                <w:color w:val="auto"/>
                <w:sz w:val="24"/>
                <w:szCs w:val="24"/>
              </w:rPr>
              <w:t>具备</w:t>
            </w:r>
            <w:r>
              <w:rPr>
                <w:rFonts w:ascii="Times New Roman" w:hAnsi="Times New Roman" w:cs="Times New Roman"/>
                <w:color w:val="auto"/>
                <w:sz w:val="24"/>
                <w:szCs w:val="24"/>
              </w:rPr>
              <w:t>监测条件</w:t>
            </w:r>
            <w:r>
              <w:rPr>
                <w:rFonts w:hint="eastAsia" w:ascii="Times New Roman" w:hAnsi="Times New Roman" w:cs="Times New Roman"/>
                <w:color w:val="auto"/>
                <w:sz w:val="24"/>
                <w:szCs w:val="24"/>
              </w:rPr>
              <w:t>的</w:t>
            </w:r>
            <w:r>
              <w:rPr>
                <w:rFonts w:ascii="Times New Roman" w:hAnsi="Times New Roman" w:cs="Times New Roman"/>
                <w:color w:val="auto"/>
                <w:sz w:val="24"/>
                <w:szCs w:val="24"/>
              </w:rPr>
              <w:t>导线对地</w:t>
            </w:r>
            <w:r>
              <w:rPr>
                <w:rFonts w:hint="eastAsia" w:ascii="Times New Roman" w:hAnsi="Times New Roman" w:cs="Times New Roman"/>
                <w:color w:val="auto"/>
                <w:sz w:val="24"/>
                <w:szCs w:val="24"/>
              </w:rPr>
              <w:t>最</w:t>
            </w:r>
            <w:r>
              <w:rPr>
                <w:rFonts w:ascii="Times New Roman" w:hAnsi="Times New Roman" w:cs="Times New Roman"/>
                <w:color w:val="auto"/>
                <w:sz w:val="24"/>
                <w:szCs w:val="24"/>
              </w:rPr>
              <w:t>低处</w:t>
            </w:r>
            <w:r>
              <w:rPr>
                <w:rFonts w:hint="eastAsia" w:ascii="Times New Roman" w:hAnsi="Times New Roman" w:cs="Times New Roman"/>
                <w:color w:val="auto"/>
                <w:sz w:val="24"/>
                <w:szCs w:val="24"/>
                <w:lang w:eastAsia="zh-CN"/>
              </w:rPr>
              <w:t>，同时该监测点位位于迁改线路调整弧垂段，可代表本项目迁改线路沿线监测点位</w:t>
            </w:r>
            <w:r>
              <w:rPr>
                <w:rFonts w:ascii="Times New Roman" w:hAnsi="Times New Roman" w:cs="Times New Roman"/>
                <w:color w:val="auto"/>
                <w:sz w:val="24"/>
                <w:szCs w:val="24"/>
              </w:rPr>
              <w:t>。</w:t>
            </w:r>
            <w:r>
              <w:rPr>
                <w:rFonts w:hint="eastAsia" w:ascii="Times New Roman" w:hAnsi="Times New Roman" w:cs="Times New Roman"/>
                <w:color w:val="auto"/>
                <w:sz w:val="24"/>
                <w:szCs w:val="24"/>
              </w:rPr>
              <w:t>因本项目拟建</w:t>
            </w:r>
            <w:r>
              <w:rPr>
                <w:rFonts w:ascii="Times New Roman" w:hAnsi="Times New Roman" w:cs="Times New Roman"/>
                <w:color w:val="auto"/>
                <w:sz w:val="24"/>
                <w:szCs w:val="24"/>
              </w:rPr>
              <w:t>110kV单回架空线路</w:t>
            </w:r>
            <w:r>
              <w:rPr>
                <w:rFonts w:hint="eastAsia" w:ascii="Times New Roman" w:hAnsi="Times New Roman" w:cs="Times New Roman"/>
                <w:color w:val="auto"/>
                <w:sz w:val="24"/>
                <w:szCs w:val="24"/>
              </w:rPr>
              <w:t>路径较短，均位于同一行政区内，</w:t>
            </w:r>
            <w:r>
              <w:rPr>
                <w:rFonts w:ascii="Times New Roman" w:hAnsi="Times New Roman" w:cs="Times New Roman"/>
                <w:color w:val="auto"/>
                <w:sz w:val="24"/>
                <w:szCs w:val="24"/>
              </w:rPr>
              <w:t>本次环评在拟建110kV单回架空线路沿线布设了1处背景监测点位。监测点位监测高度均离地1.2m。</w:t>
            </w:r>
          </w:p>
          <w:p w14:paraId="3874E711">
            <w:pPr>
              <w:pStyle w:val="47"/>
              <w:snapToGrid w:val="0"/>
              <w:spacing w:line="348" w:lineRule="auto"/>
              <w:rPr>
                <w:rFonts w:ascii="Times New Roman" w:hAnsi="Times New Roman" w:cs="Times New Roman"/>
                <w:color w:val="auto"/>
              </w:rPr>
            </w:pPr>
            <w:r>
              <w:rPr>
                <w:rFonts w:ascii="Times New Roman" w:hAnsi="Times New Roman" w:cs="Times New Roman"/>
                <w:color w:val="auto"/>
              </w:rPr>
              <w:t>综合以上分析，本次环评监测布点满足《环境影响评价技术导则 输变电》（HJ24-2020）中监测布点相关要求。具体监测点位见表3-3、附图2、3。</w:t>
            </w:r>
          </w:p>
          <w:p w14:paraId="57E9A0D6">
            <w:pPr>
              <w:pStyle w:val="47"/>
              <w:snapToGrid w:val="0"/>
              <w:spacing w:line="348" w:lineRule="auto"/>
              <w:ind w:firstLine="482"/>
              <w:jc w:val="center"/>
              <w:rPr>
                <w:rFonts w:ascii="Times New Roman" w:hAnsi="Times New Roman" w:cs="Times New Roman"/>
                <w:b/>
                <w:bCs/>
                <w:color w:val="auto"/>
              </w:rPr>
            </w:pPr>
            <w:r>
              <w:rPr>
                <w:rFonts w:ascii="Times New Roman" w:hAnsi="Times New Roman" w:cs="Times New Roman"/>
                <w:b/>
                <w:color w:val="auto"/>
              </w:rPr>
              <w:t>表</w:t>
            </w:r>
            <w:r>
              <w:rPr>
                <w:rFonts w:ascii="Times New Roman" w:hAnsi="Times New Roman" w:cs="Times New Roman"/>
                <w:b/>
                <w:bCs/>
                <w:color w:val="auto"/>
              </w:rPr>
              <w:t>3-3 本工程监测点位一览表</w:t>
            </w:r>
          </w:p>
          <w:tbl>
            <w:tblPr>
              <w:tblStyle w:val="2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84"/>
              <w:gridCol w:w="2316"/>
              <w:gridCol w:w="1200"/>
              <w:gridCol w:w="1167"/>
              <w:gridCol w:w="2008"/>
            </w:tblGrid>
            <w:tr w14:paraId="6E33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75B3DD4B">
                  <w:pPr>
                    <w:tabs>
                      <w:tab w:val="left" w:pos="1845"/>
                      <w:tab w:val="left" w:pos="4080"/>
                    </w:tabs>
                    <w:adjustRightInd w:val="0"/>
                    <w:snapToGrid w:val="0"/>
                    <w:jc w:val="center"/>
                    <w:rPr>
                      <w:bCs/>
                      <w:color w:val="auto"/>
                      <w:szCs w:val="21"/>
                    </w:rPr>
                  </w:pPr>
                  <w:r>
                    <w:rPr>
                      <w:bCs/>
                      <w:color w:val="auto"/>
                      <w:szCs w:val="21"/>
                    </w:rPr>
                    <w:t>监测点位编号</w:t>
                  </w:r>
                </w:p>
              </w:tc>
              <w:tc>
                <w:tcPr>
                  <w:tcW w:w="1284" w:type="dxa"/>
                  <w:vAlign w:val="center"/>
                </w:tcPr>
                <w:p w14:paraId="204DEE1A">
                  <w:pPr>
                    <w:adjustRightInd w:val="0"/>
                    <w:snapToGrid w:val="0"/>
                    <w:jc w:val="center"/>
                    <w:rPr>
                      <w:bCs/>
                      <w:color w:val="auto"/>
                      <w:szCs w:val="21"/>
                    </w:rPr>
                  </w:pPr>
                  <w:r>
                    <w:rPr>
                      <w:bCs/>
                      <w:color w:val="auto"/>
                      <w:szCs w:val="21"/>
                    </w:rPr>
                    <w:t>监测点位</w:t>
                  </w:r>
                </w:p>
              </w:tc>
              <w:tc>
                <w:tcPr>
                  <w:tcW w:w="2316" w:type="dxa"/>
                  <w:vAlign w:val="center"/>
                </w:tcPr>
                <w:p w14:paraId="6877442D">
                  <w:pPr>
                    <w:adjustRightInd w:val="0"/>
                    <w:snapToGrid w:val="0"/>
                    <w:jc w:val="center"/>
                    <w:rPr>
                      <w:bCs/>
                      <w:color w:val="auto"/>
                      <w:szCs w:val="21"/>
                    </w:rPr>
                  </w:pPr>
                  <w:r>
                    <w:rPr>
                      <w:bCs/>
                      <w:color w:val="auto"/>
                      <w:szCs w:val="21"/>
                    </w:rPr>
                    <w:t>监测点位描述</w:t>
                  </w:r>
                </w:p>
              </w:tc>
              <w:tc>
                <w:tcPr>
                  <w:tcW w:w="1200" w:type="dxa"/>
                  <w:vAlign w:val="center"/>
                </w:tcPr>
                <w:p w14:paraId="06534F7B">
                  <w:pPr>
                    <w:adjustRightInd w:val="0"/>
                    <w:snapToGrid w:val="0"/>
                    <w:jc w:val="center"/>
                    <w:rPr>
                      <w:bCs/>
                      <w:color w:val="auto"/>
                      <w:szCs w:val="21"/>
                    </w:rPr>
                  </w:pPr>
                  <w:r>
                    <w:rPr>
                      <w:bCs/>
                      <w:color w:val="auto"/>
                      <w:szCs w:val="21"/>
                    </w:rPr>
                    <w:t>东经</w:t>
                  </w:r>
                </w:p>
              </w:tc>
              <w:tc>
                <w:tcPr>
                  <w:tcW w:w="1167" w:type="dxa"/>
                  <w:vAlign w:val="center"/>
                </w:tcPr>
                <w:p w14:paraId="6AE0B178">
                  <w:pPr>
                    <w:adjustRightInd w:val="0"/>
                    <w:snapToGrid w:val="0"/>
                    <w:jc w:val="center"/>
                    <w:rPr>
                      <w:bCs/>
                      <w:color w:val="auto"/>
                      <w:szCs w:val="21"/>
                    </w:rPr>
                  </w:pPr>
                  <w:r>
                    <w:rPr>
                      <w:bCs/>
                      <w:color w:val="auto"/>
                      <w:szCs w:val="21"/>
                    </w:rPr>
                    <w:t>北纬</w:t>
                  </w:r>
                </w:p>
              </w:tc>
              <w:tc>
                <w:tcPr>
                  <w:tcW w:w="2008" w:type="dxa"/>
                  <w:vAlign w:val="center"/>
                </w:tcPr>
                <w:p w14:paraId="2187039C">
                  <w:pPr>
                    <w:adjustRightInd w:val="0"/>
                    <w:snapToGrid w:val="0"/>
                    <w:jc w:val="center"/>
                    <w:rPr>
                      <w:bCs/>
                      <w:color w:val="auto"/>
                      <w:szCs w:val="21"/>
                    </w:rPr>
                  </w:pPr>
                  <w:r>
                    <w:rPr>
                      <w:bCs/>
                      <w:color w:val="auto"/>
                      <w:szCs w:val="21"/>
                    </w:rPr>
                    <w:t>代表性分析</w:t>
                  </w:r>
                </w:p>
              </w:tc>
            </w:tr>
            <w:tr w14:paraId="68B8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1F629C7E">
                  <w:pPr>
                    <w:tabs>
                      <w:tab w:val="left" w:pos="1845"/>
                      <w:tab w:val="left" w:pos="4920"/>
                    </w:tabs>
                    <w:spacing w:line="360" w:lineRule="auto"/>
                    <w:jc w:val="center"/>
                    <w:rPr>
                      <w:bCs/>
                      <w:color w:val="auto"/>
                      <w:szCs w:val="21"/>
                    </w:rPr>
                  </w:pPr>
                  <w:r>
                    <w:rPr>
                      <w:color w:val="auto"/>
                      <w:kern w:val="0"/>
                      <w:szCs w:val="21"/>
                    </w:rPr>
                    <w:t>1</w:t>
                  </w:r>
                </w:p>
              </w:tc>
              <w:tc>
                <w:tcPr>
                  <w:tcW w:w="1284" w:type="dxa"/>
                  <w:vAlign w:val="center"/>
                </w:tcPr>
                <w:p w14:paraId="323E7C42">
                  <w:pPr>
                    <w:tabs>
                      <w:tab w:val="left" w:pos="1845"/>
                      <w:tab w:val="left" w:pos="4920"/>
                    </w:tabs>
                    <w:rPr>
                      <w:bCs/>
                      <w:color w:val="auto"/>
                      <w:szCs w:val="21"/>
                    </w:rPr>
                  </w:pPr>
                  <w:r>
                    <w:rPr>
                      <w:color w:val="auto"/>
                      <w:kern w:val="0"/>
                      <w:szCs w:val="21"/>
                    </w:rPr>
                    <w:t>110kV油华线11#塔附近</w:t>
                  </w:r>
                </w:p>
              </w:tc>
              <w:tc>
                <w:tcPr>
                  <w:tcW w:w="2316" w:type="dxa"/>
                  <w:vAlign w:val="center"/>
                </w:tcPr>
                <w:p w14:paraId="49AAEBD8">
                  <w:pPr>
                    <w:tabs>
                      <w:tab w:val="left" w:pos="1845"/>
                      <w:tab w:val="left" w:pos="4920"/>
                    </w:tabs>
                    <w:rPr>
                      <w:bCs/>
                      <w:color w:val="auto"/>
                      <w:szCs w:val="21"/>
                    </w:rPr>
                  </w:pPr>
                  <w:r>
                    <w:rPr>
                      <w:color w:val="auto"/>
                      <w:kern w:val="0"/>
                      <w:szCs w:val="21"/>
                    </w:rPr>
                    <w:t>监测点位于110kV油华线正下方，距离最低导线垂直距离约18m</w:t>
                  </w:r>
                </w:p>
              </w:tc>
              <w:tc>
                <w:tcPr>
                  <w:tcW w:w="1200" w:type="dxa"/>
                  <w:vAlign w:val="center"/>
                </w:tcPr>
                <w:p w14:paraId="79BBD632">
                  <w:pPr>
                    <w:adjustRightInd w:val="0"/>
                    <w:snapToGrid w:val="0"/>
                    <w:jc w:val="center"/>
                    <w:outlineLvl w:val="0"/>
                    <w:rPr>
                      <w:bCs/>
                      <w:color w:val="auto"/>
                      <w:szCs w:val="21"/>
                    </w:rPr>
                  </w:pPr>
                  <w:r>
                    <w:rPr>
                      <w:rFonts w:hint="eastAsia"/>
                      <w:color w:val="auto"/>
                      <w:sz w:val="24"/>
                      <w:lang w:val="en-US" w:eastAsia="zh-CN"/>
                    </w:rPr>
                    <w:t>****</w:t>
                  </w:r>
                </w:p>
              </w:tc>
              <w:tc>
                <w:tcPr>
                  <w:tcW w:w="1167" w:type="dxa"/>
                  <w:vAlign w:val="center"/>
                </w:tcPr>
                <w:p w14:paraId="4BB3CF2A">
                  <w:pPr>
                    <w:adjustRightInd w:val="0"/>
                    <w:snapToGrid w:val="0"/>
                    <w:jc w:val="center"/>
                    <w:outlineLvl w:val="0"/>
                    <w:rPr>
                      <w:bCs/>
                      <w:color w:val="auto"/>
                      <w:szCs w:val="21"/>
                    </w:rPr>
                  </w:pPr>
                  <w:r>
                    <w:rPr>
                      <w:rFonts w:hint="eastAsia"/>
                      <w:color w:val="auto"/>
                      <w:sz w:val="24"/>
                      <w:lang w:val="en-US" w:eastAsia="zh-CN"/>
                    </w:rPr>
                    <w:t>****</w:t>
                  </w:r>
                </w:p>
              </w:tc>
              <w:tc>
                <w:tcPr>
                  <w:tcW w:w="2008" w:type="dxa"/>
                  <w:vAlign w:val="center"/>
                </w:tcPr>
                <w:p w14:paraId="0FA242FC">
                  <w:pPr>
                    <w:adjustRightInd w:val="0"/>
                    <w:snapToGrid w:val="0"/>
                    <w:jc w:val="center"/>
                    <w:rPr>
                      <w:bCs/>
                      <w:color w:val="auto"/>
                      <w:szCs w:val="21"/>
                    </w:rPr>
                  </w:pPr>
                  <w:r>
                    <w:rPr>
                      <w:rFonts w:hint="eastAsia"/>
                      <w:bCs/>
                      <w:color w:val="auto"/>
                      <w:szCs w:val="21"/>
                    </w:rPr>
                    <w:t>代表</w:t>
                  </w:r>
                  <w:r>
                    <w:rPr>
                      <w:bCs/>
                      <w:color w:val="auto"/>
                      <w:szCs w:val="21"/>
                    </w:rPr>
                    <w:t>原110kV油华线</w:t>
                  </w:r>
                  <w:r>
                    <w:rPr>
                      <w:rFonts w:hint="eastAsia"/>
                      <w:bCs/>
                      <w:color w:val="auto"/>
                      <w:szCs w:val="21"/>
                    </w:rPr>
                    <w:t>3</w:t>
                  </w:r>
                  <w:r>
                    <w:rPr>
                      <w:bCs/>
                      <w:color w:val="auto"/>
                      <w:szCs w:val="21"/>
                    </w:rPr>
                    <w:t>号至1</w:t>
                  </w:r>
                  <w:r>
                    <w:rPr>
                      <w:rFonts w:hint="eastAsia"/>
                      <w:bCs/>
                      <w:color w:val="auto"/>
                      <w:szCs w:val="21"/>
                    </w:rPr>
                    <w:t>2</w:t>
                  </w:r>
                  <w:r>
                    <w:rPr>
                      <w:bCs/>
                      <w:color w:val="auto"/>
                      <w:szCs w:val="21"/>
                    </w:rPr>
                    <w:t>号段</w:t>
                  </w:r>
                  <w:r>
                    <w:rPr>
                      <w:rFonts w:hint="eastAsia"/>
                      <w:bCs/>
                      <w:color w:val="auto"/>
                      <w:szCs w:val="21"/>
                    </w:rPr>
                    <w:t>声环境质量</w:t>
                  </w:r>
                  <w:r>
                    <w:rPr>
                      <w:bCs/>
                      <w:color w:val="auto"/>
                      <w:szCs w:val="21"/>
                    </w:rPr>
                    <w:t>现状</w:t>
                  </w:r>
                  <w:r>
                    <w:rPr>
                      <w:rFonts w:hint="eastAsia"/>
                      <w:bCs/>
                      <w:color w:val="auto"/>
                      <w:szCs w:val="21"/>
                      <w:lang w:eastAsia="zh-CN"/>
                    </w:rPr>
                    <w:t>以及</w:t>
                  </w:r>
                  <w:r>
                    <w:rPr>
                      <w:rFonts w:hint="eastAsia"/>
                      <w:bCs/>
                      <w:color w:val="auto"/>
                      <w:szCs w:val="21"/>
                    </w:rPr>
                    <w:t>新建线路</w:t>
                  </w:r>
                  <w:r>
                    <w:rPr>
                      <w:rFonts w:hint="eastAsia"/>
                      <w:bCs/>
                      <w:color w:val="auto"/>
                      <w:szCs w:val="21"/>
                      <w:lang w:eastAsia="zh-CN"/>
                    </w:rPr>
                    <w:t>调整弧垂段</w:t>
                  </w:r>
                  <w:r>
                    <w:rPr>
                      <w:rFonts w:hint="eastAsia"/>
                      <w:bCs/>
                      <w:color w:val="auto"/>
                      <w:szCs w:val="21"/>
                    </w:rPr>
                    <w:t>声环境质量</w:t>
                  </w:r>
                </w:p>
              </w:tc>
            </w:tr>
            <w:tr w14:paraId="71EC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54AF05BC">
                  <w:pPr>
                    <w:tabs>
                      <w:tab w:val="left" w:pos="1845"/>
                      <w:tab w:val="left" w:pos="4920"/>
                    </w:tabs>
                    <w:spacing w:line="360" w:lineRule="auto"/>
                    <w:jc w:val="center"/>
                    <w:rPr>
                      <w:bCs/>
                      <w:color w:val="auto"/>
                      <w:kern w:val="0"/>
                      <w:szCs w:val="21"/>
                    </w:rPr>
                  </w:pPr>
                  <w:r>
                    <w:rPr>
                      <w:color w:val="auto"/>
                      <w:kern w:val="0"/>
                      <w:szCs w:val="21"/>
                    </w:rPr>
                    <w:t>2</w:t>
                  </w:r>
                </w:p>
              </w:tc>
              <w:tc>
                <w:tcPr>
                  <w:tcW w:w="1284" w:type="dxa"/>
                  <w:vAlign w:val="center"/>
                </w:tcPr>
                <w:p w14:paraId="0250EE12">
                  <w:pPr>
                    <w:tabs>
                      <w:tab w:val="left" w:pos="1845"/>
                      <w:tab w:val="left" w:pos="4920"/>
                    </w:tabs>
                    <w:rPr>
                      <w:color w:val="auto"/>
                      <w:kern w:val="0"/>
                      <w:szCs w:val="21"/>
                    </w:rPr>
                  </w:pPr>
                  <w:r>
                    <w:rPr>
                      <w:color w:val="auto"/>
                      <w:kern w:val="0"/>
                      <w:szCs w:val="21"/>
                    </w:rPr>
                    <w:t>拟建线路正下方</w:t>
                  </w:r>
                </w:p>
              </w:tc>
              <w:tc>
                <w:tcPr>
                  <w:tcW w:w="2316" w:type="dxa"/>
                  <w:vAlign w:val="center"/>
                </w:tcPr>
                <w:p w14:paraId="4BFA977C">
                  <w:pPr>
                    <w:tabs>
                      <w:tab w:val="left" w:pos="1845"/>
                      <w:tab w:val="left" w:pos="4920"/>
                    </w:tabs>
                    <w:rPr>
                      <w:color w:val="auto"/>
                      <w:kern w:val="0"/>
                      <w:szCs w:val="21"/>
                    </w:rPr>
                  </w:pPr>
                  <w:r>
                    <w:rPr>
                      <w:color w:val="auto"/>
                      <w:kern w:val="0"/>
                      <w:szCs w:val="21"/>
                    </w:rPr>
                    <w:t>监测点位于拟建线路正下方</w:t>
                  </w:r>
                </w:p>
              </w:tc>
              <w:tc>
                <w:tcPr>
                  <w:tcW w:w="1200" w:type="dxa"/>
                  <w:vAlign w:val="center"/>
                </w:tcPr>
                <w:p w14:paraId="72C68B18">
                  <w:pPr>
                    <w:adjustRightInd w:val="0"/>
                    <w:snapToGrid w:val="0"/>
                    <w:jc w:val="center"/>
                    <w:outlineLvl w:val="0"/>
                    <w:rPr>
                      <w:bCs/>
                      <w:color w:val="auto"/>
                      <w:szCs w:val="21"/>
                    </w:rPr>
                  </w:pPr>
                  <w:r>
                    <w:rPr>
                      <w:rFonts w:hint="eastAsia"/>
                      <w:color w:val="auto"/>
                      <w:sz w:val="24"/>
                      <w:lang w:val="en-US" w:eastAsia="zh-CN"/>
                    </w:rPr>
                    <w:t>****</w:t>
                  </w:r>
                </w:p>
              </w:tc>
              <w:tc>
                <w:tcPr>
                  <w:tcW w:w="1167" w:type="dxa"/>
                  <w:vAlign w:val="center"/>
                </w:tcPr>
                <w:p w14:paraId="30F8181D">
                  <w:pPr>
                    <w:adjustRightInd w:val="0"/>
                    <w:snapToGrid w:val="0"/>
                    <w:jc w:val="center"/>
                    <w:outlineLvl w:val="0"/>
                    <w:rPr>
                      <w:bCs/>
                      <w:color w:val="auto"/>
                      <w:szCs w:val="21"/>
                    </w:rPr>
                  </w:pPr>
                  <w:r>
                    <w:rPr>
                      <w:rFonts w:hint="eastAsia"/>
                      <w:color w:val="auto"/>
                      <w:sz w:val="24"/>
                      <w:lang w:val="en-US" w:eastAsia="zh-CN"/>
                    </w:rPr>
                    <w:t>****</w:t>
                  </w:r>
                </w:p>
              </w:tc>
              <w:tc>
                <w:tcPr>
                  <w:tcW w:w="2008" w:type="dxa"/>
                  <w:vAlign w:val="center"/>
                </w:tcPr>
                <w:p w14:paraId="61422D91">
                  <w:pPr>
                    <w:adjustRightInd w:val="0"/>
                    <w:snapToGrid w:val="0"/>
                    <w:jc w:val="center"/>
                    <w:rPr>
                      <w:color w:val="auto"/>
                      <w:szCs w:val="21"/>
                    </w:rPr>
                  </w:pPr>
                  <w:r>
                    <w:rPr>
                      <w:rFonts w:hint="eastAsia"/>
                      <w:bCs/>
                      <w:color w:val="auto"/>
                      <w:szCs w:val="21"/>
                    </w:rPr>
                    <w:t>代表新建线路沿线声环境质量背景</w:t>
                  </w:r>
                </w:p>
              </w:tc>
            </w:tr>
            <w:bookmarkEnd w:id="9"/>
          </w:tbl>
          <w:p w14:paraId="654024E9">
            <w:pPr>
              <w:keepNext/>
              <w:keepLines/>
              <w:tabs>
                <w:tab w:val="left" w:pos="420"/>
                <w:tab w:val="left" w:pos="567"/>
              </w:tabs>
              <w:spacing w:before="20" w:after="20" w:line="360" w:lineRule="auto"/>
              <w:jc w:val="left"/>
              <w:outlineLvl w:val="1"/>
              <w:rPr>
                <w:b/>
                <w:bCs/>
                <w:color w:val="auto"/>
                <w:sz w:val="24"/>
              </w:rPr>
            </w:pPr>
            <w:r>
              <w:rPr>
                <w:b/>
                <w:bCs/>
                <w:color w:val="auto"/>
                <w:sz w:val="24"/>
              </w:rPr>
              <w:t>2.2.3监测频次</w:t>
            </w:r>
          </w:p>
          <w:p w14:paraId="4B8D4993">
            <w:pPr>
              <w:adjustRightInd w:val="0"/>
              <w:spacing w:line="360" w:lineRule="auto"/>
              <w:ind w:firstLine="480" w:firstLineChars="200"/>
              <w:jc w:val="left"/>
              <w:textAlignment w:val="baseline"/>
              <w:rPr>
                <w:color w:val="auto"/>
                <w:kern w:val="0"/>
                <w:sz w:val="24"/>
              </w:rPr>
            </w:pPr>
            <w:r>
              <w:rPr>
                <w:color w:val="auto"/>
                <w:kern w:val="0"/>
                <w:sz w:val="24"/>
              </w:rPr>
              <w:t>各监测点位昼、夜间各监测一次。</w:t>
            </w:r>
          </w:p>
          <w:p w14:paraId="3277188E">
            <w:pPr>
              <w:keepNext/>
              <w:keepLines/>
              <w:tabs>
                <w:tab w:val="left" w:pos="420"/>
                <w:tab w:val="left" w:pos="567"/>
              </w:tabs>
              <w:spacing w:before="20" w:after="20" w:line="360" w:lineRule="auto"/>
              <w:jc w:val="left"/>
              <w:outlineLvl w:val="1"/>
              <w:rPr>
                <w:b/>
                <w:bCs/>
                <w:color w:val="auto"/>
                <w:sz w:val="24"/>
              </w:rPr>
            </w:pPr>
            <w:r>
              <w:rPr>
                <w:b/>
                <w:bCs/>
                <w:color w:val="auto"/>
                <w:sz w:val="24"/>
              </w:rPr>
              <w:t>2.2.4监测时间及监测条件</w:t>
            </w:r>
          </w:p>
          <w:p w14:paraId="6650E6B8">
            <w:pPr>
              <w:adjustRightInd w:val="0"/>
              <w:spacing w:line="360" w:lineRule="auto"/>
              <w:ind w:firstLine="480" w:firstLineChars="200"/>
              <w:jc w:val="left"/>
              <w:textAlignment w:val="baseline"/>
              <w:rPr>
                <w:color w:val="auto"/>
                <w:kern w:val="0"/>
                <w:sz w:val="24"/>
              </w:rPr>
            </w:pPr>
            <w:r>
              <w:rPr>
                <w:color w:val="auto"/>
                <w:kern w:val="0"/>
                <w:sz w:val="24"/>
              </w:rPr>
              <w:t>监测时间及监测环境条件见表3-4，监测期间运行工况见表3-5。</w:t>
            </w:r>
          </w:p>
          <w:p w14:paraId="3C726779">
            <w:pPr>
              <w:adjustRightInd w:val="0"/>
              <w:spacing w:line="360" w:lineRule="auto"/>
              <w:jc w:val="center"/>
              <w:textAlignment w:val="baseline"/>
              <w:rPr>
                <w:b/>
                <w:color w:val="auto"/>
                <w:kern w:val="0"/>
                <w:sz w:val="24"/>
              </w:rPr>
            </w:pPr>
            <w:r>
              <w:rPr>
                <w:b/>
                <w:color w:val="auto"/>
                <w:kern w:val="0"/>
                <w:sz w:val="24"/>
              </w:rPr>
              <w:t>表3-4  监测时间及监测环境条件</w:t>
            </w:r>
          </w:p>
          <w:tbl>
            <w:tblPr>
              <w:tblStyle w:val="2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2030"/>
              <w:gridCol w:w="2941"/>
            </w:tblGrid>
            <w:tr w14:paraId="1A86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969" w:type="dxa"/>
                  <w:vAlign w:val="bottom"/>
                </w:tcPr>
                <w:p w14:paraId="4B7CF031">
                  <w:pPr>
                    <w:adjustRightInd w:val="0"/>
                    <w:snapToGrid w:val="0"/>
                    <w:jc w:val="center"/>
                    <w:textAlignment w:val="baseline"/>
                    <w:rPr>
                      <w:color w:val="auto"/>
                      <w:kern w:val="0"/>
                      <w:szCs w:val="21"/>
                    </w:rPr>
                  </w:pPr>
                  <w:r>
                    <w:rPr>
                      <w:color w:val="auto"/>
                      <w:kern w:val="0"/>
                      <w:szCs w:val="21"/>
                    </w:rPr>
                    <w:t>检测日期</w:t>
                  </w:r>
                </w:p>
              </w:tc>
              <w:tc>
                <w:tcPr>
                  <w:tcW w:w="2030" w:type="dxa"/>
                  <w:vAlign w:val="bottom"/>
                </w:tcPr>
                <w:p w14:paraId="0DA28E2B">
                  <w:pPr>
                    <w:adjustRightInd w:val="0"/>
                    <w:snapToGrid w:val="0"/>
                    <w:jc w:val="center"/>
                    <w:textAlignment w:val="baseline"/>
                    <w:rPr>
                      <w:color w:val="auto"/>
                      <w:kern w:val="0"/>
                      <w:szCs w:val="21"/>
                    </w:rPr>
                  </w:pPr>
                  <w:r>
                    <w:rPr>
                      <w:color w:val="auto"/>
                      <w:kern w:val="0"/>
                      <w:szCs w:val="21"/>
                    </w:rPr>
                    <w:t>天气</w:t>
                  </w:r>
                </w:p>
              </w:tc>
              <w:tc>
                <w:tcPr>
                  <w:tcW w:w="2941" w:type="dxa"/>
                  <w:vAlign w:val="bottom"/>
                </w:tcPr>
                <w:p w14:paraId="38FC8018">
                  <w:pPr>
                    <w:adjustRightInd w:val="0"/>
                    <w:snapToGrid w:val="0"/>
                    <w:jc w:val="center"/>
                    <w:textAlignment w:val="baseline"/>
                    <w:rPr>
                      <w:color w:val="auto"/>
                      <w:kern w:val="0"/>
                      <w:szCs w:val="21"/>
                    </w:rPr>
                  </w:pPr>
                  <w:r>
                    <w:rPr>
                      <w:color w:val="auto"/>
                      <w:kern w:val="0"/>
                      <w:szCs w:val="21"/>
                    </w:rPr>
                    <w:t>风速（m/s）</w:t>
                  </w:r>
                </w:p>
              </w:tc>
            </w:tr>
            <w:tr w14:paraId="48B8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969" w:type="dxa"/>
                  <w:vAlign w:val="bottom"/>
                </w:tcPr>
                <w:p w14:paraId="23ECEB0A">
                  <w:pPr>
                    <w:adjustRightInd w:val="0"/>
                    <w:snapToGrid w:val="0"/>
                    <w:jc w:val="center"/>
                    <w:textAlignment w:val="baseline"/>
                    <w:rPr>
                      <w:color w:val="auto"/>
                      <w:kern w:val="0"/>
                      <w:szCs w:val="21"/>
                    </w:rPr>
                  </w:pPr>
                  <w:r>
                    <w:rPr>
                      <w:color w:val="auto"/>
                      <w:szCs w:val="21"/>
                    </w:rPr>
                    <w:t>2021年12月29日</w:t>
                  </w:r>
                </w:p>
              </w:tc>
              <w:tc>
                <w:tcPr>
                  <w:tcW w:w="2030" w:type="dxa"/>
                  <w:vAlign w:val="bottom"/>
                </w:tcPr>
                <w:p w14:paraId="0A8D3110">
                  <w:pPr>
                    <w:adjustRightInd w:val="0"/>
                    <w:snapToGrid w:val="0"/>
                    <w:jc w:val="center"/>
                    <w:textAlignment w:val="baseline"/>
                    <w:rPr>
                      <w:color w:val="auto"/>
                      <w:kern w:val="0"/>
                      <w:szCs w:val="21"/>
                    </w:rPr>
                  </w:pPr>
                  <w:r>
                    <w:rPr>
                      <w:color w:val="auto"/>
                      <w:kern w:val="0"/>
                      <w:szCs w:val="21"/>
                    </w:rPr>
                    <w:t>阴</w:t>
                  </w:r>
                </w:p>
              </w:tc>
              <w:tc>
                <w:tcPr>
                  <w:tcW w:w="2941" w:type="dxa"/>
                  <w:vAlign w:val="bottom"/>
                </w:tcPr>
                <w:p w14:paraId="6CBF1D09">
                  <w:pPr>
                    <w:adjustRightInd w:val="0"/>
                    <w:snapToGrid w:val="0"/>
                    <w:jc w:val="center"/>
                    <w:textAlignment w:val="baseline"/>
                    <w:rPr>
                      <w:color w:val="auto"/>
                      <w:kern w:val="0"/>
                      <w:szCs w:val="21"/>
                    </w:rPr>
                  </w:pPr>
                  <w:r>
                    <w:rPr>
                      <w:color w:val="auto"/>
                      <w:kern w:val="0"/>
                      <w:szCs w:val="21"/>
                    </w:rPr>
                    <w:t>0～1.9m/s</w:t>
                  </w:r>
                </w:p>
              </w:tc>
            </w:tr>
          </w:tbl>
          <w:p w14:paraId="4E69E62F">
            <w:pPr>
              <w:adjustRightInd w:val="0"/>
              <w:snapToGrid w:val="0"/>
              <w:spacing w:line="360" w:lineRule="auto"/>
              <w:jc w:val="center"/>
              <w:textAlignment w:val="baseline"/>
              <w:rPr>
                <w:b/>
                <w:color w:val="auto"/>
                <w:kern w:val="0"/>
                <w:sz w:val="24"/>
              </w:rPr>
            </w:pPr>
            <w:r>
              <w:rPr>
                <w:b/>
                <w:color w:val="auto"/>
                <w:kern w:val="0"/>
                <w:sz w:val="24"/>
              </w:rPr>
              <w:t>表3-5  110kV油华线监测期间运行工况</w:t>
            </w:r>
          </w:p>
          <w:p w14:paraId="26E21DEE">
            <w:pPr>
              <w:adjustRightInd w:val="0"/>
              <w:snapToGrid w:val="0"/>
              <w:spacing w:line="360" w:lineRule="auto"/>
              <w:jc w:val="center"/>
              <w:rPr>
                <w:color w:val="auto"/>
              </w:rPr>
            </w:pPr>
            <w:r>
              <w:rPr>
                <w:color w:val="auto"/>
              </w:rPr>
              <w:t>(</w:t>
            </w:r>
            <w:r>
              <w:rPr>
                <w:color w:val="auto"/>
                <w:sz w:val="24"/>
                <w:u w:val="single"/>
              </w:rPr>
              <w:t xml:space="preserve"> </w:t>
            </w:r>
            <w:r>
              <w:rPr>
                <w:color w:val="auto"/>
                <w:sz w:val="24"/>
              </w:rPr>
              <w:t>2021年12月29日8时 00分～2021年12月30日8时00分</w:t>
            </w:r>
            <w:r>
              <w:rPr>
                <w:color w:val="auto"/>
              </w:rPr>
              <w:t>)</w:t>
            </w:r>
          </w:p>
          <w:tbl>
            <w:tblPr>
              <w:tblStyle w:val="27"/>
              <w:tblW w:w="871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048"/>
              <w:gridCol w:w="1136"/>
              <w:gridCol w:w="1053"/>
              <w:gridCol w:w="1002"/>
              <w:gridCol w:w="877"/>
              <w:gridCol w:w="878"/>
              <w:gridCol w:w="845"/>
              <w:gridCol w:w="878"/>
            </w:tblGrid>
            <w:tr w14:paraId="5F8DE6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993" w:type="dxa"/>
                  <w:vMerge w:val="restart"/>
                  <w:vAlign w:val="center"/>
                </w:tcPr>
                <w:p w14:paraId="55389316">
                  <w:pPr>
                    <w:adjustRightInd w:val="0"/>
                    <w:snapToGrid w:val="0"/>
                    <w:jc w:val="center"/>
                    <w:rPr>
                      <w:bCs/>
                      <w:color w:val="auto"/>
                      <w:szCs w:val="21"/>
                    </w:rPr>
                  </w:pPr>
                  <w:r>
                    <w:rPr>
                      <w:bCs/>
                      <w:color w:val="auto"/>
                      <w:szCs w:val="21"/>
                    </w:rPr>
                    <w:t>名称</w:t>
                  </w:r>
                </w:p>
              </w:tc>
              <w:tc>
                <w:tcPr>
                  <w:tcW w:w="7717" w:type="dxa"/>
                  <w:gridSpan w:val="8"/>
                  <w:vAlign w:val="center"/>
                </w:tcPr>
                <w:p w14:paraId="62E370A7">
                  <w:pPr>
                    <w:tabs>
                      <w:tab w:val="left" w:pos="1845"/>
                      <w:tab w:val="left" w:pos="4080"/>
                    </w:tabs>
                    <w:adjustRightInd w:val="0"/>
                    <w:snapToGrid w:val="0"/>
                    <w:jc w:val="center"/>
                    <w:rPr>
                      <w:bCs/>
                      <w:color w:val="auto"/>
                      <w:spacing w:val="-20"/>
                      <w:szCs w:val="21"/>
                    </w:rPr>
                  </w:pPr>
                  <w:r>
                    <w:rPr>
                      <w:bCs/>
                      <w:color w:val="auto"/>
                      <w:szCs w:val="21"/>
                    </w:rPr>
                    <w:t>运行工况</w:t>
                  </w:r>
                </w:p>
              </w:tc>
            </w:tr>
            <w:tr w14:paraId="273187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993" w:type="dxa"/>
                  <w:vMerge w:val="continue"/>
                  <w:vAlign w:val="center"/>
                </w:tcPr>
                <w:p w14:paraId="7F9E1F13">
                  <w:pPr>
                    <w:adjustRightInd w:val="0"/>
                    <w:snapToGrid w:val="0"/>
                    <w:jc w:val="center"/>
                    <w:rPr>
                      <w:bCs/>
                      <w:color w:val="auto"/>
                      <w:szCs w:val="21"/>
                    </w:rPr>
                  </w:pPr>
                </w:p>
              </w:tc>
              <w:tc>
                <w:tcPr>
                  <w:tcW w:w="1048" w:type="dxa"/>
                  <w:vAlign w:val="center"/>
                </w:tcPr>
                <w:p w14:paraId="5CD1DE24">
                  <w:pPr>
                    <w:tabs>
                      <w:tab w:val="left" w:pos="1845"/>
                      <w:tab w:val="left" w:pos="4080"/>
                    </w:tabs>
                    <w:adjustRightInd w:val="0"/>
                    <w:snapToGrid w:val="0"/>
                    <w:jc w:val="center"/>
                    <w:rPr>
                      <w:bCs/>
                      <w:color w:val="auto"/>
                      <w:spacing w:val="-20"/>
                      <w:szCs w:val="21"/>
                    </w:rPr>
                  </w:pPr>
                  <w:r>
                    <w:rPr>
                      <w:bCs/>
                      <w:color w:val="auto"/>
                      <w:spacing w:val="-20"/>
                      <w:szCs w:val="21"/>
                    </w:rPr>
                    <w:t>最低</w:t>
                  </w:r>
                </w:p>
                <w:p w14:paraId="2A9E0479">
                  <w:pPr>
                    <w:tabs>
                      <w:tab w:val="left" w:pos="1845"/>
                      <w:tab w:val="left" w:pos="4080"/>
                    </w:tabs>
                    <w:adjustRightInd w:val="0"/>
                    <w:snapToGrid w:val="0"/>
                    <w:jc w:val="center"/>
                    <w:rPr>
                      <w:bCs/>
                      <w:color w:val="auto"/>
                      <w:szCs w:val="21"/>
                    </w:rPr>
                  </w:pPr>
                  <w:r>
                    <w:rPr>
                      <w:bCs/>
                      <w:color w:val="auto"/>
                      <w:szCs w:val="21"/>
                    </w:rPr>
                    <w:t>有功</w:t>
                  </w:r>
                </w:p>
                <w:p w14:paraId="5613AC26">
                  <w:pPr>
                    <w:tabs>
                      <w:tab w:val="left" w:pos="1845"/>
                      <w:tab w:val="left" w:pos="4080"/>
                    </w:tabs>
                    <w:adjustRightInd w:val="0"/>
                    <w:snapToGrid w:val="0"/>
                    <w:jc w:val="center"/>
                    <w:rPr>
                      <w:bCs/>
                      <w:color w:val="auto"/>
                      <w:szCs w:val="21"/>
                    </w:rPr>
                  </w:pPr>
                  <w:r>
                    <w:rPr>
                      <w:bCs/>
                      <w:color w:val="auto"/>
                      <w:szCs w:val="21"/>
                    </w:rPr>
                    <w:t>（MW）</w:t>
                  </w:r>
                </w:p>
              </w:tc>
              <w:tc>
                <w:tcPr>
                  <w:tcW w:w="1136" w:type="dxa"/>
                  <w:tcBorders>
                    <w:right w:val="single" w:color="auto" w:sz="4" w:space="0"/>
                  </w:tcBorders>
                  <w:vAlign w:val="center"/>
                </w:tcPr>
                <w:p w14:paraId="53EB7E8F">
                  <w:pPr>
                    <w:tabs>
                      <w:tab w:val="left" w:pos="1845"/>
                      <w:tab w:val="left" w:pos="4080"/>
                    </w:tabs>
                    <w:adjustRightInd w:val="0"/>
                    <w:snapToGrid w:val="0"/>
                    <w:jc w:val="center"/>
                    <w:rPr>
                      <w:bCs/>
                      <w:color w:val="auto"/>
                      <w:spacing w:val="-20"/>
                      <w:szCs w:val="21"/>
                    </w:rPr>
                  </w:pPr>
                  <w:r>
                    <w:rPr>
                      <w:bCs/>
                      <w:color w:val="auto"/>
                      <w:spacing w:val="-20"/>
                      <w:szCs w:val="21"/>
                    </w:rPr>
                    <w:t>最高</w:t>
                  </w:r>
                </w:p>
                <w:p w14:paraId="0AF5F688">
                  <w:pPr>
                    <w:tabs>
                      <w:tab w:val="left" w:pos="1845"/>
                      <w:tab w:val="left" w:pos="4080"/>
                    </w:tabs>
                    <w:adjustRightInd w:val="0"/>
                    <w:snapToGrid w:val="0"/>
                    <w:jc w:val="center"/>
                    <w:rPr>
                      <w:bCs/>
                      <w:color w:val="auto"/>
                      <w:szCs w:val="21"/>
                    </w:rPr>
                  </w:pPr>
                  <w:r>
                    <w:rPr>
                      <w:bCs/>
                      <w:color w:val="auto"/>
                      <w:szCs w:val="21"/>
                    </w:rPr>
                    <w:t>有功</w:t>
                  </w:r>
                </w:p>
                <w:p w14:paraId="06BEE95A">
                  <w:pPr>
                    <w:tabs>
                      <w:tab w:val="left" w:pos="1845"/>
                      <w:tab w:val="left" w:pos="4080"/>
                    </w:tabs>
                    <w:adjustRightInd w:val="0"/>
                    <w:snapToGrid w:val="0"/>
                    <w:jc w:val="center"/>
                    <w:rPr>
                      <w:bCs/>
                      <w:color w:val="auto"/>
                      <w:szCs w:val="21"/>
                    </w:rPr>
                  </w:pPr>
                  <w:r>
                    <w:rPr>
                      <w:bCs/>
                      <w:color w:val="auto"/>
                      <w:szCs w:val="21"/>
                    </w:rPr>
                    <w:t>（MW）</w:t>
                  </w:r>
                </w:p>
              </w:tc>
              <w:tc>
                <w:tcPr>
                  <w:tcW w:w="1053" w:type="dxa"/>
                  <w:tcBorders>
                    <w:left w:val="single" w:color="auto" w:sz="4" w:space="0"/>
                    <w:right w:val="single" w:color="auto" w:sz="4" w:space="0"/>
                  </w:tcBorders>
                  <w:vAlign w:val="center"/>
                </w:tcPr>
                <w:p w14:paraId="7AEA5048">
                  <w:pPr>
                    <w:tabs>
                      <w:tab w:val="left" w:pos="1845"/>
                      <w:tab w:val="left" w:pos="4080"/>
                    </w:tabs>
                    <w:adjustRightInd w:val="0"/>
                    <w:snapToGrid w:val="0"/>
                    <w:jc w:val="center"/>
                    <w:rPr>
                      <w:bCs/>
                      <w:color w:val="auto"/>
                      <w:spacing w:val="-20"/>
                      <w:szCs w:val="21"/>
                    </w:rPr>
                  </w:pPr>
                  <w:r>
                    <w:rPr>
                      <w:bCs/>
                      <w:color w:val="auto"/>
                      <w:spacing w:val="-20"/>
                      <w:szCs w:val="21"/>
                    </w:rPr>
                    <w:t>最低</w:t>
                  </w:r>
                </w:p>
                <w:p w14:paraId="6A9EBDA9">
                  <w:pPr>
                    <w:tabs>
                      <w:tab w:val="left" w:pos="1845"/>
                      <w:tab w:val="left" w:pos="4080"/>
                    </w:tabs>
                    <w:adjustRightInd w:val="0"/>
                    <w:snapToGrid w:val="0"/>
                    <w:jc w:val="center"/>
                    <w:rPr>
                      <w:bCs/>
                      <w:color w:val="auto"/>
                      <w:szCs w:val="21"/>
                    </w:rPr>
                  </w:pPr>
                  <w:r>
                    <w:rPr>
                      <w:bCs/>
                      <w:color w:val="auto"/>
                      <w:szCs w:val="21"/>
                    </w:rPr>
                    <w:t>无功</w:t>
                  </w:r>
                  <w:r>
                    <w:rPr>
                      <w:bCs/>
                      <w:color w:val="auto"/>
                      <w:spacing w:val="-20"/>
                      <w:szCs w:val="21"/>
                    </w:rPr>
                    <w:t>（MVar）</w:t>
                  </w:r>
                </w:p>
              </w:tc>
              <w:tc>
                <w:tcPr>
                  <w:tcW w:w="1002" w:type="dxa"/>
                  <w:tcBorders>
                    <w:left w:val="single" w:color="auto" w:sz="4" w:space="0"/>
                  </w:tcBorders>
                  <w:vAlign w:val="center"/>
                </w:tcPr>
                <w:p w14:paraId="2D739105">
                  <w:pPr>
                    <w:tabs>
                      <w:tab w:val="left" w:pos="1845"/>
                      <w:tab w:val="left" w:pos="4080"/>
                    </w:tabs>
                    <w:adjustRightInd w:val="0"/>
                    <w:snapToGrid w:val="0"/>
                    <w:jc w:val="center"/>
                    <w:rPr>
                      <w:bCs/>
                      <w:color w:val="auto"/>
                      <w:spacing w:val="-20"/>
                      <w:szCs w:val="21"/>
                    </w:rPr>
                  </w:pPr>
                  <w:r>
                    <w:rPr>
                      <w:bCs/>
                      <w:color w:val="auto"/>
                      <w:spacing w:val="-20"/>
                      <w:szCs w:val="21"/>
                    </w:rPr>
                    <w:t>最高</w:t>
                  </w:r>
                </w:p>
                <w:p w14:paraId="1023BE90">
                  <w:pPr>
                    <w:tabs>
                      <w:tab w:val="left" w:pos="1845"/>
                      <w:tab w:val="left" w:pos="4080"/>
                    </w:tabs>
                    <w:adjustRightInd w:val="0"/>
                    <w:snapToGrid w:val="0"/>
                    <w:jc w:val="center"/>
                    <w:rPr>
                      <w:bCs/>
                      <w:color w:val="auto"/>
                      <w:szCs w:val="21"/>
                    </w:rPr>
                  </w:pPr>
                  <w:r>
                    <w:rPr>
                      <w:bCs/>
                      <w:color w:val="auto"/>
                      <w:szCs w:val="21"/>
                    </w:rPr>
                    <w:t>无功</w:t>
                  </w:r>
                  <w:r>
                    <w:rPr>
                      <w:bCs/>
                      <w:color w:val="auto"/>
                      <w:spacing w:val="-20"/>
                      <w:szCs w:val="21"/>
                    </w:rPr>
                    <w:t>（MVar）</w:t>
                  </w:r>
                </w:p>
              </w:tc>
              <w:tc>
                <w:tcPr>
                  <w:tcW w:w="877" w:type="dxa"/>
                  <w:tcBorders>
                    <w:right w:val="single" w:color="auto" w:sz="4" w:space="0"/>
                  </w:tcBorders>
                  <w:vAlign w:val="center"/>
                </w:tcPr>
                <w:p w14:paraId="4CCB4514">
                  <w:pPr>
                    <w:tabs>
                      <w:tab w:val="left" w:pos="1845"/>
                      <w:tab w:val="left" w:pos="4080"/>
                    </w:tabs>
                    <w:adjustRightInd w:val="0"/>
                    <w:snapToGrid w:val="0"/>
                    <w:jc w:val="center"/>
                    <w:rPr>
                      <w:bCs/>
                      <w:color w:val="auto"/>
                      <w:spacing w:val="-20"/>
                      <w:szCs w:val="21"/>
                    </w:rPr>
                  </w:pPr>
                  <w:r>
                    <w:rPr>
                      <w:bCs/>
                      <w:color w:val="auto"/>
                      <w:spacing w:val="-20"/>
                      <w:szCs w:val="21"/>
                    </w:rPr>
                    <w:t>最低</w:t>
                  </w:r>
                </w:p>
                <w:p w14:paraId="761DEC2A">
                  <w:pPr>
                    <w:tabs>
                      <w:tab w:val="left" w:pos="1845"/>
                      <w:tab w:val="left" w:pos="4080"/>
                    </w:tabs>
                    <w:adjustRightInd w:val="0"/>
                    <w:snapToGrid w:val="0"/>
                    <w:jc w:val="center"/>
                    <w:rPr>
                      <w:bCs/>
                      <w:color w:val="auto"/>
                      <w:szCs w:val="21"/>
                    </w:rPr>
                  </w:pPr>
                  <w:r>
                    <w:rPr>
                      <w:bCs/>
                      <w:color w:val="auto"/>
                      <w:szCs w:val="21"/>
                    </w:rPr>
                    <w:t>电压（kV）</w:t>
                  </w:r>
                </w:p>
              </w:tc>
              <w:tc>
                <w:tcPr>
                  <w:tcW w:w="878" w:type="dxa"/>
                  <w:tcBorders>
                    <w:left w:val="single" w:color="auto" w:sz="4" w:space="0"/>
                    <w:right w:val="single" w:color="auto" w:sz="4" w:space="0"/>
                  </w:tcBorders>
                  <w:vAlign w:val="center"/>
                </w:tcPr>
                <w:p w14:paraId="3F65F25F">
                  <w:pPr>
                    <w:tabs>
                      <w:tab w:val="left" w:pos="1845"/>
                      <w:tab w:val="left" w:pos="4080"/>
                    </w:tabs>
                    <w:adjustRightInd w:val="0"/>
                    <w:snapToGrid w:val="0"/>
                    <w:jc w:val="center"/>
                    <w:rPr>
                      <w:bCs/>
                      <w:color w:val="auto"/>
                      <w:spacing w:val="-20"/>
                      <w:szCs w:val="21"/>
                    </w:rPr>
                  </w:pPr>
                  <w:r>
                    <w:rPr>
                      <w:bCs/>
                      <w:color w:val="auto"/>
                      <w:spacing w:val="-20"/>
                      <w:szCs w:val="21"/>
                    </w:rPr>
                    <w:t>最高</w:t>
                  </w:r>
                </w:p>
                <w:p w14:paraId="6792AA5A">
                  <w:pPr>
                    <w:tabs>
                      <w:tab w:val="left" w:pos="1845"/>
                      <w:tab w:val="left" w:pos="4080"/>
                    </w:tabs>
                    <w:adjustRightInd w:val="0"/>
                    <w:snapToGrid w:val="0"/>
                    <w:jc w:val="center"/>
                    <w:rPr>
                      <w:bCs/>
                      <w:color w:val="auto"/>
                      <w:szCs w:val="21"/>
                    </w:rPr>
                  </w:pPr>
                  <w:r>
                    <w:rPr>
                      <w:bCs/>
                      <w:color w:val="auto"/>
                      <w:szCs w:val="21"/>
                    </w:rPr>
                    <w:t>电压（kV）</w:t>
                  </w:r>
                </w:p>
              </w:tc>
              <w:tc>
                <w:tcPr>
                  <w:tcW w:w="845" w:type="dxa"/>
                  <w:tcBorders>
                    <w:left w:val="single" w:color="auto" w:sz="4" w:space="0"/>
                  </w:tcBorders>
                  <w:vAlign w:val="center"/>
                </w:tcPr>
                <w:p w14:paraId="5139BFF0">
                  <w:pPr>
                    <w:tabs>
                      <w:tab w:val="left" w:pos="1845"/>
                      <w:tab w:val="left" w:pos="4080"/>
                    </w:tabs>
                    <w:adjustRightInd w:val="0"/>
                    <w:snapToGrid w:val="0"/>
                    <w:jc w:val="center"/>
                    <w:rPr>
                      <w:bCs/>
                      <w:color w:val="auto"/>
                      <w:spacing w:val="-20"/>
                      <w:szCs w:val="21"/>
                    </w:rPr>
                  </w:pPr>
                  <w:r>
                    <w:rPr>
                      <w:bCs/>
                      <w:color w:val="auto"/>
                      <w:spacing w:val="-20"/>
                      <w:szCs w:val="21"/>
                    </w:rPr>
                    <w:t>最低</w:t>
                  </w:r>
                </w:p>
                <w:p w14:paraId="3FC4A941">
                  <w:pPr>
                    <w:tabs>
                      <w:tab w:val="left" w:pos="1845"/>
                      <w:tab w:val="left" w:pos="4080"/>
                    </w:tabs>
                    <w:adjustRightInd w:val="0"/>
                    <w:snapToGrid w:val="0"/>
                    <w:jc w:val="center"/>
                    <w:rPr>
                      <w:bCs/>
                      <w:color w:val="auto"/>
                      <w:szCs w:val="21"/>
                    </w:rPr>
                  </w:pPr>
                  <w:r>
                    <w:rPr>
                      <w:bCs/>
                      <w:color w:val="auto"/>
                      <w:szCs w:val="21"/>
                    </w:rPr>
                    <w:t>电流</w:t>
                  </w:r>
                </w:p>
                <w:p w14:paraId="7D6F24C1">
                  <w:pPr>
                    <w:tabs>
                      <w:tab w:val="left" w:pos="1845"/>
                      <w:tab w:val="left" w:pos="4080"/>
                    </w:tabs>
                    <w:adjustRightInd w:val="0"/>
                    <w:snapToGrid w:val="0"/>
                    <w:jc w:val="center"/>
                    <w:rPr>
                      <w:bCs/>
                      <w:color w:val="auto"/>
                      <w:szCs w:val="21"/>
                    </w:rPr>
                  </w:pPr>
                  <w:r>
                    <w:rPr>
                      <w:bCs/>
                      <w:color w:val="auto"/>
                      <w:szCs w:val="21"/>
                    </w:rPr>
                    <w:t>（A）</w:t>
                  </w:r>
                </w:p>
              </w:tc>
              <w:tc>
                <w:tcPr>
                  <w:tcW w:w="878" w:type="dxa"/>
                  <w:vAlign w:val="center"/>
                </w:tcPr>
                <w:p w14:paraId="299DC194">
                  <w:pPr>
                    <w:tabs>
                      <w:tab w:val="left" w:pos="1845"/>
                      <w:tab w:val="left" w:pos="4080"/>
                    </w:tabs>
                    <w:adjustRightInd w:val="0"/>
                    <w:snapToGrid w:val="0"/>
                    <w:jc w:val="center"/>
                    <w:rPr>
                      <w:bCs/>
                      <w:color w:val="auto"/>
                      <w:spacing w:val="-20"/>
                      <w:szCs w:val="21"/>
                    </w:rPr>
                  </w:pPr>
                  <w:r>
                    <w:rPr>
                      <w:bCs/>
                      <w:color w:val="auto"/>
                      <w:spacing w:val="-20"/>
                      <w:szCs w:val="21"/>
                    </w:rPr>
                    <w:t>最高</w:t>
                  </w:r>
                </w:p>
                <w:p w14:paraId="5237553E">
                  <w:pPr>
                    <w:tabs>
                      <w:tab w:val="left" w:pos="1845"/>
                      <w:tab w:val="left" w:pos="4080"/>
                    </w:tabs>
                    <w:adjustRightInd w:val="0"/>
                    <w:snapToGrid w:val="0"/>
                    <w:jc w:val="center"/>
                    <w:rPr>
                      <w:bCs/>
                      <w:color w:val="auto"/>
                      <w:szCs w:val="21"/>
                    </w:rPr>
                  </w:pPr>
                  <w:r>
                    <w:rPr>
                      <w:bCs/>
                      <w:color w:val="auto"/>
                      <w:szCs w:val="21"/>
                    </w:rPr>
                    <w:t>电流</w:t>
                  </w:r>
                </w:p>
                <w:p w14:paraId="6CBD3A54">
                  <w:pPr>
                    <w:tabs>
                      <w:tab w:val="left" w:pos="1845"/>
                      <w:tab w:val="left" w:pos="4080"/>
                    </w:tabs>
                    <w:adjustRightInd w:val="0"/>
                    <w:snapToGrid w:val="0"/>
                    <w:jc w:val="center"/>
                    <w:rPr>
                      <w:bCs/>
                      <w:color w:val="auto"/>
                      <w:szCs w:val="21"/>
                    </w:rPr>
                  </w:pPr>
                  <w:r>
                    <w:rPr>
                      <w:bCs/>
                      <w:color w:val="auto"/>
                      <w:szCs w:val="21"/>
                    </w:rPr>
                    <w:t>（A）</w:t>
                  </w:r>
                </w:p>
              </w:tc>
            </w:tr>
            <w:tr w14:paraId="54A99A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3" w:type="dxa"/>
                  <w:tcBorders>
                    <w:top w:val="single" w:color="auto" w:sz="4" w:space="0"/>
                    <w:bottom w:val="single" w:color="auto" w:sz="4" w:space="0"/>
                  </w:tcBorders>
                  <w:vAlign w:val="center"/>
                </w:tcPr>
                <w:p w14:paraId="1F0DDE3B">
                  <w:pPr>
                    <w:adjustRightInd w:val="0"/>
                    <w:snapToGrid w:val="0"/>
                    <w:jc w:val="center"/>
                    <w:rPr>
                      <w:bCs/>
                      <w:color w:val="auto"/>
                      <w:szCs w:val="21"/>
                    </w:rPr>
                  </w:pPr>
                  <w:r>
                    <w:rPr>
                      <w:bCs/>
                      <w:color w:val="auto"/>
                      <w:szCs w:val="21"/>
                    </w:rPr>
                    <w:t>110kV油华线</w:t>
                  </w:r>
                </w:p>
              </w:tc>
              <w:tc>
                <w:tcPr>
                  <w:tcW w:w="1048" w:type="dxa"/>
                  <w:tcBorders>
                    <w:top w:val="single" w:color="auto" w:sz="4" w:space="0"/>
                    <w:bottom w:val="single" w:color="auto" w:sz="4" w:space="0"/>
                  </w:tcBorders>
                  <w:vAlign w:val="center"/>
                </w:tcPr>
                <w:p w14:paraId="53C62C14">
                  <w:pPr>
                    <w:adjustRightInd w:val="0"/>
                    <w:snapToGrid w:val="0"/>
                    <w:jc w:val="center"/>
                    <w:rPr>
                      <w:bCs/>
                      <w:color w:val="auto"/>
                      <w:szCs w:val="21"/>
                    </w:rPr>
                  </w:pPr>
                  <w:r>
                    <w:rPr>
                      <w:bCs/>
                      <w:color w:val="auto"/>
                      <w:szCs w:val="21"/>
                    </w:rPr>
                    <w:t>13.9</w:t>
                  </w:r>
                </w:p>
              </w:tc>
              <w:tc>
                <w:tcPr>
                  <w:tcW w:w="1136" w:type="dxa"/>
                  <w:tcBorders>
                    <w:top w:val="single" w:color="auto" w:sz="4" w:space="0"/>
                    <w:bottom w:val="single" w:color="auto" w:sz="4" w:space="0"/>
                    <w:right w:val="single" w:color="auto" w:sz="4" w:space="0"/>
                  </w:tcBorders>
                  <w:vAlign w:val="center"/>
                </w:tcPr>
                <w:p w14:paraId="3469AACD">
                  <w:pPr>
                    <w:adjustRightInd w:val="0"/>
                    <w:snapToGrid w:val="0"/>
                    <w:jc w:val="center"/>
                    <w:rPr>
                      <w:bCs/>
                      <w:color w:val="auto"/>
                      <w:szCs w:val="21"/>
                    </w:rPr>
                  </w:pPr>
                  <w:r>
                    <w:rPr>
                      <w:bCs/>
                      <w:color w:val="auto"/>
                      <w:szCs w:val="21"/>
                    </w:rPr>
                    <w:t>28.7</w:t>
                  </w:r>
                </w:p>
              </w:tc>
              <w:tc>
                <w:tcPr>
                  <w:tcW w:w="1053" w:type="dxa"/>
                  <w:tcBorders>
                    <w:top w:val="single" w:color="auto" w:sz="4" w:space="0"/>
                    <w:left w:val="single" w:color="auto" w:sz="4" w:space="0"/>
                    <w:bottom w:val="single" w:color="auto" w:sz="4" w:space="0"/>
                    <w:right w:val="single" w:color="auto" w:sz="4" w:space="0"/>
                  </w:tcBorders>
                  <w:vAlign w:val="center"/>
                </w:tcPr>
                <w:p w14:paraId="05500A5C">
                  <w:pPr>
                    <w:adjustRightInd w:val="0"/>
                    <w:snapToGrid w:val="0"/>
                    <w:jc w:val="center"/>
                    <w:rPr>
                      <w:bCs/>
                      <w:color w:val="auto"/>
                      <w:szCs w:val="21"/>
                    </w:rPr>
                  </w:pPr>
                  <w:r>
                    <w:rPr>
                      <w:bCs/>
                      <w:color w:val="auto"/>
                      <w:szCs w:val="21"/>
                    </w:rPr>
                    <w:t>0.1</w:t>
                  </w:r>
                </w:p>
              </w:tc>
              <w:tc>
                <w:tcPr>
                  <w:tcW w:w="1002" w:type="dxa"/>
                  <w:tcBorders>
                    <w:top w:val="single" w:color="auto" w:sz="4" w:space="0"/>
                    <w:left w:val="single" w:color="auto" w:sz="4" w:space="0"/>
                    <w:bottom w:val="single" w:color="auto" w:sz="4" w:space="0"/>
                  </w:tcBorders>
                  <w:vAlign w:val="center"/>
                </w:tcPr>
                <w:p w14:paraId="3398CB8B">
                  <w:pPr>
                    <w:adjustRightInd w:val="0"/>
                    <w:snapToGrid w:val="0"/>
                    <w:jc w:val="center"/>
                    <w:rPr>
                      <w:bCs/>
                      <w:color w:val="auto"/>
                      <w:szCs w:val="21"/>
                    </w:rPr>
                  </w:pPr>
                  <w:r>
                    <w:rPr>
                      <w:bCs/>
                      <w:color w:val="auto"/>
                      <w:szCs w:val="21"/>
                    </w:rPr>
                    <w:t>7.0</w:t>
                  </w:r>
                </w:p>
              </w:tc>
              <w:tc>
                <w:tcPr>
                  <w:tcW w:w="877" w:type="dxa"/>
                  <w:tcBorders>
                    <w:top w:val="single" w:color="auto" w:sz="4" w:space="0"/>
                    <w:bottom w:val="single" w:color="auto" w:sz="4" w:space="0"/>
                    <w:right w:val="single" w:color="auto" w:sz="4" w:space="0"/>
                  </w:tcBorders>
                  <w:vAlign w:val="center"/>
                </w:tcPr>
                <w:p w14:paraId="1D4328B5">
                  <w:pPr>
                    <w:adjustRightInd w:val="0"/>
                    <w:snapToGrid w:val="0"/>
                    <w:jc w:val="center"/>
                    <w:rPr>
                      <w:bCs/>
                      <w:color w:val="auto"/>
                      <w:szCs w:val="21"/>
                    </w:rPr>
                  </w:pPr>
                  <w:r>
                    <w:rPr>
                      <w:bCs/>
                      <w:color w:val="auto"/>
                      <w:szCs w:val="21"/>
                    </w:rPr>
                    <w:t>114.5</w:t>
                  </w:r>
                </w:p>
              </w:tc>
              <w:tc>
                <w:tcPr>
                  <w:tcW w:w="878" w:type="dxa"/>
                  <w:tcBorders>
                    <w:top w:val="single" w:color="auto" w:sz="4" w:space="0"/>
                    <w:left w:val="single" w:color="auto" w:sz="4" w:space="0"/>
                    <w:bottom w:val="single" w:color="auto" w:sz="4" w:space="0"/>
                    <w:right w:val="single" w:color="auto" w:sz="4" w:space="0"/>
                  </w:tcBorders>
                  <w:vAlign w:val="center"/>
                </w:tcPr>
                <w:p w14:paraId="18E4C693">
                  <w:pPr>
                    <w:adjustRightInd w:val="0"/>
                    <w:snapToGrid w:val="0"/>
                    <w:jc w:val="center"/>
                    <w:rPr>
                      <w:bCs/>
                      <w:color w:val="auto"/>
                      <w:szCs w:val="21"/>
                    </w:rPr>
                  </w:pPr>
                  <w:r>
                    <w:rPr>
                      <w:bCs/>
                      <w:color w:val="auto"/>
                      <w:szCs w:val="21"/>
                    </w:rPr>
                    <w:t>115.2</w:t>
                  </w:r>
                </w:p>
              </w:tc>
              <w:tc>
                <w:tcPr>
                  <w:tcW w:w="845" w:type="dxa"/>
                  <w:tcBorders>
                    <w:top w:val="single" w:color="auto" w:sz="4" w:space="0"/>
                    <w:left w:val="single" w:color="auto" w:sz="4" w:space="0"/>
                    <w:bottom w:val="single" w:color="auto" w:sz="4" w:space="0"/>
                  </w:tcBorders>
                  <w:vAlign w:val="center"/>
                </w:tcPr>
                <w:p w14:paraId="1AD31800">
                  <w:pPr>
                    <w:adjustRightInd w:val="0"/>
                    <w:snapToGrid w:val="0"/>
                    <w:jc w:val="center"/>
                    <w:rPr>
                      <w:bCs/>
                      <w:color w:val="auto"/>
                      <w:szCs w:val="21"/>
                    </w:rPr>
                  </w:pPr>
                  <w:r>
                    <w:rPr>
                      <w:bCs/>
                      <w:color w:val="auto"/>
                      <w:szCs w:val="21"/>
                    </w:rPr>
                    <w:t>69.2</w:t>
                  </w:r>
                </w:p>
              </w:tc>
              <w:tc>
                <w:tcPr>
                  <w:tcW w:w="878" w:type="dxa"/>
                  <w:tcBorders>
                    <w:top w:val="single" w:color="auto" w:sz="4" w:space="0"/>
                    <w:bottom w:val="single" w:color="auto" w:sz="4" w:space="0"/>
                  </w:tcBorders>
                  <w:vAlign w:val="center"/>
                </w:tcPr>
                <w:p w14:paraId="7617A80C">
                  <w:pPr>
                    <w:adjustRightInd w:val="0"/>
                    <w:snapToGrid w:val="0"/>
                    <w:jc w:val="center"/>
                    <w:rPr>
                      <w:bCs/>
                      <w:color w:val="auto"/>
                      <w:szCs w:val="21"/>
                    </w:rPr>
                  </w:pPr>
                  <w:r>
                    <w:rPr>
                      <w:bCs/>
                      <w:color w:val="auto"/>
                      <w:szCs w:val="21"/>
                    </w:rPr>
                    <w:t>137.4</w:t>
                  </w:r>
                </w:p>
              </w:tc>
            </w:tr>
          </w:tbl>
          <w:p w14:paraId="07BE8962">
            <w:pPr>
              <w:pStyle w:val="2"/>
              <w:snapToGrid w:val="0"/>
              <w:spacing w:line="360" w:lineRule="auto"/>
              <w:rPr>
                <w:rFonts w:ascii="Times New Roman" w:hAnsi="Times New Roman" w:cs="Times New Roman"/>
                <w:b/>
                <w:bCs/>
                <w:color w:val="auto"/>
                <w:sz w:val="24"/>
              </w:rPr>
            </w:pPr>
            <w:r>
              <w:rPr>
                <w:rFonts w:ascii="Times New Roman" w:hAnsi="Times New Roman" w:cs="Times New Roman"/>
                <w:b/>
                <w:bCs/>
                <w:color w:val="auto"/>
                <w:sz w:val="24"/>
              </w:rPr>
              <w:t>2.2.5监测结果及分析</w:t>
            </w:r>
          </w:p>
          <w:p w14:paraId="72C50F24">
            <w:pPr>
              <w:adjustRightInd w:val="0"/>
              <w:snapToGrid w:val="0"/>
              <w:spacing w:line="360" w:lineRule="auto"/>
              <w:ind w:firstLine="480" w:firstLineChars="200"/>
              <w:jc w:val="left"/>
              <w:textAlignment w:val="baseline"/>
              <w:rPr>
                <w:b/>
                <w:bCs/>
                <w:color w:val="auto"/>
                <w:sz w:val="24"/>
              </w:rPr>
            </w:pPr>
            <w:r>
              <w:rPr>
                <w:color w:val="auto"/>
                <w:kern w:val="0"/>
                <w:sz w:val="24"/>
              </w:rPr>
              <w:t>项目环境噪声监测结果见表3-6。</w:t>
            </w:r>
          </w:p>
          <w:p w14:paraId="05B0DD89">
            <w:pPr>
              <w:pStyle w:val="2"/>
              <w:tabs>
                <w:tab w:val="right" w:pos="5142"/>
              </w:tabs>
              <w:snapToGrid w:val="0"/>
              <w:spacing w:line="360" w:lineRule="auto"/>
              <w:jc w:val="center"/>
              <w:rPr>
                <w:rFonts w:ascii="Times New Roman" w:hAnsi="Times New Roman" w:cs="Times New Roman"/>
                <w:b/>
                <w:color w:val="auto"/>
                <w:kern w:val="0"/>
                <w:sz w:val="24"/>
              </w:rPr>
            </w:pPr>
          </w:p>
          <w:p w14:paraId="762C7458">
            <w:pPr>
              <w:pStyle w:val="2"/>
              <w:tabs>
                <w:tab w:val="right" w:pos="5142"/>
              </w:tabs>
              <w:snapToGrid w:val="0"/>
              <w:spacing w:line="360" w:lineRule="auto"/>
              <w:jc w:val="center"/>
              <w:rPr>
                <w:rFonts w:ascii="Times New Roman" w:hAnsi="Times New Roman" w:cs="Times New Roman"/>
                <w:b/>
                <w:color w:val="auto"/>
                <w:kern w:val="0"/>
                <w:sz w:val="24"/>
              </w:rPr>
            </w:pPr>
          </w:p>
          <w:p w14:paraId="3CEEAB0C">
            <w:pPr>
              <w:pStyle w:val="2"/>
              <w:tabs>
                <w:tab w:val="right" w:pos="5142"/>
              </w:tabs>
              <w:snapToGrid w:val="0"/>
              <w:spacing w:line="360" w:lineRule="auto"/>
              <w:jc w:val="center"/>
              <w:rPr>
                <w:rFonts w:ascii="Times New Roman" w:hAnsi="Times New Roman" w:cs="Times New Roman"/>
                <w:b/>
                <w:color w:val="auto"/>
                <w:kern w:val="0"/>
                <w:sz w:val="24"/>
              </w:rPr>
            </w:pPr>
          </w:p>
          <w:p w14:paraId="3423C6AA">
            <w:pPr>
              <w:pStyle w:val="2"/>
              <w:tabs>
                <w:tab w:val="right" w:pos="5142"/>
              </w:tabs>
              <w:snapToGrid w:val="0"/>
              <w:spacing w:line="360" w:lineRule="auto"/>
              <w:jc w:val="center"/>
              <w:rPr>
                <w:rFonts w:ascii="Times New Roman" w:hAnsi="Times New Roman" w:cs="Times New Roman"/>
                <w:b/>
                <w:color w:val="auto"/>
                <w:kern w:val="0"/>
                <w:sz w:val="24"/>
              </w:rPr>
            </w:pPr>
          </w:p>
          <w:p w14:paraId="6B159EDE">
            <w:pPr>
              <w:pStyle w:val="2"/>
              <w:tabs>
                <w:tab w:val="right" w:pos="5142"/>
              </w:tabs>
              <w:snapToGrid w:val="0"/>
              <w:spacing w:line="360" w:lineRule="auto"/>
              <w:jc w:val="center"/>
              <w:rPr>
                <w:rFonts w:ascii="Times New Roman" w:hAnsi="Times New Roman" w:cs="Times New Roman"/>
                <w:b/>
                <w:color w:val="auto"/>
                <w:kern w:val="0"/>
                <w:sz w:val="24"/>
              </w:rPr>
            </w:pPr>
          </w:p>
          <w:p w14:paraId="7B983CD9">
            <w:pPr>
              <w:pStyle w:val="2"/>
              <w:tabs>
                <w:tab w:val="right" w:pos="5142"/>
              </w:tabs>
              <w:snapToGrid w:val="0"/>
              <w:spacing w:line="360" w:lineRule="auto"/>
              <w:jc w:val="center"/>
              <w:rPr>
                <w:rFonts w:ascii="Times New Roman" w:hAnsi="Times New Roman" w:cs="Times New Roman"/>
                <w:b/>
                <w:color w:val="auto"/>
                <w:sz w:val="24"/>
                <w:szCs w:val="24"/>
              </w:rPr>
            </w:pPr>
            <w:r>
              <w:rPr>
                <w:rFonts w:ascii="Times New Roman" w:hAnsi="Times New Roman" w:cs="Times New Roman"/>
                <w:b/>
                <w:color w:val="auto"/>
                <w:kern w:val="0"/>
                <w:sz w:val="24"/>
              </w:rPr>
              <w:t>表</w:t>
            </w:r>
            <w:r>
              <w:rPr>
                <w:rFonts w:ascii="Times New Roman" w:hAnsi="Times New Roman" w:cs="Times New Roman"/>
                <w:b/>
                <w:color w:val="auto"/>
                <w:sz w:val="24"/>
                <w:szCs w:val="24"/>
              </w:rPr>
              <w:t>3-6 项目所在地环境噪声监测结果  单位：dB(A)</w:t>
            </w:r>
          </w:p>
          <w:tbl>
            <w:tblPr>
              <w:tblStyle w:val="27"/>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94"/>
              <w:gridCol w:w="2883"/>
              <w:gridCol w:w="863"/>
              <w:gridCol w:w="977"/>
              <w:gridCol w:w="731"/>
              <w:gridCol w:w="731"/>
            </w:tblGrid>
            <w:tr w14:paraId="4D21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96" w:type="dxa"/>
                  <w:vMerge w:val="restart"/>
                  <w:vAlign w:val="center"/>
                </w:tcPr>
                <w:p w14:paraId="4429E414">
                  <w:pPr>
                    <w:tabs>
                      <w:tab w:val="left" w:pos="1845"/>
                      <w:tab w:val="left" w:pos="4080"/>
                    </w:tabs>
                    <w:adjustRightInd w:val="0"/>
                    <w:snapToGrid w:val="0"/>
                    <w:jc w:val="center"/>
                    <w:rPr>
                      <w:b/>
                      <w:color w:val="auto"/>
                      <w:szCs w:val="21"/>
                    </w:rPr>
                  </w:pPr>
                  <w:r>
                    <w:rPr>
                      <w:bCs/>
                      <w:color w:val="auto"/>
                      <w:szCs w:val="21"/>
                    </w:rPr>
                    <w:t>监测点位编号</w:t>
                  </w:r>
                </w:p>
              </w:tc>
              <w:tc>
                <w:tcPr>
                  <w:tcW w:w="1694" w:type="dxa"/>
                  <w:vMerge w:val="restart"/>
                  <w:vAlign w:val="center"/>
                </w:tcPr>
                <w:p w14:paraId="77D50E05">
                  <w:pPr>
                    <w:adjustRightInd w:val="0"/>
                    <w:snapToGrid w:val="0"/>
                    <w:jc w:val="center"/>
                    <w:rPr>
                      <w:b/>
                      <w:color w:val="auto"/>
                      <w:szCs w:val="21"/>
                    </w:rPr>
                  </w:pPr>
                  <w:r>
                    <w:rPr>
                      <w:bCs/>
                      <w:color w:val="auto"/>
                      <w:szCs w:val="21"/>
                    </w:rPr>
                    <w:t>监测点位</w:t>
                  </w:r>
                </w:p>
              </w:tc>
              <w:tc>
                <w:tcPr>
                  <w:tcW w:w="2883" w:type="dxa"/>
                  <w:vMerge w:val="restart"/>
                  <w:vAlign w:val="center"/>
                </w:tcPr>
                <w:p w14:paraId="68EBA577">
                  <w:pPr>
                    <w:tabs>
                      <w:tab w:val="left" w:pos="1845"/>
                      <w:tab w:val="left" w:pos="4080"/>
                    </w:tabs>
                    <w:jc w:val="center"/>
                    <w:rPr>
                      <w:b/>
                      <w:color w:val="auto"/>
                      <w:szCs w:val="21"/>
                    </w:rPr>
                  </w:pPr>
                  <w:r>
                    <w:rPr>
                      <w:bCs/>
                      <w:color w:val="auto"/>
                      <w:szCs w:val="21"/>
                    </w:rPr>
                    <w:t>监测点位描述</w:t>
                  </w:r>
                </w:p>
              </w:tc>
              <w:tc>
                <w:tcPr>
                  <w:tcW w:w="863" w:type="dxa"/>
                  <w:vMerge w:val="restart"/>
                  <w:vAlign w:val="center"/>
                </w:tcPr>
                <w:p w14:paraId="52A8B78E">
                  <w:pPr>
                    <w:adjustRightInd w:val="0"/>
                    <w:snapToGrid w:val="0"/>
                    <w:jc w:val="center"/>
                    <w:rPr>
                      <w:b/>
                      <w:color w:val="auto"/>
                      <w:szCs w:val="21"/>
                    </w:rPr>
                  </w:pPr>
                  <w:r>
                    <w:rPr>
                      <w:bCs/>
                      <w:color w:val="auto"/>
                      <w:szCs w:val="21"/>
                    </w:rPr>
                    <w:t>昼间测量结果</w:t>
                  </w:r>
                </w:p>
              </w:tc>
              <w:tc>
                <w:tcPr>
                  <w:tcW w:w="977" w:type="dxa"/>
                  <w:vMerge w:val="restart"/>
                  <w:vAlign w:val="center"/>
                </w:tcPr>
                <w:p w14:paraId="332440AF">
                  <w:pPr>
                    <w:adjustRightInd w:val="0"/>
                    <w:snapToGrid w:val="0"/>
                    <w:jc w:val="center"/>
                    <w:rPr>
                      <w:b/>
                      <w:color w:val="auto"/>
                      <w:szCs w:val="21"/>
                    </w:rPr>
                  </w:pPr>
                  <w:r>
                    <w:rPr>
                      <w:bCs/>
                      <w:color w:val="auto"/>
                      <w:szCs w:val="21"/>
                    </w:rPr>
                    <w:t>夜间测量结果</w:t>
                  </w:r>
                </w:p>
              </w:tc>
              <w:tc>
                <w:tcPr>
                  <w:tcW w:w="1462" w:type="dxa"/>
                  <w:gridSpan w:val="2"/>
                  <w:vAlign w:val="center"/>
                </w:tcPr>
                <w:p w14:paraId="5CAD7D32">
                  <w:pPr>
                    <w:jc w:val="center"/>
                    <w:rPr>
                      <w:b/>
                      <w:color w:val="auto"/>
                      <w:szCs w:val="21"/>
                    </w:rPr>
                  </w:pPr>
                  <w:r>
                    <w:rPr>
                      <w:bCs/>
                      <w:color w:val="auto"/>
                      <w:szCs w:val="21"/>
                    </w:rPr>
                    <w:t>评价标准</w:t>
                  </w:r>
                </w:p>
              </w:tc>
            </w:tr>
            <w:tr w14:paraId="3D97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96" w:type="dxa"/>
                  <w:vMerge w:val="continue"/>
                  <w:vAlign w:val="center"/>
                </w:tcPr>
                <w:p w14:paraId="68D38E8E">
                  <w:pPr>
                    <w:jc w:val="center"/>
                    <w:rPr>
                      <w:color w:val="auto"/>
                    </w:rPr>
                  </w:pPr>
                </w:p>
              </w:tc>
              <w:tc>
                <w:tcPr>
                  <w:tcW w:w="1694" w:type="dxa"/>
                  <w:vMerge w:val="continue"/>
                  <w:vAlign w:val="center"/>
                </w:tcPr>
                <w:p w14:paraId="51559380">
                  <w:pPr>
                    <w:jc w:val="center"/>
                    <w:rPr>
                      <w:color w:val="auto"/>
                    </w:rPr>
                  </w:pPr>
                </w:p>
              </w:tc>
              <w:tc>
                <w:tcPr>
                  <w:tcW w:w="2883" w:type="dxa"/>
                  <w:vMerge w:val="continue"/>
                  <w:vAlign w:val="center"/>
                </w:tcPr>
                <w:p w14:paraId="09E91D4C">
                  <w:pPr>
                    <w:jc w:val="center"/>
                    <w:rPr>
                      <w:color w:val="auto"/>
                    </w:rPr>
                  </w:pPr>
                </w:p>
              </w:tc>
              <w:tc>
                <w:tcPr>
                  <w:tcW w:w="863" w:type="dxa"/>
                  <w:vMerge w:val="continue"/>
                  <w:vAlign w:val="center"/>
                </w:tcPr>
                <w:p w14:paraId="5A9E0A83">
                  <w:pPr>
                    <w:jc w:val="center"/>
                    <w:rPr>
                      <w:color w:val="auto"/>
                    </w:rPr>
                  </w:pPr>
                </w:p>
              </w:tc>
              <w:tc>
                <w:tcPr>
                  <w:tcW w:w="977" w:type="dxa"/>
                  <w:vMerge w:val="continue"/>
                  <w:vAlign w:val="center"/>
                </w:tcPr>
                <w:p w14:paraId="5AE97DF1">
                  <w:pPr>
                    <w:jc w:val="center"/>
                    <w:rPr>
                      <w:color w:val="auto"/>
                    </w:rPr>
                  </w:pPr>
                </w:p>
              </w:tc>
              <w:tc>
                <w:tcPr>
                  <w:tcW w:w="731" w:type="dxa"/>
                  <w:vAlign w:val="center"/>
                </w:tcPr>
                <w:p w14:paraId="198CC808">
                  <w:pPr>
                    <w:jc w:val="center"/>
                    <w:rPr>
                      <w:bCs/>
                      <w:color w:val="auto"/>
                      <w:szCs w:val="21"/>
                    </w:rPr>
                  </w:pPr>
                  <w:r>
                    <w:rPr>
                      <w:bCs/>
                      <w:color w:val="auto"/>
                      <w:szCs w:val="21"/>
                    </w:rPr>
                    <w:t>昼间</w:t>
                  </w:r>
                </w:p>
              </w:tc>
              <w:tc>
                <w:tcPr>
                  <w:tcW w:w="731" w:type="dxa"/>
                  <w:vAlign w:val="center"/>
                </w:tcPr>
                <w:p w14:paraId="096EB85A">
                  <w:pPr>
                    <w:jc w:val="center"/>
                    <w:rPr>
                      <w:bCs/>
                      <w:color w:val="auto"/>
                      <w:szCs w:val="21"/>
                    </w:rPr>
                  </w:pPr>
                  <w:r>
                    <w:rPr>
                      <w:bCs/>
                      <w:color w:val="auto"/>
                      <w:szCs w:val="21"/>
                    </w:rPr>
                    <w:t>夜间</w:t>
                  </w:r>
                </w:p>
              </w:tc>
            </w:tr>
            <w:tr w14:paraId="2D9F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dxa"/>
                  <w:vAlign w:val="center"/>
                </w:tcPr>
                <w:p w14:paraId="4B38AE05">
                  <w:pPr>
                    <w:tabs>
                      <w:tab w:val="left" w:pos="1845"/>
                      <w:tab w:val="left" w:pos="4920"/>
                    </w:tabs>
                    <w:spacing w:line="360" w:lineRule="auto"/>
                    <w:jc w:val="center"/>
                    <w:rPr>
                      <w:color w:val="auto"/>
                      <w:kern w:val="0"/>
                      <w:szCs w:val="21"/>
                    </w:rPr>
                  </w:pPr>
                  <w:r>
                    <w:rPr>
                      <w:color w:val="auto"/>
                      <w:kern w:val="0"/>
                      <w:szCs w:val="21"/>
                    </w:rPr>
                    <w:t>1</w:t>
                  </w:r>
                </w:p>
              </w:tc>
              <w:tc>
                <w:tcPr>
                  <w:tcW w:w="1694" w:type="dxa"/>
                  <w:vAlign w:val="center"/>
                </w:tcPr>
                <w:p w14:paraId="6A0F368A">
                  <w:pPr>
                    <w:tabs>
                      <w:tab w:val="left" w:pos="1845"/>
                      <w:tab w:val="left" w:pos="4920"/>
                    </w:tabs>
                    <w:rPr>
                      <w:color w:val="auto"/>
                      <w:kern w:val="0"/>
                      <w:szCs w:val="21"/>
                    </w:rPr>
                  </w:pPr>
                  <w:r>
                    <w:rPr>
                      <w:color w:val="auto"/>
                      <w:kern w:val="0"/>
                      <w:szCs w:val="21"/>
                    </w:rPr>
                    <w:t>110kV油华线11#塔附近</w:t>
                  </w:r>
                </w:p>
              </w:tc>
              <w:tc>
                <w:tcPr>
                  <w:tcW w:w="2883" w:type="dxa"/>
                  <w:vAlign w:val="center"/>
                </w:tcPr>
                <w:p w14:paraId="382B2BDB">
                  <w:pPr>
                    <w:tabs>
                      <w:tab w:val="left" w:pos="1845"/>
                      <w:tab w:val="left" w:pos="4920"/>
                    </w:tabs>
                    <w:rPr>
                      <w:color w:val="auto"/>
                      <w:kern w:val="0"/>
                      <w:szCs w:val="21"/>
                    </w:rPr>
                  </w:pPr>
                  <w:r>
                    <w:rPr>
                      <w:color w:val="auto"/>
                      <w:kern w:val="0"/>
                      <w:szCs w:val="21"/>
                    </w:rPr>
                    <w:t>监测点位于110kV油华线正下方，距离最低导线垂直距离约18m</w:t>
                  </w:r>
                </w:p>
              </w:tc>
              <w:tc>
                <w:tcPr>
                  <w:tcW w:w="863" w:type="dxa"/>
                  <w:vAlign w:val="center"/>
                </w:tcPr>
                <w:p w14:paraId="22673F40">
                  <w:pPr>
                    <w:jc w:val="center"/>
                    <w:rPr>
                      <w:color w:val="auto"/>
                      <w:szCs w:val="21"/>
                    </w:rPr>
                  </w:pPr>
                  <w:r>
                    <w:rPr>
                      <w:color w:val="auto"/>
                      <w:szCs w:val="21"/>
                    </w:rPr>
                    <w:t>52</w:t>
                  </w:r>
                </w:p>
              </w:tc>
              <w:tc>
                <w:tcPr>
                  <w:tcW w:w="977" w:type="dxa"/>
                  <w:vAlign w:val="center"/>
                </w:tcPr>
                <w:p w14:paraId="48D70832">
                  <w:pPr>
                    <w:jc w:val="center"/>
                    <w:rPr>
                      <w:color w:val="auto"/>
                      <w:szCs w:val="21"/>
                    </w:rPr>
                  </w:pPr>
                  <w:r>
                    <w:rPr>
                      <w:color w:val="auto"/>
                      <w:szCs w:val="21"/>
                    </w:rPr>
                    <w:t>42</w:t>
                  </w:r>
                </w:p>
              </w:tc>
              <w:tc>
                <w:tcPr>
                  <w:tcW w:w="731" w:type="dxa"/>
                  <w:vAlign w:val="center"/>
                </w:tcPr>
                <w:p w14:paraId="7C3F53F5">
                  <w:pPr>
                    <w:adjustRightInd w:val="0"/>
                    <w:snapToGrid w:val="0"/>
                    <w:jc w:val="center"/>
                    <w:rPr>
                      <w:color w:val="auto"/>
                      <w:szCs w:val="21"/>
                    </w:rPr>
                  </w:pPr>
                  <w:r>
                    <w:rPr>
                      <w:bCs/>
                      <w:color w:val="auto"/>
                      <w:szCs w:val="21"/>
                    </w:rPr>
                    <w:t>60</w:t>
                  </w:r>
                </w:p>
              </w:tc>
              <w:tc>
                <w:tcPr>
                  <w:tcW w:w="731" w:type="dxa"/>
                  <w:vAlign w:val="center"/>
                </w:tcPr>
                <w:p w14:paraId="59678CFC">
                  <w:pPr>
                    <w:adjustRightInd w:val="0"/>
                    <w:snapToGrid w:val="0"/>
                    <w:jc w:val="center"/>
                    <w:rPr>
                      <w:color w:val="auto"/>
                      <w:szCs w:val="21"/>
                    </w:rPr>
                  </w:pPr>
                  <w:r>
                    <w:rPr>
                      <w:color w:val="auto"/>
                      <w:szCs w:val="21"/>
                    </w:rPr>
                    <w:t>50</w:t>
                  </w:r>
                </w:p>
              </w:tc>
            </w:tr>
            <w:tr w14:paraId="55D7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dxa"/>
                  <w:vAlign w:val="center"/>
                </w:tcPr>
                <w:p w14:paraId="1D1B666D">
                  <w:pPr>
                    <w:tabs>
                      <w:tab w:val="left" w:pos="1845"/>
                      <w:tab w:val="left" w:pos="4920"/>
                    </w:tabs>
                    <w:spacing w:line="360" w:lineRule="auto"/>
                    <w:jc w:val="center"/>
                    <w:rPr>
                      <w:color w:val="auto"/>
                      <w:kern w:val="0"/>
                      <w:szCs w:val="21"/>
                    </w:rPr>
                  </w:pPr>
                  <w:r>
                    <w:rPr>
                      <w:color w:val="auto"/>
                      <w:kern w:val="0"/>
                      <w:szCs w:val="21"/>
                    </w:rPr>
                    <w:t>2</w:t>
                  </w:r>
                </w:p>
              </w:tc>
              <w:tc>
                <w:tcPr>
                  <w:tcW w:w="1694" w:type="dxa"/>
                  <w:vAlign w:val="center"/>
                </w:tcPr>
                <w:p w14:paraId="306FE116">
                  <w:pPr>
                    <w:tabs>
                      <w:tab w:val="left" w:pos="1845"/>
                      <w:tab w:val="left" w:pos="4920"/>
                    </w:tabs>
                    <w:rPr>
                      <w:color w:val="auto"/>
                      <w:kern w:val="0"/>
                      <w:szCs w:val="21"/>
                    </w:rPr>
                  </w:pPr>
                  <w:r>
                    <w:rPr>
                      <w:color w:val="auto"/>
                      <w:kern w:val="0"/>
                      <w:szCs w:val="21"/>
                    </w:rPr>
                    <w:t>拟建线路正下方</w:t>
                  </w:r>
                </w:p>
              </w:tc>
              <w:tc>
                <w:tcPr>
                  <w:tcW w:w="2883" w:type="dxa"/>
                  <w:vAlign w:val="center"/>
                </w:tcPr>
                <w:p w14:paraId="49FDD74C">
                  <w:pPr>
                    <w:tabs>
                      <w:tab w:val="left" w:pos="1845"/>
                      <w:tab w:val="left" w:pos="4920"/>
                    </w:tabs>
                    <w:rPr>
                      <w:color w:val="auto"/>
                      <w:kern w:val="0"/>
                      <w:szCs w:val="21"/>
                    </w:rPr>
                  </w:pPr>
                  <w:r>
                    <w:rPr>
                      <w:color w:val="auto"/>
                      <w:kern w:val="0"/>
                      <w:szCs w:val="21"/>
                    </w:rPr>
                    <w:t>监测点位于拟建线路正下方</w:t>
                  </w:r>
                </w:p>
              </w:tc>
              <w:tc>
                <w:tcPr>
                  <w:tcW w:w="863" w:type="dxa"/>
                  <w:vAlign w:val="center"/>
                </w:tcPr>
                <w:p w14:paraId="116057C4">
                  <w:pPr>
                    <w:jc w:val="center"/>
                    <w:rPr>
                      <w:color w:val="auto"/>
                      <w:szCs w:val="21"/>
                    </w:rPr>
                  </w:pPr>
                  <w:r>
                    <w:rPr>
                      <w:color w:val="auto"/>
                      <w:szCs w:val="21"/>
                    </w:rPr>
                    <w:t>52</w:t>
                  </w:r>
                </w:p>
              </w:tc>
              <w:tc>
                <w:tcPr>
                  <w:tcW w:w="977" w:type="dxa"/>
                  <w:vAlign w:val="center"/>
                </w:tcPr>
                <w:p w14:paraId="055AF701">
                  <w:pPr>
                    <w:jc w:val="center"/>
                    <w:rPr>
                      <w:color w:val="auto"/>
                      <w:szCs w:val="21"/>
                    </w:rPr>
                  </w:pPr>
                  <w:r>
                    <w:rPr>
                      <w:color w:val="auto"/>
                      <w:szCs w:val="21"/>
                    </w:rPr>
                    <w:t>46</w:t>
                  </w:r>
                </w:p>
              </w:tc>
              <w:tc>
                <w:tcPr>
                  <w:tcW w:w="731" w:type="dxa"/>
                  <w:vAlign w:val="center"/>
                </w:tcPr>
                <w:p w14:paraId="5DFF8875">
                  <w:pPr>
                    <w:adjustRightInd w:val="0"/>
                    <w:snapToGrid w:val="0"/>
                    <w:jc w:val="center"/>
                    <w:rPr>
                      <w:color w:val="auto"/>
                      <w:szCs w:val="21"/>
                    </w:rPr>
                  </w:pPr>
                  <w:r>
                    <w:rPr>
                      <w:bCs/>
                      <w:color w:val="auto"/>
                      <w:szCs w:val="21"/>
                    </w:rPr>
                    <w:t>60</w:t>
                  </w:r>
                </w:p>
              </w:tc>
              <w:tc>
                <w:tcPr>
                  <w:tcW w:w="731" w:type="dxa"/>
                  <w:vAlign w:val="center"/>
                </w:tcPr>
                <w:p w14:paraId="211F16EB">
                  <w:pPr>
                    <w:adjustRightInd w:val="0"/>
                    <w:snapToGrid w:val="0"/>
                    <w:jc w:val="center"/>
                    <w:rPr>
                      <w:color w:val="auto"/>
                      <w:szCs w:val="21"/>
                    </w:rPr>
                  </w:pPr>
                  <w:r>
                    <w:rPr>
                      <w:color w:val="auto"/>
                      <w:szCs w:val="21"/>
                    </w:rPr>
                    <w:t>50</w:t>
                  </w:r>
                </w:p>
              </w:tc>
            </w:tr>
          </w:tbl>
          <w:p w14:paraId="40416EE9">
            <w:pPr>
              <w:adjustRightInd w:val="0"/>
              <w:snapToGrid w:val="0"/>
              <w:spacing w:line="336" w:lineRule="auto"/>
              <w:ind w:firstLine="480" w:firstLineChars="200"/>
              <w:rPr>
                <w:color w:val="auto"/>
                <w:sz w:val="24"/>
              </w:rPr>
            </w:pPr>
            <w:r>
              <w:rPr>
                <w:color w:val="auto"/>
                <w:sz w:val="24"/>
              </w:rPr>
              <w:t>经监测，本项目线路沿线昼间噪声监测值为52dB(A)，夜间噪声监测值在（42~46）dB(A)之间，声环境质量满足《声环境质量标准》（GB3096-2008）相应标准限值要求。</w:t>
            </w:r>
          </w:p>
          <w:p w14:paraId="673B19A9">
            <w:pPr>
              <w:adjustRightInd w:val="0"/>
              <w:snapToGrid w:val="0"/>
              <w:spacing w:line="336" w:lineRule="auto"/>
              <w:ind w:firstLine="480" w:firstLineChars="200"/>
              <w:rPr>
                <w:color w:val="auto"/>
                <w:sz w:val="24"/>
              </w:rPr>
            </w:pPr>
          </w:p>
        </w:tc>
      </w:tr>
      <w:tr w14:paraId="6A299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677CB2C">
            <w:pPr>
              <w:adjustRightInd w:val="0"/>
              <w:snapToGrid w:val="0"/>
              <w:spacing w:line="360" w:lineRule="auto"/>
              <w:jc w:val="center"/>
              <w:rPr>
                <w:b/>
                <w:color w:val="auto"/>
                <w:kern w:val="0"/>
                <w:sz w:val="24"/>
              </w:rPr>
            </w:pPr>
            <w:r>
              <w:rPr>
                <w:b/>
                <w:bCs/>
                <w:color w:val="auto"/>
                <w:sz w:val="24"/>
              </w:rPr>
              <w:t>与项目有关的原有环境污染和生态破坏问题</w:t>
            </w:r>
          </w:p>
        </w:tc>
        <w:tc>
          <w:tcPr>
            <w:tcW w:w="9101" w:type="dxa"/>
            <w:vAlign w:val="center"/>
          </w:tcPr>
          <w:p w14:paraId="534F49CD">
            <w:pPr>
              <w:keepNext/>
              <w:keepLines/>
              <w:pageBreakBefore w:val="0"/>
              <w:widowControl w:val="0"/>
              <w:tabs>
                <w:tab w:val="left" w:pos="420"/>
                <w:tab w:val="left" w:pos="567"/>
              </w:tabs>
              <w:kinsoku/>
              <w:wordWrap/>
              <w:overflowPunct/>
              <w:topLinePunct w:val="0"/>
              <w:autoSpaceDE/>
              <w:autoSpaceDN/>
              <w:bidi w:val="0"/>
              <w:adjustRightInd w:val="0"/>
              <w:snapToGrid w:val="0"/>
              <w:spacing w:line="360" w:lineRule="auto"/>
              <w:ind w:left="0" w:leftChars="0" w:right="0" w:rightChars="0"/>
              <w:jc w:val="left"/>
              <w:textAlignment w:val="auto"/>
              <w:outlineLvl w:val="1"/>
              <w:rPr>
                <w:b/>
                <w:bCs/>
                <w:color w:val="auto"/>
                <w:sz w:val="24"/>
              </w:rPr>
            </w:pPr>
            <w:r>
              <w:rPr>
                <w:b/>
                <w:bCs/>
                <w:color w:val="auto"/>
                <w:sz w:val="24"/>
              </w:rPr>
              <w:t>1、现有工程环保手续履行情况</w:t>
            </w:r>
          </w:p>
          <w:p w14:paraId="174EFB5F">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color w:val="auto"/>
                <w:sz w:val="24"/>
                <w:lang w:eastAsia="zh-CN"/>
              </w:rPr>
            </w:pPr>
            <w:r>
              <w:rPr>
                <w:color w:val="auto"/>
                <w:sz w:val="24"/>
              </w:rPr>
              <w:t>根据建设单位提供资料，110kV油华线建成时间较早，</w:t>
            </w:r>
            <w:r>
              <w:rPr>
                <w:rFonts w:hint="eastAsia"/>
                <w:color w:val="auto"/>
                <w:sz w:val="24"/>
                <w:lang w:eastAsia="zh-CN"/>
              </w:rPr>
              <w:t>未开展环评工作，</w:t>
            </w:r>
            <w:r>
              <w:rPr>
                <w:rFonts w:hint="eastAsia"/>
                <w:color w:val="auto"/>
                <w:sz w:val="24"/>
                <w:lang w:val="en-US" w:eastAsia="zh-CN"/>
              </w:rPr>
              <w:t>2016年建设单位按照</w:t>
            </w:r>
            <w:r>
              <w:rPr>
                <w:rFonts w:hint="eastAsia"/>
                <w:color w:val="auto"/>
                <w:sz w:val="24"/>
              </w:rPr>
              <w:t>《关于印发涪陵区环境保护“四清四治”专项行动工作方案的通知》(涪陵府办发[2014]58号)要求</w:t>
            </w:r>
            <w:r>
              <w:rPr>
                <w:rFonts w:hint="eastAsia"/>
                <w:color w:val="auto"/>
                <w:sz w:val="24"/>
                <w:lang w:eastAsia="zh-CN"/>
              </w:rPr>
              <w:t>开展了</w:t>
            </w:r>
            <w:r>
              <w:rPr>
                <w:rFonts w:hint="eastAsia"/>
                <w:color w:val="auto"/>
                <w:sz w:val="24"/>
              </w:rPr>
              <w:t>110kV油华线线路工程环境保护备案</w:t>
            </w:r>
            <w:r>
              <w:rPr>
                <w:rFonts w:hint="eastAsia"/>
                <w:color w:val="auto"/>
                <w:sz w:val="24"/>
                <w:lang w:eastAsia="zh-CN"/>
              </w:rPr>
              <w:t>工作，并于</w:t>
            </w:r>
            <w:r>
              <w:rPr>
                <w:rFonts w:hint="eastAsia"/>
                <w:color w:val="auto"/>
                <w:sz w:val="24"/>
                <w:lang w:val="en-US" w:eastAsia="zh-CN"/>
              </w:rPr>
              <w:t>2016年12月30日取得了原重庆市</w:t>
            </w:r>
            <w:r>
              <w:rPr>
                <w:rFonts w:hint="eastAsia"/>
                <w:color w:val="auto"/>
                <w:sz w:val="24"/>
              </w:rPr>
              <w:t>涪陵区</w:t>
            </w:r>
            <w:r>
              <w:rPr>
                <w:rFonts w:hint="eastAsia"/>
                <w:color w:val="auto"/>
                <w:sz w:val="24"/>
                <w:lang w:eastAsia="zh-CN"/>
              </w:rPr>
              <w:t>环境保护局关于</w:t>
            </w:r>
            <w:r>
              <w:rPr>
                <w:rFonts w:hint="eastAsia"/>
                <w:color w:val="auto"/>
                <w:sz w:val="24"/>
              </w:rPr>
              <w:t>重庆涪陵聚龙电力有限公司110kV油华线线路工程环境保护备案</w:t>
            </w:r>
            <w:r>
              <w:rPr>
                <w:rFonts w:hint="eastAsia"/>
                <w:color w:val="auto"/>
                <w:sz w:val="24"/>
                <w:lang w:eastAsia="zh-CN"/>
              </w:rPr>
              <w:t>的函（涪环建管函</w:t>
            </w:r>
            <w:r>
              <w:rPr>
                <w:rFonts w:hint="eastAsia"/>
                <w:color w:val="auto"/>
                <w:sz w:val="24"/>
                <w:lang w:val="en-US" w:eastAsia="zh-CN"/>
              </w:rPr>
              <w:t>[2016]345号</w:t>
            </w:r>
            <w:r>
              <w:rPr>
                <w:rFonts w:hint="eastAsia"/>
                <w:color w:val="auto"/>
                <w:sz w:val="24"/>
                <w:lang w:eastAsia="zh-CN"/>
              </w:rPr>
              <w:t>）。详见附件</w:t>
            </w:r>
            <w:r>
              <w:rPr>
                <w:rFonts w:hint="eastAsia"/>
                <w:color w:val="auto"/>
                <w:sz w:val="24"/>
                <w:lang w:val="en-US" w:eastAsia="zh-CN"/>
              </w:rPr>
              <w:t>3。</w:t>
            </w:r>
          </w:p>
          <w:p w14:paraId="108379AE">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color w:val="auto"/>
                <w:sz w:val="24"/>
              </w:rPr>
            </w:pPr>
            <w:r>
              <w:rPr>
                <w:rFonts w:hint="eastAsia"/>
                <w:color w:val="auto"/>
                <w:sz w:val="24"/>
                <w:lang w:val="en-US" w:eastAsia="zh-CN"/>
              </w:rPr>
              <w:t>2018年12月建设单位开展了</w:t>
            </w:r>
            <w:r>
              <w:rPr>
                <w:rFonts w:hint="eastAsia"/>
                <w:color w:val="auto"/>
                <w:sz w:val="24"/>
              </w:rPr>
              <w:t>环境保护</w:t>
            </w:r>
            <w:r>
              <w:rPr>
                <w:rFonts w:hint="eastAsia"/>
                <w:color w:val="auto"/>
                <w:sz w:val="24"/>
                <w:lang w:eastAsia="zh-CN"/>
              </w:rPr>
              <w:t>验收工作，</w:t>
            </w:r>
            <w:r>
              <w:rPr>
                <w:rFonts w:hint="eastAsia"/>
                <w:color w:val="auto"/>
                <w:sz w:val="24"/>
                <w:lang w:val="en-US" w:eastAsia="zh-CN"/>
              </w:rPr>
              <w:t>2018年12月29日取得了原重庆市</w:t>
            </w:r>
            <w:r>
              <w:rPr>
                <w:rFonts w:hint="eastAsia"/>
                <w:color w:val="auto"/>
                <w:sz w:val="24"/>
              </w:rPr>
              <w:t>涪陵区</w:t>
            </w:r>
            <w:r>
              <w:rPr>
                <w:rFonts w:hint="eastAsia"/>
                <w:color w:val="auto"/>
                <w:sz w:val="24"/>
                <w:lang w:eastAsia="zh-CN"/>
              </w:rPr>
              <w:t>环境保护局关于</w:t>
            </w:r>
            <w:r>
              <w:rPr>
                <w:rFonts w:hint="eastAsia"/>
                <w:color w:val="auto"/>
                <w:sz w:val="24"/>
              </w:rPr>
              <w:t>重庆涪陵聚龙电力有限公司110kV油华线线路工程环境保护</w:t>
            </w:r>
            <w:r>
              <w:rPr>
                <w:rFonts w:hint="eastAsia"/>
                <w:color w:val="auto"/>
                <w:sz w:val="24"/>
                <w:lang w:eastAsia="zh-CN"/>
              </w:rPr>
              <w:t>达标验收备案的函（涪环建管函</w:t>
            </w:r>
            <w:r>
              <w:rPr>
                <w:rFonts w:hint="eastAsia"/>
                <w:color w:val="auto"/>
                <w:sz w:val="24"/>
                <w:lang w:val="en-US" w:eastAsia="zh-CN"/>
              </w:rPr>
              <w:t>[2018]72号</w:t>
            </w:r>
            <w:r>
              <w:rPr>
                <w:rFonts w:hint="eastAsia"/>
                <w:color w:val="auto"/>
                <w:sz w:val="24"/>
                <w:lang w:eastAsia="zh-CN"/>
              </w:rPr>
              <w:t>）。详见附件</w:t>
            </w:r>
            <w:r>
              <w:rPr>
                <w:rFonts w:hint="eastAsia"/>
                <w:color w:val="auto"/>
                <w:sz w:val="24"/>
                <w:lang w:val="en-US" w:eastAsia="zh-CN"/>
              </w:rPr>
              <w:t>4。</w:t>
            </w:r>
          </w:p>
          <w:p w14:paraId="45C14BCD">
            <w:pPr>
              <w:autoSpaceDN w:val="0"/>
              <w:adjustRightInd w:val="0"/>
              <w:snapToGrid w:val="0"/>
              <w:spacing w:line="360" w:lineRule="auto"/>
              <w:rPr>
                <w:b/>
                <w:bCs/>
                <w:color w:val="auto"/>
                <w:kern w:val="0"/>
                <w:sz w:val="24"/>
              </w:rPr>
            </w:pPr>
            <w:r>
              <w:rPr>
                <w:b/>
                <w:bCs/>
                <w:color w:val="auto"/>
                <w:kern w:val="0"/>
                <w:sz w:val="24"/>
              </w:rPr>
              <w:t>2、与本项目有关的原有污染情况及主要环境问题</w:t>
            </w:r>
          </w:p>
          <w:p w14:paraId="2A3DA101">
            <w:pPr>
              <w:adjustRightInd w:val="0"/>
              <w:snapToGrid w:val="0"/>
              <w:spacing w:line="360" w:lineRule="auto"/>
              <w:ind w:firstLine="480" w:firstLineChars="200"/>
              <w:rPr>
                <w:color w:val="auto"/>
                <w:sz w:val="24"/>
                <w:highlight w:val="yellow"/>
              </w:rPr>
            </w:pPr>
            <w:r>
              <w:rPr>
                <w:color w:val="auto"/>
                <w:kern w:val="0"/>
                <w:sz w:val="24"/>
              </w:rPr>
              <w:t>本项目原有环境情况主要为</w:t>
            </w:r>
            <w:r>
              <w:rPr>
                <w:rFonts w:hint="eastAsia"/>
                <w:color w:val="auto"/>
                <w:kern w:val="0"/>
                <w:sz w:val="24"/>
              </w:rPr>
              <w:t>原</w:t>
            </w:r>
            <w:r>
              <w:rPr>
                <w:color w:val="auto"/>
                <w:kern w:val="0"/>
                <w:sz w:val="24"/>
              </w:rPr>
              <w:t>110kV油华线</w:t>
            </w:r>
            <w:r>
              <w:rPr>
                <w:rFonts w:hint="eastAsia"/>
                <w:color w:val="auto"/>
                <w:kern w:val="0"/>
                <w:sz w:val="24"/>
              </w:rPr>
              <w:t>3</w:t>
            </w:r>
            <w:r>
              <w:rPr>
                <w:color w:val="auto"/>
                <w:kern w:val="0"/>
                <w:sz w:val="24"/>
              </w:rPr>
              <w:t>号至1</w:t>
            </w:r>
            <w:r>
              <w:rPr>
                <w:rFonts w:hint="eastAsia"/>
                <w:color w:val="auto"/>
                <w:kern w:val="0"/>
                <w:sz w:val="24"/>
              </w:rPr>
              <w:t>2</w:t>
            </w:r>
            <w:r>
              <w:rPr>
                <w:color w:val="auto"/>
                <w:kern w:val="0"/>
                <w:sz w:val="24"/>
              </w:rPr>
              <w:t>号段运行期产生的工频电场、工频磁场、噪声等。</w:t>
            </w:r>
            <w:r>
              <w:rPr>
                <w:rFonts w:hint="eastAsia"/>
                <w:color w:val="auto"/>
                <w:kern w:val="0"/>
                <w:sz w:val="24"/>
              </w:rPr>
              <w:t>本次环评在</w:t>
            </w:r>
            <w:r>
              <w:rPr>
                <w:color w:val="auto"/>
                <w:sz w:val="24"/>
              </w:rPr>
              <w:t>原110kV油华线</w:t>
            </w:r>
            <w:r>
              <w:rPr>
                <w:rFonts w:hint="eastAsia"/>
                <w:color w:val="auto"/>
                <w:sz w:val="24"/>
              </w:rPr>
              <w:t>3</w:t>
            </w:r>
            <w:r>
              <w:rPr>
                <w:color w:val="auto"/>
                <w:sz w:val="24"/>
              </w:rPr>
              <w:t>号至1</w:t>
            </w:r>
            <w:r>
              <w:rPr>
                <w:rFonts w:hint="eastAsia"/>
                <w:color w:val="auto"/>
                <w:sz w:val="24"/>
              </w:rPr>
              <w:t>2</w:t>
            </w:r>
            <w:r>
              <w:rPr>
                <w:color w:val="auto"/>
                <w:sz w:val="24"/>
              </w:rPr>
              <w:t>号段</w:t>
            </w:r>
            <w:r>
              <w:rPr>
                <w:rFonts w:hint="eastAsia"/>
                <w:color w:val="auto"/>
                <w:sz w:val="24"/>
              </w:rPr>
              <w:t>具备</w:t>
            </w:r>
            <w:r>
              <w:rPr>
                <w:color w:val="auto"/>
                <w:sz w:val="24"/>
              </w:rPr>
              <w:t>监测条件</w:t>
            </w:r>
            <w:r>
              <w:rPr>
                <w:rFonts w:hint="eastAsia"/>
                <w:color w:val="auto"/>
                <w:sz w:val="24"/>
              </w:rPr>
              <w:t>的</w:t>
            </w:r>
            <w:r>
              <w:rPr>
                <w:color w:val="auto"/>
                <w:sz w:val="24"/>
              </w:rPr>
              <w:t>导线对地</w:t>
            </w:r>
            <w:r>
              <w:rPr>
                <w:rFonts w:hint="eastAsia"/>
                <w:color w:val="auto"/>
                <w:sz w:val="24"/>
              </w:rPr>
              <w:t>最</w:t>
            </w:r>
            <w:r>
              <w:rPr>
                <w:color w:val="auto"/>
                <w:sz w:val="24"/>
              </w:rPr>
              <w:t>低处</w:t>
            </w:r>
            <w:r>
              <w:rPr>
                <w:rFonts w:hint="eastAsia"/>
                <w:color w:val="auto"/>
                <w:kern w:val="0"/>
                <w:sz w:val="24"/>
              </w:rPr>
              <w:t>布设了一个监测点位，经监测</w:t>
            </w:r>
            <w:r>
              <w:rPr>
                <w:color w:val="auto"/>
                <w:kern w:val="0"/>
                <w:sz w:val="24"/>
              </w:rPr>
              <w:t>，</w:t>
            </w:r>
            <w:r>
              <w:rPr>
                <w:rFonts w:hint="eastAsia"/>
                <w:color w:val="auto"/>
                <w:kern w:val="0"/>
                <w:sz w:val="24"/>
              </w:rPr>
              <w:t>该监测点位</w:t>
            </w:r>
            <w:r>
              <w:rPr>
                <w:color w:val="auto"/>
                <w:sz w:val="24"/>
              </w:rPr>
              <w:t>工频电场强度</w:t>
            </w:r>
            <w:r>
              <w:rPr>
                <w:rFonts w:hint="eastAsia"/>
                <w:color w:val="auto"/>
                <w:sz w:val="24"/>
              </w:rPr>
              <w:t>为</w:t>
            </w:r>
            <w:r>
              <w:rPr>
                <w:color w:val="auto"/>
                <w:kern w:val="0"/>
                <w:sz w:val="24"/>
                <w:lang w:bidi="ar"/>
              </w:rPr>
              <w:t>220.1</w:t>
            </w:r>
            <w:r>
              <w:rPr>
                <w:color w:val="auto"/>
                <w:sz w:val="24"/>
              </w:rPr>
              <w:t>V/m、工频磁感应强度</w:t>
            </w:r>
            <w:r>
              <w:rPr>
                <w:rFonts w:hint="eastAsia"/>
                <w:color w:val="auto"/>
                <w:sz w:val="24"/>
              </w:rPr>
              <w:t>为</w:t>
            </w:r>
            <w:r>
              <w:rPr>
                <w:color w:val="auto"/>
                <w:sz w:val="24"/>
              </w:rPr>
              <w:t>0.0903μT，均分别低于《电磁环境控制限值》（GB 8702-2014）4000V/m及100μT的评价标准。经监测，</w:t>
            </w:r>
            <w:r>
              <w:rPr>
                <w:rFonts w:hint="eastAsia"/>
                <w:color w:val="auto"/>
                <w:kern w:val="0"/>
                <w:sz w:val="24"/>
              </w:rPr>
              <w:t>该监测点位</w:t>
            </w:r>
            <w:r>
              <w:rPr>
                <w:color w:val="auto"/>
                <w:sz w:val="24"/>
              </w:rPr>
              <w:t>昼间噪声监测值为52dB(A)，夜间噪声监测值在42dB(A)，声环境质量满足《声环境质量标准》（GB3096-2008）</w:t>
            </w:r>
            <w:r>
              <w:rPr>
                <w:rFonts w:hint="eastAsia"/>
                <w:color w:val="auto"/>
                <w:sz w:val="24"/>
              </w:rPr>
              <w:t>中2类区标准</w:t>
            </w:r>
            <w:r>
              <w:rPr>
                <w:color w:val="auto"/>
                <w:sz w:val="24"/>
              </w:rPr>
              <w:t>限值要求。</w:t>
            </w:r>
          </w:p>
          <w:p w14:paraId="26256D3B">
            <w:pPr>
              <w:adjustRightInd w:val="0"/>
              <w:snapToGrid w:val="0"/>
              <w:spacing w:line="360" w:lineRule="auto"/>
              <w:ind w:firstLine="480" w:firstLineChars="200"/>
              <w:rPr>
                <w:color w:val="auto"/>
                <w:kern w:val="0"/>
                <w:sz w:val="24"/>
              </w:rPr>
            </w:pPr>
            <w:r>
              <w:rPr>
                <w:color w:val="auto"/>
                <w:sz w:val="24"/>
              </w:rPr>
              <w:t>根据现场调查，本项目新建线路沿线以</w:t>
            </w:r>
            <w:r>
              <w:rPr>
                <w:bCs/>
                <w:color w:val="auto"/>
                <w:sz w:val="24"/>
              </w:rPr>
              <w:t>农用地、灌草地、林地为主</w:t>
            </w:r>
            <w:r>
              <w:rPr>
                <w:color w:val="auto"/>
                <w:sz w:val="24"/>
              </w:rPr>
              <w:t>，无历史遗留环保问题。</w:t>
            </w:r>
          </w:p>
          <w:p w14:paraId="70C90FBA">
            <w:pPr>
              <w:pStyle w:val="47"/>
              <w:snapToGrid w:val="0"/>
              <w:spacing w:line="336" w:lineRule="auto"/>
              <w:jc w:val="both"/>
              <w:rPr>
                <w:rFonts w:ascii="Times New Roman" w:hAnsi="Times New Roman" w:cs="Times New Roman"/>
                <w:color w:val="auto"/>
              </w:rPr>
            </w:pPr>
          </w:p>
        </w:tc>
      </w:tr>
      <w:tr w14:paraId="75C90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70BBAA5F">
            <w:pPr>
              <w:adjustRightInd w:val="0"/>
              <w:snapToGrid w:val="0"/>
              <w:spacing w:line="360" w:lineRule="auto"/>
              <w:jc w:val="center"/>
              <w:rPr>
                <w:b/>
                <w:color w:val="auto"/>
                <w:kern w:val="0"/>
                <w:sz w:val="24"/>
              </w:rPr>
            </w:pPr>
          </w:p>
          <w:p w14:paraId="7D0E0900">
            <w:pPr>
              <w:adjustRightInd w:val="0"/>
              <w:snapToGrid w:val="0"/>
              <w:spacing w:line="360" w:lineRule="auto"/>
              <w:jc w:val="center"/>
              <w:rPr>
                <w:b/>
                <w:color w:val="auto"/>
                <w:kern w:val="0"/>
                <w:sz w:val="24"/>
              </w:rPr>
            </w:pPr>
          </w:p>
          <w:p w14:paraId="7D17DD82">
            <w:pPr>
              <w:adjustRightInd w:val="0"/>
              <w:snapToGrid w:val="0"/>
              <w:spacing w:line="360" w:lineRule="auto"/>
              <w:jc w:val="center"/>
              <w:rPr>
                <w:b/>
                <w:color w:val="auto"/>
                <w:kern w:val="0"/>
                <w:sz w:val="24"/>
              </w:rPr>
            </w:pPr>
          </w:p>
          <w:p w14:paraId="43DCF6DC">
            <w:pPr>
              <w:adjustRightInd w:val="0"/>
              <w:snapToGrid w:val="0"/>
              <w:spacing w:line="360" w:lineRule="auto"/>
              <w:jc w:val="center"/>
              <w:rPr>
                <w:b/>
                <w:color w:val="auto"/>
                <w:kern w:val="0"/>
                <w:sz w:val="24"/>
              </w:rPr>
            </w:pPr>
          </w:p>
          <w:p w14:paraId="2AF3BFDA">
            <w:pPr>
              <w:adjustRightInd w:val="0"/>
              <w:snapToGrid w:val="0"/>
              <w:spacing w:line="360" w:lineRule="auto"/>
              <w:jc w:val="center"/>
              <w:rPr>
                <w:b/>
                <w:color w:val="auto"/>
                <w:kern w:val="0"/>
                <w:sz w:val="24"/>
              </w:rPr>
            </w:pPr>
          </w:p>
          <w:p w14:paraId="73EC7952">
            <w:pPr>
              <w:adjustRightInd w:val="0"/>
              <w:snapToGrid w:val="0"/>
              <w:spacing w:line="360" w:lineRule="auto"/>
              <w:jc w:val="center"/>
              <w:rPr>
                <w:b/>
                <w:color w:val="auto"/>
                <w:kern w:val="0"/>
                <w:sz w:val="24"/>
              </w:rPr>
            </w:pPr>
          </w:p>
          <w:p w14:paraId="59DC33E2">
            <w:pPr>
              <w:adjustRightInd w:val="0"/>
              <w:snapToGrid w:val="0"/>
              <w:spacing w:line="360" w:lineRule="auto"/>
              <w:jc w:val="center"/>
              <w:rPr>
                <w:b/>
                <w:color w:val="auto"/>
                <w:kern w:val="0"/>
                <w:sz w:val="24"/>
              </w:rPr>
            </w:pPr>
          </w:p>
          <w:p w14:paraId="4843DD0E">
            <w:pPr>
              <w:adjustRightInd w:val="0"/>
              <w:snapToGrid w:val="0"/>
              <w:spacing w:line="360" w:lineRule="auto"/>
              <w:jc w:val="center"/>
              <w:rPr>
                <w:b/>
                <w:color w:val="auto"/>
                <w:kern w:val="0"/>
                <w:sz w:val="24"/>
              </w:rPr>
            </w:pPr>
            <w:r>
              <w:rPr>
                <w:b/>
                <w:color w:val="auto"/>
                <w:kern w:val="0"/>
                <w:sz w:val="24"/>
              </w:rPr>
              <w:t>生态环境保护目标</w:t>
            </w:r>
          </w:p>
        </w:tc>
        <w:tc>
          <w:tcPr>
            <w:tcW w:w="9101" w:type="dxa"/>
            <w:vAlign w:val="center"/>
          </w:tcPr>
          <w:p w14:paraId="4D22BBC7">
            <w:pPr>
              <w:adjustRightInd w:val="0"/>
              <w:snapToGrid w:val="0"/>
              <w:spacing w:line="360" w:lineRule="auto"/>
              <w:rPr>
                <w:b/>
                <w:bCs/>
                <w:color w:val="auto"/>
                <w:sz w:val="24"/>
              </w:rPr>
            </w:pPr>
            <w:r>
              <w:rPr>
                <w:b/>
                <w:bCs/>
                <w:color w:val="auto"/>
                <w:sz w:val="24"/>
              </w:rPr>
              <w:t>1、生态环境保护目标</w:t>
            </w:r>
          </w:p>
          <w:p w14:paraId="79FF9381">
            <w:pPr>
              <w:tabs>
                <w:tab w:val="left" w:pos="3240"/>
              </w:tabs>
              <w:adjustRightInd w:val="0"/>
              <w:snapToGrid w:val="0"/>
              <w:spacing w:line="360" w:lineRule="auto"/>
              <w:ind w:firstLine="480" w:firstLineChars="200"/>
              <w:textAlignment w:val="baseline"/>
              <w:rPr>
                <w:color w:val="auto"/>
                <w:sz w:val="24"/>
              </w:rPr>
            </w:pPr>
            <w:r>
              <w:rPr>
                <w:color w:val="auto"/>
                <w:sz w:val="24"/>
              </w:rPr>
              <w:t>根据现场调查及查询资料，本项目线路沿线评价范围内无自然保护区、风景名胜区等生态敏感区分布，且不涉及涪陵区生态保护红线，因此线路沿线无生态环境保护目标分布，本项目与涪陵区生态保护红线的位置关系见附图9。</w:t>
            </w:r>
          </w:p>
          <w:p w14:paraId="0A7C8816">
            <w:pPr>
              <w:adjustRightInd w:val="0"/>
              <w:snapToGrid w:val="0"/>
              <w:spacing w:line="360" w:lineRule="auto"/>
              <w:rPr>
                <w:b/>
                <w:bCs/>
                <w:color w:val="auto"/>
                <w:sz w:val="24"/>
              </w:rPr>
            </w:pPr>
            <w:r>
              <w:rPr>
                <w:b/>
                <w:bCs/>
                <w:color w:val="auto"/>
                <w:sz w:val="24"/>
              </w:rPr>
              <w:t>2、水环境保护目标</w:t>
            </w:r>
          </w:p>
          <w:p w14:paraId="144635F7">
            <w:pPr>
              <w:adjustRightInd w:val="0"/>
              <w:snapToGrid w:val="0"/>
              <w:spacing w:line="360" w:lineRule="auto"/>
              <w:ind w:firstLine="480" w:firstLineChars="200"/>
              <w:rPr>
                <w:color w:val="auto"/>
                <w:sz w:val="24"/>
              </w:rPr>
            </w:pPr>
            <w:r>
              <w:rPr>
                <w:color w:val="auto"/>
                <w:sz w:val="24"/>
              </w:rPr>
              <w:t>根据现场调查及查询资料，本项目周边无水环境保护目标。</w:t>
            </w:r>
          </w:p>
          <w:p w14:paraId="3F5A5E4A">
            <w:pPr>
              <w:adjustRightInd w:val="0"/>
              <w:snapToGrid w:val="0"/>
              <w:spacing w:line="360" w:lineRule="auto"/>
              <w:rPr>
                <w:b/>
                <w:bCs/>
                <w:color w:val="auto"/>
                <w:sz w:val="24"/>
              </w:rPr>
            </w:pPr>
            <w:r>
              <w:rPr>
                <w:b/>
                <w:bCs/>
                <w:color w:val="auto"/>
                <w:sz w:val="24"/>
              </w:rPr>
              <w:t>3、电磁及声环境保护目标</w:t>
            </w:r>
          </w:p>
          <w:p w14:paraId="6A61F0E0">
            <w:pPr>
              <w:adjustRightInd w:val="0"/>
              <w:snapToGrid w:val="0"/>
              <w:spacing w:line="360" w:lineRule="auto"/>
              <w:ind w:firstLine="480" w:firstLineChars="200"/>
              <w:rPr>
                <w:color w:val="auto"/>
                <w:sz w:val="24"/>
              </w:rPr>
            </w:pPr>
            <w:r>
              <w:rPr>
                <w:color w:val="auto"/>
                <w:sz w:val="24"/>
              </w:rPr>
              <w:t>根据现场调查，本项目新建110kV架空线路边导线外30m评价范围内无居民、工厂等电磁环境保护目标分布；边导线外200m评价范围内无居民、学校等声环境保护目标分布。</w:t>
            </w:r>
          </w:p>
          <w:p w14:paraId="08F305FF">
            <w:pPr>
              <w:adjustRightInd w:val="0"/>
              <w:snapToGrid w:val="0"/>
              <w:rPr>
                <w:color w:val="auto"/>
              </w:rPr>
            </w:pPr>
          </w:p>
        </w:tc>
      </w:tr>
      <w:tr w14:paraId="215EF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7B5DC7DA">
            <w:pPr>
              <w:adjustRightInd w:val="0"/>
              <w:snapToGrid w:val="0"/>
              <w:spacing w:line="360" w:lineRule="auto"/>
              <w:jc w:val="center"/>
              <w:rPr>
                <w:b/>
                <w:color w:val="auto"/>
                <w:kern w:val="0"/>
                <w:sz w:val="24"/>
              </w:rPr>
            </w:pPr>
            <w:r>
              <w:rPr>
                <w:b/>
                <w:color w:val="auto"/>
                <w:kern w:val="0"/>
                <w:sz w:val="24"/>
              </w:rPr>
              <w:t>评价</w:t>
            </w:r>
          </w:p>
          <w:p w14:paraId="11B71D53">
            <w:pPr>
              <w:adjustRightInd w:val="0"/>
              <w:snapToGrid w:val="0"/>
              <w:spacing w:line="360" w:lineRule="auto"/>
              <w:jc w:val="center"/>
              <w:rPr>
                <w:color w:val="auto"/>
                <w:kern w:val="0"/>
                <w:sz w:val="24"/>
              </w:rPr>
            </w:pPr>
            <w:r>
              <w:rPr>
                <w:b/>
                <w:color w:val="auto"/>
                <w:kern w:val="0"/>
                <w:sz w:val="24"/>
              </w:rPr>
              <w:t>标准</w:t>
            </w:r>
          </w:p>
        </w:tc>
        <w:tc>
          <w:tcPr>
            <w:tcW w:w="9101" w:type="dxa"/>
            <w:vAlign w:val="center"/>
          </w:tcPr>
          <w:p w14:paraId="071E5DE8">
            <w:pPr>
              <w:adjustRightInd w:val="0"/>
              <w:snapToGrid w:val="0"/>
              <w:spacing w:line="360" w:lineRule="auto"/>
              <w:rPr>
                <w:b/>
                <w:color w:val="auto"/>
                <w:sz w:val="24"/>
              </w:rPr>
            </w:pPr>
            <w:r>
              <w:rPr>
                <w:b/>
                <w:color w:val="auto"/>
                <w:sz w:val="24"/>
              </w:rPr>
              <w:t>1、环境质量标准</w:t>
            </w:r>
          </w:p>
          <w:p w14:paraId="621526E0">
            <w:pPr>
              <w:adjustRightInd w:val="0"/>
              <w:snapToGrid w:val="0"/>
              <w:spacing w:line="360" w:lineRule="auto"/>
              <w:rPr>
                <w:b/>
                <w:color w:val="auto"/>
                <w:sz w:val="24"/>
                <w:szCs w:val="20"/>
              </w:rPr>
            </w:pPr>
            <w:r>
              <w:rPr>
                <w:b/>
                <w:color w:val="auto"/>
                <w:sz w:val="24"/>
                <w:szCs w:val="20"/>
              </w:rPr>
              <w:t>1.1声环境质量标准</w:t>
            </w:r>
          </w:p>
          <w:p w14:paraId="5DE6994B">
            <w:pPr>
              <w:pStyle w:val="47"/>
              <w:snapToGrid w:val="0"/>
              <w:spacing w:line="360" w:lineRule="auto"/>
              <w:rPr>
                <w:rFonts w:ascii="Times New Roman" w:hAnsi="Times New Roman" w:cs="Times New Roman"/>
                <w:color w:val="auto"/>
              </w:rPr>
            </w:pPr>
            <w:r>
              <w:rPr>
                <w:rFonts w:ascii="Times New Roman" w:hAnsi="Times New Roman" w:cs="Times New Roman"/>
                <w:color w:val="auto"/>
              </w:rPr>
              <w:t>根据《重庆市涪陵区人民政府办公室关于印发重庆市涪陵区声环境功能区划分调整方案的通知》（涪陵府办发〔2018〕148号），本项目所在地无声功能区划（附图6）。</w:t>
            </w:r>
          </w:p>
          <w:p w14:paraId="3A2281D6">
            <w:pPr>
              <w:pStyle w:val="47"/>
              <w:snapToGrid w:val="0"/>
              <w:spacing w:line="360" w:lineRule="auto"/>
              <w:rPr>
                <w:rFonts w:ascii="Times New Roman" w:hAnsi="Times New Roman" w:cs="Times New Roman"/>
                <w:color w:val="auto"/>
              </w:rPr>
            </w:pPr>
            <w:r>
              <w:rPr>
                <w:rFonts w:ascii="Times New Roman" w:hAnsi="Times New Roman" w:cs="Times New Roman"/>
                <w:color w:val="auto"/>
              </w:rPr>
              <w:t>根据《声环境功能区划分技术规范》（GB/T15190-2014）</w:t>
            </w:r>
            <w:r>
              <w:rPr>
                <w:rFonts w:hint="eastAsia" w:ascii="Times New Roman" w:hAnsi="Times New Roman" w:cs="Times New Roman"/>
                <w:color w:val="auto"/>
              </w:rPr>
              <w:t>以及</w:t>
            </w:r>
            <w:r>
              <w:rPr>
                <w:rFonts w:ascii="Times New Roman" w:hAnsi="Times New Roman" w:cs="Times New Roman"/>
                <w:color w:val="auto"/>
              </w:rPr>
              <w:t>《重庆市环境保护局关于印发声环境功能区划分技术规范实施细则（试行）的通知》（渝环[2015]429）</w:t>
            </w:r>
            <w:r>
              <w:rPr>
                <w:rFonts w:hint="eastAsia" w:ascii="Times New Roman" w:hAnsi="Times New Roman" w:cs="Times New Roman"/>
                <w:color w:val="auto"/>
              </w:rPr>
              <w:t>，</w:t>
            </w:r>
          </w:p>
          <w:p w14:paraId="65E0EEFD">
            <w:pPr>
              <w:pStyle w:val="47"/>
              <w:snapToGrid w:val="0"/>
              <w:spacing w:line="360" w:lineRule="auto"/>
              <w:ind w:firstLine="0" w:firstLineChars="0"/>
              <w:rPr>
                <w:rFonts w:ascii="Times New Roman" w:hAnsi="Times New Roman" w:cs="Times New Roman"/>
                <w:color w:val="auto"/>
              </w:rPr>
            </w:pPr>
            <w:r>
              <w:rPr>
                <w:rFonts w:hint="eastAsia" w:ascii="Times New Roman" w:hAnsi="Times New Roman" w:cs="Times New Roman"/>
                <w:color w:val="auto"/>
              </w:rPr>
              <w:t>2类声环境功能区是指以商业金融、集市贸易为主要功能，或者居住、商业、工业混杂，需要维护住宅安静的区域。</w:t>
            </w:r>
            <w:r>
              <w:rPr>
                <w:rFonts w:ascii="Times New Roman" w:hAnsi="Times New Roman" w:cs="Times New Roman"/>
                <w:color w:val="auto"/>
              </w:rPr>
              <w:t>根据现场调查，本项目线路沿线周边分布有较多大型工厂，</w:t>
            </w:r>
            <w:r>
              <w:rPr>
                <w:rFonts w:hint="eastAsia" w:ascii="Times New Roman" w:hAnsi="Times New Roman" w:cs="Times New Roman"/>
                <w:color w:val="auto"/>
                <w:lang w:eastAsia="zh-CN"/>
              </w:rPr>
              <w:t>属于</w:t>
            </w:r>
            <w:r>
              <w:rPr>
                <w:rFonts w:hint="eastAsia" w:ascii="Times New Roman" w:hAnsi="Times New Roman" w:cs="Times New Roman"/>
                <w:color w:val="auto"/>
              </w:rPr>
              <w:t>居住</w:t>
            </w:r>
            <w:r>
              <w:rPr>
                <w:rFonts w:hint="eastAsia" w:ascii="Times New Roman" w:hAnsi="Times New Roman" w:cs="Times New Roman"/>
                <w:color w:val="auto"/>
                <w:lang w:eastAsia="zh-CN"/>
              </w:rPr>
              <w:t>和</w:t>
            </w:r>
            <w:r>
              <w:rPr>
                <w:rFonts w:hint="eastAsia" w:ascii="Times New Roman" w:hAnsi="Times New Roman" w:cs="Times New Roman"/>
                <w:color w:val="auto"/>
              </w:rPr>
              <w:t>工业混杂</w:t>
            </w:r>
            <w:r>
              <w:rPr>
                <w:rFonts w:hint="eastAsia" w:ascii="Times New Roman" w:hAnsi="Times New Roman" w:cs="Times New Roman"/>
                <w:color w:val="auto"/>
                <w:lang w:eastAsia="zh-CN"/>
              </w:rPr>
              <w:t>区</w:t>
            </w:r>
            <w:r>
              <w:rPr>
                <w:rFonts w:hint="eastAsia" w:ascii="Times New Roman" w:hAnsi="Times New Roman" w:cs="Times New Roman"/>
                <w:color w:val="auto"/>
              </w:rPr>
              <w:t>，</w:t>
            </w:r>
            <w:r>
              <w:rPr>
                <w:rFonts w:ascii="Times New Roman" w:hAnsi="Times New Roman" w:cs="Times New Roman"/>
                <w:color w:val="auto"/>
              </w:rPr>
              <w:t>因此本评价线路沿线声环境质量执行2类标准，详见下表3-7。</w:t>
            </w:r>
          </w:p>
          <w:p w14:paraId="0080BBF2">
            <w:pPr>
              <w:adjustRightInd w:val="0"/>
              <w:snapToGrid w:val="0"/>
              <w:spacing w:line="360" w:lineRule="auto"/>
              <w:jc w:val="center"/>
              <w:rPr>
                <w:b/>
                <w:color w:val="auto"/>
                <w:sz w:val="24"/>
              </w:rPr>
            </w:pPr>
            <w:r>
              <w:rPr>
                <w:b/>
                <w:color w:val="auto"/>
                <w:sz w:val="24"/>
              </w:rPr>
              <w:t>表3-7  项目所在区域执行的声环境质量标准</w:t>
            </w:r>
          </w:p>
          <w:tbl>
            <w:tblPr>
              <w:tblStyle w:val="2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10"/>
              <w:gridCol w:w="812"/>
              <w:gridCol w:w="1299"/>
              <w:gridCol w:w="1431"/>
              <w:gridCol w:w="2385"/>
            </w:tblGrid>
            <w:tr w14:paraId="37B6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vMerge w:val="restart"/>
                  <w:vAlign w:val="center"/>
                </w:tcPr>
                <w:p w14:paraId="0FF973E1">
                  <w:pPr>
                    <w:snapToGrid w:val="0"/>
                    <w:jc w:val="center"/>
                    <w:rPr>
                      <w:color w:val="auto"/>
                    </w:rPr>
                  </w:pPr>
                  <w:r>
                    <w:rPr>
                      <w:color w:val="auto"/>
                    </w:rPr>
                    <w:t>要素</w:t>
                  </w:r>
                </w:p>
                <w:p w14:paraId="5F186201">
                  <w:pPr>
                    <w:snapToGrid w:val="0"/>
                    <w:jc w:val="center"/>
                    <w:rPr>
                      <w:color w:val="auto"/>
                    </w:rPr>
                  </w:pPr>
                  <w:r>
                    <w:rPr>
                      <w:color w:val="auto"/>
                    </w:rPr>
                    <w:t>分类</w:t>
                  </w:r>
                </w:p>
              </w:tc>
              <w:tc>
                <w:tcPr>
                  <w:tcW w:w="2110" w:type="dxa"/>
                  <w:vMerge w:val="restart"/>
                  <w:vAlign w:val="center"/>
                </w:tcPr>
                <w:p w14:paraId="5CD5691A">
                  <w:pPr>
                    <w:snapToGrid w:val="0"/>
                    <w:jc w:val="center"/>
                    <w:rPr>
                      <w:color w:val="auto"/>
                    </w:rPr>
                  </w:pPr>
                  <w:r>
                    <w:rPr>
                      <w:color w:val="auto"/>
                    </w:rPr>
                    <w:t>标准名称</w:t>
                  </w:r>
                </w:p>
              </w:tc>
              <w:tc>
                <w:tcPr>
                  <w:tcW w:w="812" w:type="dxa"/>
                  <w:vMerge w:val="restart"/>
                  <w:vAlign w:val="center"/>
                </w:tcPr>
                <w:p w14:paraId="6F06A917">
                  <w:pPr>
                    <w:snapToGrid w:val="0"/>
                    <w:jc w:val="center"/>
                    <w:rPr>
                      <w:color w:val="auto"/>
                    </w:rPr>
                  </w:pPr>
                  <w:r>
                    <w:rPr>
                      <w:color w:val="auto"/>
                    </w:rPr>
                    <w:t>适用类别</w:t>
                  </w:r>
                </w:p>
              </w:tc>
              <w:tc>
                <w:tcPr>
                  <w:tcW w:w="2730" w:type="dxa"/>
                  <w:gridSpan w:val="2"/>
                  <w:vAlign w:val="center"/>
                </w:tcPr>
                <w:p w14:paraId="2442E58A">
                  <w:pPr>
                    <w:snapToGrid w:val="0"/>
                    <w:jc w:val="center"/>
                    <w:rPr>
                      <w:color w:val="auto"/>
                    </w:rPr>
                  </w:pPr>
                  <w:r>
                    <w:rPr>
                      <w:color w:val="auto"/>
                    </w:rPr>
                    <w:t>标准限值</w:t>
                  </w:r>
                </w:p>
              </w:tc>
              <w:tc>
                <w:tcPr>
                  <w:tcW w:w="2385" w:type="dxa"/>
                  <w:vMerge w:val="restart"/>
                  <w:vAlign w:val="center"/>
                </w:tcPr>
                <w:p w14:paraId="40C15C4E">
                  <w:pPr>
                    <w:snapToGrid w:val="0"/>
                    <w:jc w:val="center"/>
                    <w:rPr>
                      <w:color w:val="auto"/>
                    </w:rPr>
                  </w:pPr>
                  <w:r>
                    <w:rPr>
                      <w:color w:val="auto"/>
                    </w:rPr>
                    <w:t>评价对象</w:t>
                  </w:r>
                </w:p>
              </w:tc>
            </w:tr>
            <w:tr w14:paraId="252F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838" w:type="dxa"/>
                  <w:vMerge w:val="continue"/>
                  <w:vAlign w:val="center"/>
                </w:tcPr>
                <w:p w14:paraId="30E72ED8">
                  <w:pPr>
                    <w:snapToGrid w:val="0"/>
                    <w:jc w:val="center"/>
                    <w:rPr>
                      <w:color w:val="auto"/>
                    </w:rPr>
                  </w:pPr>
                </w:p>
              </w:tc>
              <w:tc>
                <w:tcPr>
                  <w:tcW w:w="2110" w:type="dxa"/>
                  <w:vMerge w:val="continue"/>
                  <w:vAlign w:val="center"/>
                </w:tcPr>
                <w:p w14:paraId="112D2304">
                  <w:pPr>
                    <w:snapToGrid w:val="0"/>
                    <w:jc w:val="center"/>
                    <w:rPr>
                      <w:color w:val="auto"/>
                    </w:rPr>
                  </w:pPr>
                </w:p>
              </w:tc>
              <w:tc>
                <w:tcPr>
                  <w:tcW w:w="812" w:type="dxa"/>
                  <w:vMerge w:val="continue"/>
                  <w:vAlign w:val="center"/>
                </w:tcPr>
                <w:p w14:paraId="78B819A1">
                  <w:pPr>
                    <w:snapToGrid w:val="0"/>
                    <w:jc w:val="center"/>
                    <w:rPr>
                      <w:color w:val="auto"/>
                    </w:rPr>
                  </w:pPr>
                </w:p>
              </w:tc>
              <w:tc>
                <w:tcPr>
                  <w:tcW w:w="1299" w:type="dxa"/>
                  <w:vAlign w:val="center"/>
                </w:tcPr>
                <w:p w14:paraId="35FCD66E">
                  <w:pPr>
                    <w:snapToGrid w:val="0"/>
                    <w:jc w:val="center"/>
                    <w:rPr>
                      <w:color w:val="auto"/>
                    </w:rPr>
                  </w:pPr>
                  <w:r>
                    <w:rPr>
                      <w:color w:val="auto"/>
                    </w:rPr>
                    <w:t>参数名称</w:t>
                  </w:r>
                </w:p>
              </w:tc>
              <w:tc>
                <w:tcPr>
                  <w:tcW w:w="1431" w:type="dxa"/>
                  <w:vAlign w:val="center"/>
                </w:tcPr>
                <w:p w14:paraId="3CF87B6D">
                  <w:pPr>
                    <w:snapToGrid w:val="0"/>
                    <w:jc w:val="center"/>
                    <w:rPr>
                      <w:color w:val="auto"/>
                    </w:rPr>
                  </w:pPr>
                  <w:r>
                    <w:rPr>
                      <w:color w:val="auto"/>
                    </w:rPr>
                    <w:t>限值</w:t>
                  </w:r>
                </w:p>
              </w:tc>
              <w:tc>
                <w:tcPr>
                  <w:tcW w:w="2385" w:type="dxa"/>
                  <w:vMerge w:val="continue"/>
                  <w:vAlign w:val="center"/>
                </w:tcPr>
                <w:p w14:paraId="641D2268">
                  <w:pPr>
                    <w:snapToGrid w:val="0"/>
                    <w:jc w:val="center"/>
                    <w:rPr>
                      <w:color w:val="auto"/>
                    </w:rPr>
                  </w:pPr>
                </w:p>
              </w:tc>
            </w:tr>
            <w:tr w14:paraId="3EF9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838" w:type="dxa"/>
                  <w:vAlign w:val="center"/>
                </w:tcPr>
                <w:p w14:paraId="55D99678">
                  <w:pPr>
                    <w:snapToGrid w:val="0"/>
                    <w:jc w:val="center"/>
                    <w:rPr>
                      <w:color w:val="auto"/>
                    </w:rPr>
                  </w:pPr>
                  <w:r>
                    <w:rPr>
                      <w:color w:val="auto"/>
                    </w:rPr>
                    <w:t>声环境</w:t>
                  </w:r>
                </w:p>
              </w:tc>
              <w:tc>
                <w:tcPr>
                  <w:tcW w:w="2110" w:type="dxa"/>
                  <w:vAlign w:val="center"/>
                </w:tcPr>
                <w:p w14:paraId="026E2ADB">
                  <w:pPr>
                    <w:snapToGrid w:val="0"/>
                    <w:jc w:val="center"/>
                    <w:rPr>
                      <w:color w:val="auto"/>
                    </w:rPr>
                  </w:pPr>
                  <w:r>
                    <w:rPr>
                      <w:color w:val="auto"/>
                    </w:rPr>
                    <w:t>《声环境质量标准》（GB3096-2008）</w:t>
                  </w:r>
                </w:p>
              </w:tc>
              <w:tc>
                <w:tcPr>
                  <w:tcW w:w="812" w:type="dxa"/>
                  <w:vAlign w:val="center"/>
                </w:tcPr>
                <w:p w14:paraId="54BFC666">
                  <w:pPr>
                    <w:snapToGrid w:val="0"/>
                    <w:jc w:val="center"/>
                    <w:rPr>
                      <w:color w:val="auto"/>
                    </w:rPr>
                  </w:pPr>
                  <w:r>
                    <w:rPr>
                      <w:color w:val="auto"/>
                    </w:rPr>
                    <w:t>2类</w:t>
                  </w:r>
                </w:p>
              </w:tc>
              <w:tc>
                <w:tcPr>
                  <w:tcW w:w="1299" w:type="dxa"/>
                  <w:vAlign w:val="center"/>
                </w:tcPr>
                <w:p w14:paraId="50AD9D0A">
                  <w:pPr>
                    <w:snapToGrid w:val="0"/>
                    <w:jc w:val="center"/>
                    <w:rPr>
                      <w:rFonts w:hint="eastAsia" w:eastAsia="宋体"/>
                      <w:color w:val="auto"/>
                      <w:lang w:eastAsia="zh-CN"/>
                    </w:rPr>
                  </w:pPr>
                  <w:r>
                    <w:rPr>
                      <w:rFonts w:hint="eastAsia"/>
                      <w:color w:val="auto"/>
                      <w:lang w:eastAsia="zh-CN"/>
                    </w:rPr>
                    <w:t>噪声</w:t>
                  </w:r>
                </w:p>
              </w:tc>
              <w:tc>
                <w:tcPr>
                  <w:tcW w:w="1431" w:type="dxa"/>
                  <w:vAlign w:val="center"/>
                </w:tcPr>
                <w:p w14:paraId="08C2B394">
                  <w:pPr>
                    <w:snapToGrid w:val="0"/>
                    <w:jc w:val="center"/>
                    <w:rPr>
                      <w:color w:val="auto"/>
                    </w:rPr>
                  </w:pPr>
                  <w:r>
                    <w:rPr>
                      <w:color w:val="auto"/>
                    </w:rPr>
                    <w:t>昼间60dB(A)</w:t>
                  </w:r>
                </w:p>
                <w:p w14:paraId="77F48F65">
                  <w:pPr>
                    <w:snapToGrid w:val="0"/>
                    <w:jc w:val="center"/>
                    <w:rPr>
                      <w:color w:val="auto"/>
                    </w:rPr>
                  </w:pPr>
                  <w:r>
                    <w:rPr>
                      <w:color w:val="auto"/>
                    </w:rPr>
                    <w:t>夜间50dB(A)</w:t>
                  </w:r>
                </w:p>
              </w:tc>
              <w:tc>
                <w:tcPr>
                  <w:tcW w:w="2385" w:type="dxa"/>
                  <w:vAlign w:val="center"/>
                </w:tcPr>
                <w:p w14:paraId="75E337A4">
                  <w:pPr>
                    <w:pStyle w:val="54"/>
                    <w:snapToGrid w:val="0"/>
                    <w:spacing w:line="240" w:lineRule="auto"/>
                    <w:rPr>
                      <w:rFonts w:eastAsia="宋体"/>
                      <w:color w:val="auto"/>
                    </w:rPr>
                  </w:pPr>
                  <w:r>
                    <w:rPr>
                      <w:rFonts w:eastAsia="宋体"/>
                      <w:color w:val="auto"/>
                    </w:rPr>
                    <w:t>新建线路沿线环境保护目标</w:t>
                  </w:r>
                </w:p>
              </w:tc>
            </w:tr>
          </w:tbl>
          <w:p w14:paraId="5FBB0633">
            <w:pPr>
              <w:adjustRightInd w:val="0"/>
              <w:snapToGrid w:val="0"/>
              <w:spacing w:line="360" w:lineRule="auto"/>
              <w:rPr>
                <w:b/>
                <w:color w:val="auto"/>
                <w:sz w:val="24"/>
                <w:szCs w:val="20"/>
              </w:rPr>
            </w:pPr>
            <w:r>
              <w:rPr>
                <w:b/>
                <w:color w:val="auto"/>
                <w:sz w:val="24"/>
                <w:szCs w:val="20"/>
              </w:rPr>
              <w:t>1.2电磁环境</w:t>
            </w:r>
          </w:p>
          <w:p w14:paraId="3867F848">
            <w:pPr>
              <w:autoSpaceDN w:val="0"/>
              <w:adjustRightInd w:val="0"/>
              <w:snapToGrid w:val="0"/>
              <w:spacing w:line="360" w:lineRule="auto"/>
              <w:ind w:firstLine="480" w:firstLineChars="200"/>
              <w:rPr>
                <w:b/>
                <w:bCs/>
                <w:color w:val="auto"/>
                <w:sz w:val="24"/>
              </w:rPr>
            </w:pPr>
            <w:r>
              <w:rPr>
                <w:color w:val="auto"/>
                <w:sz w:val="24"/>
              </w:rPr>
              <w:t>本工程运行期电磁环境执行《电磁环境控制限值》（GB 8702-2014），详见表3-8。</w:t>
            </w:r>
          </w:p>
          <w:p w14:paraId="26C8960A">
            <w:pPr>
              <w:adjustRightInd w:val="0"/>
              <w:snapToGrid w:val="0"/>
              <w:spacing w:line="360" w:lineRule="auto"/>
              <w:jc w:val="center"/>
              <w:rPr>
                <w:b/>
                <w:color w:val="auto"/>
                <w:sz w:val="24"/>
              </w:rPr>
            </w:pPr>
            <w:r>
              <w:rPr>
                <w:b/>
                <w:color w:val="auto"/>
                <w:sz w:val="24"/>
              </w:rPr>
              <w:t>表3-8  项目所在区域执行的电磁环境质量标准</w:t>
            </w:r>
          </w:p>
          <w:tbl>
            <w:tblPr>
              <w:tblStyle w:val="2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750"/>
              <w:gridCol w:w="1799"/>
              <w:gridCol w:w="1251"/>
              <w:gridCol w:w="3239"/>
            </w:tblGrid>
            <w:tr w14:paraId="50E0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6" w:type="dxa"/>
                  <w:vMerge w:val="restart"/>
                  <w:vAlign w:val="center"/>
                </w:tcPr>
                <w:p w14:paraId="76D1F066">
                  <w:pPr>
                    <w:adjustRightInd w:val="0"/>
                    <w:snapToGrid w:val="0"/>
                    <w:jc w:val="center"/>
                    <w:rPr>
                      <w:color w:val="auto"/>
                    </w:rPr>
                  </w:pPr>
                  <w:r>
                    <w:rPr>
                      <w:color w:val="auto"/>
                    </w:rPr>
                    <w:t>标准名称</w:t>
                  </w:r>
                </w:p>
              </w:tc>
              <w:tc>
                <w:tcPr>
                  <w:tcW w:w="750" w:type="dxa"/>
                  <w:vMerge w:val="restart"/>
                  <w:vAlign w:val="center"/>
                </w:tcPr>
                <w:p w14:paraId="5F8A7C1A">
                  <w:pPr>
                    <w:adjustRightInd w:val="0"/>
                    <w:snapToGrid w:val="0"/>
                    <w:jc w:val="center"/>
                    <w:rPr>
                      <w:color w:val="auto"/>
                    </w:rPr>
                  </w:pPr>
                  <w:r>
                    <w:rPr>
                      <w:color w:val="auto"/>
                    </w:rPr>
                    <w:t>适用类别</w:t>
                  </w:r>
                </w:p>
              </w:tc>
              <w:tc>
                <w:tcPr>
                  <w:tcW w:w="3050" w:type="dxa"/>
                  <w:gridSpan w:val="2"/>
                  <w:vAlign w:val="center"/>
                </w:tcPr>
                <w:p w14:paraId="73BC6545">
                  <w:pPr>
                    <w:adjustRightInd w:val="0"/>
                    <w:snapToGrid w:val="0"/>
                    <w:jc w:val="center"/>
                    <w:rPr>
                      <w:color w:val="auto"/>
                    </w:rPr>
                  </w:pPr>
                  <w:r>
                    <w:rPr>
                      <w:color w:val="auto"/>
                    </w:rPr>
                    <w:t>标准限值</w:t>
                  </w:r>
                </w:p>
              </w:tc>
              <w:tc>
                <w:tcPr>
                  <w:tcW w:w="3239" w:type="dxa"/>
                  <w:vMerge w:val="restart"/>
                  <w:vAlign w:val="center"/>
                </w:tcPr>
                <w:p w14:paraId="4D07EBD5">
                  <w:pPr>
                    <w:adjustRightInd w:val="0"/>
                    <w:snapToGrid w:val="0"/>
                    <w:jc w:val="center"/>
                    <w:rPr>
                      <w:color w:val="auto"/>
                    </w:rPr>
                  </w:pPr>
                  <w:r>
                    <w:rPr>
                      <w:color w:val="auto"/>
                    </w:rPr>
                    <w:t>评价对象</w:t>
                  </w:r>
                </w:p>
              </w:tc>
            </w:tr>
            <w:tr w14:paraId="2644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6" w:type="dxa"/>
                  <w:vMerge w:val="continue"/>
                  <w:vAlign w:val="center"/>
                </w:tcPr>
                <w:p w14:paraId="799AAD76">
                  <w:pPr>
                    <w:adjustRightInd w:val="0"/>
                    <w:snapToGrid w:val="0"/>
                    <w:rPr>
                      <w:color w:val="auto"/>
                    </w:rPr>
                  </w:pPr>
                </w:p>
              </w:tc>
              <w:tc>
                <w:tcPr>
                  <w:tcW w:w="750" w:type="dxa"/>
                  <w:vMerge w:val="continue"/>
                  <w:vAlign w:val="center"/>
                </w:tcPr>
                <w:p w14:paraId="2B11C496">
                  <w:pPr>
                    <w:adjustRightInd w:val="0"/>
                    <w:snapToGrid w:val="0"/>
                    <w:rPr>
                      <w:color w:val="auto"/>
                    </w:rPr>
                  </w:pPr>
                </w:p>
              </w:tc>
              <w:tc>
                <w:tcPr>
                  <w:tcW w:w="1799" w:type="dxa"/>
                  <w:vAlign w:val="center"/>
                </w:tcPr>
                <w:p w14:paraId="486E6E20">
                  <w:pPr>
                    <w:adjustRightInd w:val="0"/>
                    <w:snapToGrid w:val="0"/>
                    <w:jc w:val="center"/>
                    <w:rPr>
                      <w:color w:val="auto"/>
                    </w:rPr>
                  </w:pPr>
                  <w:r>
                    <w:rPr>
                      <w:color w:val="auto"/>
                    </w:rPr>
                    <w:t>参数名称</w:t>
                  </w:r>
                </w:p>
              </w:tc>
              <w:tc>
                <w:tcPr>
                  <w:tcW w:w="1251" w:type="dxa"/>
                  <w:vAlign w:val="center"/>
                </w:tcPr>
                <w:p w14:paraId="1DC41200">
                  <w:pPr>
                    <w:adjustRightInd w:val="0"/>
                    <w:snapToGrid w:val="0"/>
                    <w:jc w:val="center"/>
                    <w:rPr>
                      <w:color w:val="auto"/>
                    </w:rPr>
                  </w:pPr>
                  <w:r>
                    <w:rPr>
                      <w:color w:val="auto"/>
                    </w:rPr>
                    <w:t>标准限值</w:t>
                  </w:r>
                </w:p>
              </w:tc>
              <w:tc>
                <w:tcPr>
                  <w:tcW w:w="3239" w:type="dxa"/>
                  <w:vMerge w:val="continue"/>
                  <w:vAlign w:val="center"/>
                </w:tcPr>
                <w:p w14:paraId="61871E97">
                  <w:pPr>
                    <w:adjustRightInd w:val="0"/>
                    <w:snapToGrid w:val="0"/>
                    <w:rPr>
                      <w:color w:val="auto"/>
                    </w:rPr>
                  </w:pPr>
                </w:p>
              </w:tc>
            </w:tr>
            <w:tr w14:paraId="1728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6" w:type="dxa"/>
                  <w:vMerge w:val="restart"/>
                  <w:vAlign w:val="center"/>
                </w:tcPr>
                <w:p w14:paraId="6606C6CF">
                  <w:pPr>
                    <w:autoSpaceDN w:val="0"/>
                    <w:adjustRightInd w:val="0"/>
                    <w:snapToGrid w:val="0"/>
                    <w:jc w:val="center"/>
                    <w:rPr>
                      <w:color w:val="auto"/>
                    </w:rPr>
                  </w:pPr>
                  <w:r>
                    <w:rPr>
                      <w:color w:val="auto"/>
                    </w:rPr>
                    <w:t>《电磁环境控制限值》（GB 8702-2014）</w:t>
                  </w:r>
                </w:p>
              </w:tc>
              <w:tc>
                <w:tcPr>
                  <w:tcW w:w="750" w:type="dxa"/>
                  <w:vMerge w:val="restart"/>
                  <w:vAlign w:val="center"/>
                </w:tcPr>
                <w:p w14:paraId="5CE7741C">
                  <w:pPr>
                    <w:autoSpaceDN w:val="0"/>
                    <w:adjustRightInd w:val="0"/>
                    <w:snapToGrid w:val="0"/>
                    <w:jc w:val="center"/>
                    <w:rPr>
                      <w:color w:val="auto"/>
                    </w:rPr>
                  </w:pPr>
                  <w:r>
                    <w:rPr>
                      <w:color w:val="auto"/>
                    </w:rPr>
                    <w:t>50Hz</w:t>
                  </w:r>
                </w:p>
              </w:tc>
              <w:tc>
                <w:tcPr>
                  <w:tcW w:w="1799" w:type="dxa"/>
                  <w:vAlign w:val="center"/>
                </w:tcPr>
                <w:p w14:paraId="283CB8CC">
                  <w:pPr>
                    <w:autoSpaceDN w:val="0"/>
                    <w:adjustRightInd w:val="0"/>
                    <w:snapToGrid w:val="0"/>
                    <w:jc w:val="center"/>
                    <w:rPr>
                      <w:color w:val="auto"/>
                    </w:rPr>
                  </w:pPr>
                  <w:r>
                    <w:rPr>
                      <w:color w:val="auto"/>
                    </w:rPr>
                    <w:t>工频电场强度</w:t>
                  </w:r>
                </w:p>
              </w:tc>
              <w:tc>
                <w:tcPr>
                  <w:tcW w:w="1251" w:type="dxa"/>
                  <w:vAlign w:val="center"/>
                </w:tcPr>
                <w:p w14:paraId="24AB4FF8">
                  <w:pPr>
                    <w:autoSpaceDN w:val="0"/>
                    <w:adjustRightInd w:val="0"/>
                    <w:snapToGrid w:val="0"/>
                    <w:jc w:val="center"/>
                    <w:rPr>
                      <w:color w:val="auto"/>
                    </w:rPr>
                  </w:pPr>
                  <w:r>
                    <w:rPr>
                      <w:color w:val="auto"/>
                    </w:rPr>
                    <w:t>4000V/m</w:t>
                  </w:r>
                </w:p>
              </w:tc>
              <w:tc>
                <w:tcPr>
                  <w:tcW w:w="3239" w:type="dxa"/>
                  <w:vMerge w:val="restart"/>
                  <w:vAlign w:val="center"/>
                </w:tcPr>
                <w:p w14:paraId="22B28742">
                  <w:pPr>
                    <w:autoSpaceDN w:val="0"/>
                    <w:adjustRightInd w:val="0"/>
                    <w:snapToGrid w:val="0"/>
                    <w:jc w:val="center"/>
                    <w:rPr>
                      <w:color w:val="auto"/>
                    </w:rPr>
                  </w:pPr>
                  <w:r>
                    <w:rPr>
                      <w:color w:val="auto"/>
                    </w:rPr>
                    <w:t>电磁评价范围内公众曝露控制限值</w:t>
                  </w:r>
                </w:p>
              </w:tc>
            </w:tr>
            <w:tr w14:paraId="4BB6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6" w:type="dxa"/>
                  <w:vMerge w:val="continue"/>
                  <w:vAlign w:val="center"/>
                </w:tcPr>
                <w:p w14:paraId="701A842B">
                  <w:pPr>
                    <w:adjustRightInd w:val="0"/>
                    <w:snapToGrid w:val="0"/>
                    <w:rPr>
                      <w:color w:val="auto"/>
                    </w:rPr>
                  </w:pPr>
                </w:p>
              </w:tc>
              <w:tc>
                <w:tcPr>
                  <w:tcW w:w="750" w:type="dxa"/>
                  <w:vMerge w:val="continue"/>
                  <w:vAlign w:val="center"/>
                </w:tcPr>
                <w:p w14:paraId="19C305F5">
                  <w:pPr>
                    <w:adjustRightInd w:val="0"/>
                    <w:snapToGrid w:val="0"/>
                    <w:rPr>
                      <w:color w:val="auto"/>
                    </w:rPr>
                  </w:pPr>
                </w:p>
              </w:tc>
              <w:tc>
                <w:tcPr>
                  <w:tcW w:w="1799" w:type="dxa"/>
                  <w:vAlign w:val="center"/>
                </w:tcPr>
                <w:p w14:paraId="73F0882A">
                  <w:pPr>
                    <w:autoSpaceDN w:val="0"/>
                    <w:adjustRightInd w:val="0"/>
                    <w:snapToGrid w:val="0"/>
                    <w:jc w:val="center"/>
                    <w:rPr>
                      <w:color w:val="auto"/>
                      <w:w w:val="85"/>
                    </w:rPr>
                  </w:pPr>
                  <w:r>
                    <w:rPr>
                      <w:color w:val="auto"/>
                    </w:rPr>
                    <w:t>工频磁感应强度</w:t>
                  </w:r>
                </w:p>
              </w:tc>
              <w:tc>
                <w:tcPr>
                  <w:tcW w:w="1251" w:type="dxa"/>
                  <w:vAlign w:val="center"/>
                </w:tcPr>
                <w:p w14:paraId="55C2BDEE">
                  <w:pPr>
                    <w:autoSpaceDN w:val="0"/>
                    <w:adjustRightInd w:val="0"/>
                    <w:snapToGrid w:val="0"/>
                    <w:jc w:val="center"/>
                    <w:rPr>
                      <w:color w:val="auto"/>
                    </w:rPr>
                  </w:pPr>
                  <w:r>
                    <w:rPr>
                      <w:color w:val="auto"/>
                    </w:rPr>
                    <w:t>100μT</w:t>
                  </w:r>
                </w:p>
              </w:tc>
              <w:tc>
                <w:tcPr>
                  <w:tcW w:w="3239" w:type="dxa"/>
                  <w:vMerge w:val="continue"/>
                  <w:vAlign w:val="center"/>
                </w:tcPr>
                <w:p w14:paraId="73AB5ADE">
                  <w:pPr>
                    <w:adjustRightInd w:val="0"/>
                    <w:snapToGrid w:val="0"/>
                    <w:rPr>
                      <w:color w:val="auto"/>
                    </w:rPr>
                  </w:pPr>
                </w:p>
              </w:tc>
            </w:tr>
            <w:tr w14:paraId="4BF7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6" w:type="dxa"/>
                  <w:vMerge w:val="continue"/>
                  <w:vAlign w:val="center"/>
                </w:tcPr>
                <w:p w14:paraId="73FD931D">
                  <w:pPr>
                    <w:adjustRightInd w:val="0"/>
                    <w:snapToGrid w:val="0"/>
                    <w:rPr>
                      <w:color w:val="auto"/>
                    </w:rPr>
                  </w:pPr>
                </w:p>
              </w:tc>
              <w:tc>
                <w:tcPr>
                  <w:tcW w:w="750" w:type="dxa"/>
                  <w:vMerge w:val="continue"/>
                  <w:vAlign w:val="center"/>
                </w:tcPr>
                <w:p w14:paraId="2066BA20">
                  <w:pPr>
                    <w:adjustRightInd w:val="0"/>
                    <w:snapToGrid w:val="0"/>
                    <w:rPr>
                      <w:color w:val="auto"/>
                    </w:rPr>
                  </w:pPr>
                </w:p>
              </w:tc>
              <w:tc>
                <w:tcPr>
                  <w:tcW w:w="1799" w:type="dxa"/>
                  <w:vAlign w:val="center"/>
                </w:tcPr>
                <w:p w14:paraId="4562FF26">
                  <w:pPr>
                    <w:autoSpaceDN w:val="0"/>
                    <w:adjustRightInd w:val="0"/>
                    <w:snapToGrid w:val="0"/>
                    <w:jc w:val="center"/>
                    <w:rPr>
                      <w:color w:val="auto"/>
                    </w:rPr>
                  </w:pPr>
                  <w:r>
                    <w:rPr>
                      <w:color w:val="auto"/>
                    </w:rPr>
                    <w:t>工频电场强度</w:t>
                  </w:r>
                </w:p>
              </w:tc>
              <w:tc>
                <w:tcPr>
                  <w:tcW w:w="1251" w:type="dxa"/>
                  <w:vAlign w:val="center"/>
                </w:tcPr>
                <w:p w14:paraId="01ADD899">
                  <w:pPr>
                    <w:autoSpaceDN w:val="0"/>
                    <w:adjustRightInd w:val="0"/>
                    <w:snapToGrid w:val="0"/>
                    <w:jc w:val="center"/>
                    <w:rPr>
                      <w:color w:val="auto"/>
                    </w:rPr>
                  </w:pPr>
                  <w:r>
                    <w:rPr>
                      <w:color w:val="auto"/>
                    </w:rPr>
                    <w:t>10kV/m</w:t>
                  </w:r>
                </w:p>
              </w:tc>
              <w:tc>
                <w:tcPr>
                  <w:tcW w:w="3239" w:type="dxa"/>
                  <w:vAlign w:val="center"/>
                </w:tcPr>
                <w:p w14:paraId="35D07F7E">
                  <w:pPr>
                    <w:autoSpaceDN w:val="0"/>
                    <w:adjustRightInd w:val="0"/>
                    <w:snapToGrid w:val="0"/>
                    <w:jc w:val="center"/>
                    <w:rPr>
                      <w:color w:val="auto"/>
                    </w:rPr>
                  </w:pPr>
                  <w:r>
                    <w:rPr>
                      <w:color w:val="auto"/>
                    </w:rPr>
                    <w:t>架空线路线下的耕地、园地、牧草地、畜禽饲养地、养殖水面、道路等场所的电磁环境</w:t>
                  </w:r>
                </w:p>
              </w:tc>
            </w:tr>
          </w:tbl>
          <w:p w14:paraId="46E6AFC7">
            <w:pPr>
              <w:spacing w:line="360" w:lineRule="auto"/>
              <w:rPr>
                <w:b/>
                <w:color w:val="auto"/>
                <w:sz w:val="24"/>
              </w:rPr>
            </w:pPr>
            <w:r>
              <w:rPr>
                <w:b/>
                <w:color w:val="auto"/>
                <w:sz w:val="24"/>
              </w:rPr>
              <w:t>2、污染物排放标准</w:t>
            </w:r>
          </w:p>
          <w:p w14:paraId="7F3D46AD">
            <w:pPr>
              <w:autoSpaceDN w:val="0"/>
              <w:spacing w:line="360" w:lineRule="auto"/>
              <w:ind w:firstLine="480" w:firstLineChars="200"/>
              <w:rPr>
                <w:color w:val="auto"/>
                <w:sz w:val="24"/>
              </w:rPr>
            </w:pPr>
            <w:r>
              <w:rPr>
                <w:color w:val="auto"/>
                <w:sz w:val="24"/>
              </w:rPr>
              <w:t>本项目施工期噪声排放执行《建筑施工场界环境噪声排放标准》（GB12523~2011）中相关要求，详见表3-9。</w:t>
            </w:r>
          </w:p>
          <w:p w14:paraId="06A49624">
            <w:pPr>
              <w:autoSpaceDN w:val="0"/>
              <w:spacing w:line="360" w:lineRule="auto"/>
              <w:jc w:val="center"/>
              <w:rPr>
                <w:b/>
                <w:bCs/>
                <w:color w:val="auto"/>
                <w:sz w:val="24"/>
              </w:rPr>
            </w:pPr>
            <w:r>
              <w:rPr>
                <w:b/>
                <w:bCs/>
                <w:color w:val="auto"/>
                <w:sz w:val="24"/>
              </w:rPr>
              <w:t>表3-9  项目执行的污染物排放标准明细表</w:t>
            </w:r>
          </w:p>
          <w:tbl>
            <w:tblPr>
              <w:tblStyle w:val="27"/>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24"/>
              <w:gridCol w:w="950"/>
              <w:gridCol w:w="1317"/>
              <w:gridCol w:w="1817"/>
              <w:gridCol w:w="1936"/>
            </w:tblGrid>
            <w:tr w14:paraId="3AC4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trPr>
              <w:tc>
                <w:tcPr>
                  <w:tcW w:w="731" w:type="dxa"/>
                  <w:vMerge w:val="restart"/>
                  <w:vAlign w:val="center"/>
                </w:tcPr>
                <w:p w14:paraId="722AA52E">
                  <w:pPr>
                    <w:autoSpaceDN w:val="0"/>
                    <w:snapToGrid w:val="0"/>
                    <w:jc w:val="center"/>
                    <w:rPr>
                      <w:color w:val="auto"/>
                    </w:rPr>
                  </w:pPr>
                  <w:r>
                    <w:rPr>
                      <w:color w:val="auto"/>
                    </w:rPr>
                    <w:t>要素</w:t>
                  </w:r>
                </w:p>
                <w:p w14:paraId="0193A87C">
                  <w:pPr>
                    <w:autoSpaceDN w:val="0"/>
                    <w:snapToGrid w:val="0"/>
                    <w:jc w:val="center"/>
                    <w:rPr>
                      <w:color w:val="auto"/>
                    </w:rPr>
                  </w:pPr>
                  <w:r>
                    <w:rPr>
                      <w:color w:val="auto"/>
                    </w:rPr>
                    <w:t>分类</w:t>
                  </w:r>
                </w:p>
              </w:tc>
              <w:tc>
                <w:tcPr>
                  <w:tcW w:w="2124" w:type="dxa"/>
                  <w:vMerge w:val="restart"/>
                  <w:vAlign w:val="center"/>
                </w:tcPr>
                <w:p w14:paraId="1CB48B8C">
                  <w:pPr>
                    <w:autoSpaceDN w:val="0"/>
                    <w:snapToGrid w:val="0"/>
                    <w:jc w:val="center"/>
                    <w:rPr>
                      <w:color w:val="auto"/>
                    </w:rPr>
                  </w:pPr>
                  <w:r>
                    <w:rPr>
                      <w:color w:val="auto"/>
                    </w:rPr>
                    <w:t>标准名称</w:t>
                  </w:r>
                </w:p>
              </w:tc>
              <w:tc>
                <w:tcPr>
                  <w:tcW w:w="950" w:type="dxa"/>
                  <w:vMerge w:val="restart"/>
                  <w:vAlign w:val="center"/>
                </w:tcPr>
                <w:p w14:paraId="612C0FBA">
                  <w:pPr>
                    <w:autoSpaceDN w:val="0"/>
                    <w:snapToGrid w:val="0"/>
                    <w:jc w:val="center"/>
                    <w:rPr>
                      <w:color w:val="auto"/>
                    </w:rPr>
                  </w:pPr>
                  <w:r>
                    <w:rPr>
                      <w:color w:val="auto"/>
                    </w:rPr>
                    <w:t>适用</w:t>
                  </w:r>
                </w:p>
                <w:p w14:paraId="465DC10F">
                  <w:pPr>
                    <w:autoSpaceDN w:val="0"/>
                    <w:snapToGrid w:val="0"/>
                    <w:jc w:val="center"/>
                    <w:rPr>
                      <w:color w:val="auto"/>
                    </w:rPr>
                  </w:pPr>
                  <w:r>
                    <w:rPr>
                      <w:color w:val="auto"/>
                    </w:rPr>
                    <w:t>类别</w:t>
                  </w:r>
                </w:p>
              </w:tc>
              <w:tc>
                <w:tcPr>
                  <w:tcW w:w="3134" w:type="dxa"/>
                  <w:gridSpan w:val="2"/>
                  <w:vAlign w:val="center"/>
                </w:tcPr>
                <w:p w14:paraId="584BE5C2">
                  <w:pPr>
                    <w:autoSpaceDN w:val="0"/>
                    <w:snapToGrid w:val="0"/>
                    <w:jc w:val="center"/>
                    <w:rPr>
                      <w:color w:val="auto"/>
                    </w:rPr>
                  </w:pPr>
                  <w:r>
                    <w:rPr>
                      <w:color w:val="auto"/>
                    </w:rPr>
                    <w:t>标准值</w:t>
                  </w:r>
                </w:p>
              </w:tc>
              <w:tc>
                <w:tcPr>
                  <w:tcW w:w="1936" w:type="dxa"/>
                  <w:vMerge w:val="restart"/>
                  <w:vAlign w:val="center"/>
                </w:tcPr>
                <w:p w14:paraId="7E2FD882">
                  <w:pPr>
                    <w:autoSpaceDN w:val="0"/>
                    <w:snapToGrid w:val="0"/>
                    <w:jc w:val="center"/>
                    <w:rPr>
                      <w:color w:val="auto"/>
                    </w:rPr>
                  </w:pPr>
                  <w:r>
                    <w:rPr>
                      <w:color w:val="auto"/>
                    </w:rPr>
                    <w:t>评价对象</w:t>
                  </w:r>
                </w:p>
              </w:tc>
            </w:tr>
            <w:tr w14:paraId="3149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731" w:type="dxa"/>
                  <w:vMerge w:val="continue"/>
                  <w:vAlign w:val="center"/>
                </w:tcPr>
                <w:p w14:paraId="425423C3">
                  <w:pPr>
                    <w:autoSpaceDN w:val="0"/>
                    <w:snapToGrid w:val="0"/>
                    <w:jc w:val="center"/>
                    <w:rPr>
                      <w:color w:val="auto"/>
                    </w:rPr>
                  </w:pPr>
                </w:p>
              </w:tc>
              <w:tc>
                <w:tcPr>
                  <w:tcW w:w="2124" w:type="dxa"/>
                  <w:vMerge w:val="continue"/>
                  <w:vAlign w:val="center"/>
                </w:tcPr>
                <w:p w14:paraId="130BFE11">
                  <w:pPr>
                    <w:autoSpaceDN w:val="0"/>
                    <w:snapToGrid w:val="0"/>
                    <w:jc w:val="center"/>
                    <w:rPr>
                      <w:color w:val="auto"/>
                    </w:rPr>
                  </w:pPr>
                </w:p>
              </w:tc>
              <w:tc>
                <w:tcPr>
                  <w:tcW w:w="950" w:type="dxa"/>
                  <w:vMerge w:val="continue"/>
                  <w:vAlign w:val="center"/>
                </w:tcPr>
                <w:p w14:paraId="2A0827F0">
                  <w:pPr>
                    <w:autoSpaceDN w:val="0"/>
                    <w:snapToGrid w:val="0"/>
                    <w:jc w:val="center"/>
                    <w:rPr>
                      <w:color w:val="auto"/>
                    </w:rPr>
                  </w:pPr>
                </w:p>
              </w:tc>
              <w:tc>
                <w:tcPr>
                  <w:tcW w:w="1317" w:type="dxa"/>
                  <w:vAlign w:val="center"/>
                </w:tcPr>
                <w:p w14:paraId="6ABD73A7">
                  <w:pPr>
                    <w:autoSpaceDN w:val="0"/>
                    <w:snapToGrid w:val="0"/>
                    <w:jc w:val="center"/>
                    <w:rPr>
                      <w:color w:val="auto"/>
                    </w:rPr>
                  </w:pPr>
                  <w:r>
                    <w:rPr>
                      <w:color w:val="auto"/>
                    </w:rPr>
                    <w:t>参数名称</w:t>
                  </w:r>
                </w:p>
              </w:tc>
              <w:tc>
                <w:tcPr>
                  <w:tcW w:w="1817" w:type="dxa"/>
                  <w:vAlign w:val="center"/>
                </w:tcPr>
                <w:p w14:paraId="2BB3A0E3">
                  <w:pPr>
                    <w:autoSpaceDN w:val="0"/>
                    <w:snapToGrid w:val="0"/>
                    <w:jc w:val="center"/>
                    <w:rPr>
                      <w:color w:val="auto"/>
                    </w:rPr>
                  </w:pPr>
                  <w:r>
                    <w:rPr>
                      <w:color w:val="auto"/>
                    </w:rPr>
                    <w:t>限值</w:t>
                  </w:r>
                </w:p>
              </w:tc>
              <w:tc>
                <w:tcPr>
                  <w:tcW w:w="1936" w:type="dxa"/>
                  <w:vMerge w:val="continue"/>
                  <w:vAlign w:val="center"/>
                </w:tcPr>
                <w:p w14:paraId="5FBA3186">
                  <w:pPr>
                    <w:pStyle w:val="35"/>
                    <w:autoSpaceDN w:val="0"/>
                    <w:snapToGrid w:val="0"/>
                    <w:spacing w:after="0" w:line="240" w:lineRule="auto"/>
                    <w:outlineLvl w:val="9"/>
                    <w:rPr>
                      <w:rFonts w:ascii="Times New Roman" w:hAnsi="Times New Roman" w:eastAsia="宋体" w:cs="Times New Roman"/>
                      <w:color w:val="auto"/>
                    </w:rPr>
                  </w:pPr>
                </w:p>
              </w:tc>
            </w:tr>
            <w:tr w14:paraId="5423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31" w:type="dxa"/>
                  <w:vAlign w:val="center"/>
                </w:tcPr>
                <w:p w14:paraId="64DBCB04">
                  <w:pPr>
                    <w:autoSpaceDN w:val="0"/>
                    <w:snapToGrid w:val="0"/>
                    <w:jc w:val="center"/>
                    <w:rPr>
                      <w:color w:val="auto"/>
                    </w:rPr>
                  </w:pPr>
                  <w:r>
                    <w:rPr>
                      <w:color w:val="auto"/>
                    </w:rPr>
                    <w:t>施工噪声</w:t>
                  </w:r>
                </w:p>
              </w:tc>
              <w:tc>
                <w:tcPr>
                  <w:tcW w:w="2124" w:type="dxa"/>
                  <w:vAlign w:val="center"/>
                </w:tcPr>
                <w:p w14:paraId="5D0195AA">
                  <w:pPr>
                    <w:autoSpaceDN w:val="0"/>
                    <w:snapToGrid w:val="0"/>
                    <w:jc w:val="center"/>
                    <w:rPr>
                      <w:color w:val="auto"/>
                    </w:rPr>
                  </w:pPr>
                  <w:r>
                    <w:rPr>
                      <w:color w:val="auto"/>
                    </w:rPr>
                    <w:t>《建筑施工场界环境噪声排放标准》（GB12523-2011）</w:t>
                  </w:r>
                </w:p>
              </w:tc>
              <w:tc>
                <w:tcPr>
                  <w:tcW w:w="2267" w:type="dxa"/>
                  <w:gridSpan w:val="2"/>
                  <w:vAlign w:val="center"/>
                </w:tcPr>
                <w:p w14:paraId="20B32EF4">
                  <w:pPr>
                    <w:jc w:val="center"/>
                    <w:rPr>
                      <w:color w:val="auto"/>
                    </w:rPr>
                  </w:pPr>
                  <w:r>
                    <w:rPr>
                      <w:color w:val="auto"/>
                    </w:rPr>
                    <w:t>等效连续A声级Leq</w:t>
                  </w:r>
                </w:p>
              </w:tc>
              <w:tc>
                <w:tcPr>
                  <w:tcW w:w="1817" w:type="dxa"/>
                  <w:vAlign w:val="center"/>
                </w:tcPr>
                <w:p w14:paraId="36C35DE6">
                  <w:pPr>
                    <w:autoSpaceDN w:val="0"/>
                    <w:snapToGrid w:val="0"/>
                    <w:jc w:val="center"/>
                    <w:rPr>
                      <w:color w:val="auto"/>
                    </w:rPr>
                  </w:pPr>
                  <w:r>
                    <w:rPr>
                      <w:color w:val="auto"/>
                    </w:rPr>
                    <w:t>昼间70dB(A)</w:t>
                  </w:r>
                </w:p>
                <w:p w14:paraId="4ABC5CD8">
                  <w:pPr>
                    <w:autoSpaceDN w:val="0"/>
                    <w:snapToGrid w:val="0"/>
                    <w:jc w:val="center"/>
                    <w:rPr>
                      <w:color w:val="auto"/>
                    </w:rPr>
                  </w:pPr>
                  <w:r>
                    <w:rPr>
                      <w:color w:val="auto"/>
                    </w:rPr>
                    <w:t>夜间55dB(A)</w:t>
                  </w:r>
                </w:p>
              </w:tc>
              <w:tc>
                <w:tcPr>
                  <w:tcW w:w="1936" w:type="dxa"/>
                  <w:vAlign w:val="center"/>
                </w:tcPr>
                <w:p w14:paraId="7AFB85C6">
                  <w:pPr>
                    <w:autoSpaceDN w:val="0"/>
                    <w:snapToGrid w:val="0"/>
                    <w:jc w:val="center"/>
                    <w:rPr>
                      <w:color w:val="auto"/>
                    </w:rPr>
                  </w:pPr>
                  <w:r>
                    <w:rPr>
                      <w:color w:val="auto"/>
                    </w:rPr>
                    <w:t>施工期场界噪声</w:t>
                  </w:r>
                </w:p>
              </w:tc>
            </w:tr>
          </w:tbl>
          <w:p w14:paraId="0CE0BF33">
            <w:pPr>
              <w:pStyle w:val="2"/>
              <w:rPr>
                <w:rFonts w:ascii="Times New Roman" w:hAnsi="Times New Roman" w:cs="Times New Roman"/>
                <w:b/>
                <w:bCs/>
                <w:color w:val="auto"/>
                <w:sz w:val="24"/>
              </w:rPr>
            </w:pPr>
          </w:p>
          <w:p w14:paraId="0475F2EC">
            <w:pPr>
              <w:pStyle w:val="2"/>
              <w:rPr>
                <w:rFonts w:ascii="Times New Roman" w:hAnsi="Times New Roman" w:cs="Times New Roman"/>
                <w:b/>
                <w:bCs/>
                <w:color w:val="auto"/>
                <w:sz w:val="24"/>
              </w:rPr>
            </w:pPr>
          </w:p>
          <w:p w14:paraId="06CE246D">
            <w:pPr>
              <w:pStyle w:val="2"/>
              <w:rPr>
                <w:rFonts w:ascii="Times New Roman" w:hAnsi="Times New Roman" w:cs="Times New Roman"/>
                <w:b/>
                <w:bCs/>
                <w:color w:val="auto"/>
                <w:sz w:val="24"/>
              </w:rPr>
            </w:pPr>
          </w:p>
          <w:p w14:paraId="12E2DE35">
            <w:pPr>
              <w:pStyle w:val="2"/>
              <w:rPr>
                <w:rFonts w:ascii="Times New Roman" w:hAnsi="Times New Roman" w:cs="Times New Roman"/>
                <w:b/>
                <w:bCs/>
                <w:color w:val="auto"/>
                <w:sz w:val="24"/>
              </w:rPr>
            </w:pPr>
          </w:p>
          <w:p w14:paraId="3AD27640">
            <w:pPr>
              <w:pStyle w:val="2"/>
              <w:rPr>
                <w:rFonts w:ascii="Times New Roman" w:hAnsi="Times New Roman" w:cs="Times New Roman"/>
                <w:b/>
                <w:bCs/>
                <w:color w:val="auto"/>
                <w:sz w:val="24"/>
              </w:rPr>
            </w:pPr>
          </w:p>
          <w:p w14:paraId="53A5913F">
            <w:pPr>
              <w:pStyle w:val="2"/>
              <w:rPr>
                <w:rFonts w:ascii="Times New Roman" w:hAnsi="Times New Roman" w:cs="Times New Roman"/>
                <w:b/>
                <w:bCs/>
                <w:color w:val="auto"/>
                <w:sz w:val="24"/>
              </w:rPr>
            </w:pPr>
          </w:p>
          <w:p w14:paraId="1E0EA832">
            <w:pPr>
              <w:pStyle w:val="2"/>
              <w:rPr>
                <w:rFonts w:ascii="Times New Roman" w:hAnsi="Times New Roman" w:cs="Times New Roman"/>
                <w:b/>
                <w:bCs/>
                <w:color w:val="auto"/>
                <w:sz w:val="24"/>
              </w:rPr>
            </w:pPr>
          </w:p>
          <w:p w14:paraId="64DDF2C5">
            <w:pPr>
              <w:pStyle w:val="2"/>
              <w:rPr>
                <w:rFonts w:ascii="Times New Roman" w:hAnsi="Times New Roman" w:cs="Times New Roman"/>
                <w:b/>
                <w:bCs/>
                <w:color w:val="auto"/>
                <w:sz w:val="24"/>
              </w:rPr>
            </w:pPr>
          </w:p>
          <w:p w14:paraId="2D08E787">
            <w:pPr>
              <w:pStyle w:val="2"/>
              <w:rPr>
                <w:rFonts w:ascii="Times New Roman" w:hAnsi="Times New Roman" w:cs="Times New Roman"/>
                <w:b/>
                <w:bCs/>
                <w:color w:val="auto"/>
                <w:sz w:val="24"/>
              </w:rPr>
            </w:pPr>
          </w:p>
          <w:p w14:paraId="2D78979F">
            <w:pPr>
              <w:pStyle w:val="2"/>
              <w:rPr>
                <w:rFonts w:ascii="Times New Roman" w:hAnsi="Times New Roman" w:cs="Times New Roman"/>
                <w:b/>
                <w:bCs/>
                <w:color w:val="auto"/>
                <w:sz w:val="24"/>
              </w:rPr>
            </w:pPr>
          </w:p>
          <w:p w14:paraId="39D9D3F1">
            <w:pPr>
              <w:pStyle w:val="2"/>
              <w:rPr>
                <w:rFonts w:ascii="Times New Roman" w:hAnsi="Times New Roman" w:cs="Times New Roman"/>
                <w:b/>
                <w:bCs/>
                <w:color w:val="auto"/>
                <w:sz w:val="24"/>
              </w:rPr>
            </w:pPr>
          </w:p>
          <w:p w14:paraId="191046D2">
            <w:pPr>
              <w:pStyle w:val="2"/>
              <w:rPr>
                <w:rFonts w:ascii="Times New Roman" w:hAnsi="Times New Roman" w:cs="Times New Roman"/>
                <w:b/>
                <w:bCs/>
                <w:color w:val="auto"/>
                <w:sz w:val="24"/>
              </w:rPr>
            </w:pPr>
          </w:p>
          <w:p w14:paraId="73234091">
            <w:pPr>
              <w:pStyle w:val="2"/>
              <w:rPr>
                <w:rFonts w:ascii="Times New Roman" w:hAnsi="Times New Roman" w:cs="Times New Roman"/>
                <w:b/>
                <w:bCs/>
                <w:color w:val="auto"/>
                <w:sz w:val="24"/>
              </w:rPr>
            </w:pPr>
          </w:p>
          <w:p w14:paraId="38497456">
            <w:pPr>
              <w:pStyle w:val="2"/>
              <w:rPr>
                <w:rFonts w:ascii="Times New Roman" w:hAnsi="Times New Roman" w:cs="Times New Roman"/>
                <w:b/>
                <w:bCs/>
                <w:color w:val="auto"/>
                <w:sz w:val="24"/>
              </w:rPr>
            </w:pPr>
          </w:p>
          <w:p w14:paraId="05F1E31F">
            <w:pPr>
              <w:pStyle w:val="2"/>
              <w:rPr>
                <w:rFonts w:ascii="Times New Roman" w:hAnsi="Times New Roman" w:cs="Times New Roman"/>
                <w:b/>
                <w:bCs/>
                <w:color w:val="auto"/>
                <w:sz w:val="24"/>
              </w:rPr>
            </w:pPr>
          </w:p>
          <w:p w14:paraId="4652FDCD">
            <w:pPr>
              <w:pStyle w:val="2"/>
              <w:rPr>
                <w:rFonts w:ascii="Times New Roman" w:hAnsi="Times New Roman" w:cs="Times New Roman"/>
                <w:b/>
                <w:bCs/>
                <w:color w:val="auto"/>
                <w:sz w:val="24"/>
              </w:rPr>
            </w:pPr>
          </w:p>
          <w:p w14:paraId="39658836">
            <w:pPr>
              <w:pStyle w:val="2"/>
              <w:rPr>
                <w:rFonts w:ascii="Times New Roman" w:hAnsi="Times New Roman" w:cs="Times New Roman"/>
                <w:b/>
                <w:bCs/>
                <w:color w:val="auto"/>
                <w:sz w:val="24"/>
              </w:rPr>
            </w:pPr>
          </w:p>
          <w:p w14:paraId="01176B19">
            <w:pPr>
              <w:pStyle w:val="2"/>
              <w:rPr>
                <w:rFonts w:ascii="Times New Roman" w:hAnsi="Times New Roman" w:cs="Times New Roman"/>
                <w:b/>
                <w:bCs/>
                <w:color w:val="auto"/>
                <w:sz w:val="24"/>
              </w:rPr>
            </w:pPr>
          </w:p>
          <w:p w14:paraId="4A83E1AB">
            <w:pPr>
              <w:pStyle w:val="2"/>
              <w:rPr>
                <w:rFonts w:ascii="Times New Roman" w:hAnsi="Times New Roman" w:cs="Times New Roman"/>
                <w:b/>
                <w:bCs/>
                <w:color w:val="auto"/>
                <w:sz w:val="24"/>
              </w:rPr>
            </w:pPr>
          </w:p>
          <w:p w14:paraId="79E9B93A">
            <w:pPr>
              <w:pStyle w:val="2"/>
              <w:rPr>
                <w:rFonts w:ascii="Times New Roman" w:hAnsi="Times New Roman" w:cs="Times New Roman"/>
                <w:b/>
                <w:bCs/>
                <w:color w:val="auto"/>
                <w:sz w:val="24"/>
              </w:rPr>
            </w:pPr>
          </w:p>
          <w:p w14:paraId="51BA6D5B">
            <w:pPr>
              <w:pStyle w:val="2"/>
              <w:rPr>
                <w:rFonts w:ascii="Times New Roman" w:hAnsi="Times New Roman" w:cs="Times New Roman"/>
                <w:b/>
                <w:bCs/>
                <w:color w:val="auto"/>
                <w:sz w:val="24"/>
              </w:rPr>
            </w:pPr>
          </w:p>
          <w:p w14:paraId="5CC6F285">
            <w:pPr>
              <w:pStyle w:val="2"/>
              <w:rPr>
                <w:rFonts w:ascii="Times New Roman" w:hAnsi="Times New Roman" w:cs="Times New Roman"/>
                <w:b/>
                <w:bCs/>
                <w:color w:val="auto"/>
                <w:sz w:val="24"/>
              </w:rPr>
            </w:pPr>
          </w:p>
          <w:p w14:paraId="688B2AD3">
            <w:pPr>
              <w:pStyle w:val="2"/>
              <w:rPr>
                <w:rFonts w:ascii="Times New Roman" w:hAnsi="Times New Roman" w:cs="Times New Roman"/>
                <w:b/>
                <w:bCs/>
                <w:color w:val="auto"/>
                <w:sz w:val="24"/>
              </w:rPr>
            </w:pPr>
          </w:p>
          <w:p w14:paraId="674DB23E">
            <w:pPr>
              <w:spacing w:line="360" w:lineRule="auto"/>
              <w:ind w:firstLine="480" w:firstLineChars="200"/>
              <w:rPr>
                <w:color w:val="auto"/>
                <w:kern w:val="0"/>
                <w:sz w:val="24"/>
              </w:rPr>
            </w:pPr>
          </w:p>
        </w:tc>
      </w:tr>
      <w:tr w14:paraId="3289A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05E63914">
            <w:pPr>
              <w:adjustRightInd w:val="0"/>
              <w:snapToGrid w:val="0"/>
              <w:spacing w:line="360" w:lineRule="auto"/>
              <w:jc w:val="center"/>
              <w:rPr>
                <w:b/>
                <w:color w:val="auto"/>
                <w:kern w:val="0"/>
                <w:sz w:val="24"/>
              </w:rPr>
            </w:pPr>
            <w:r>
              <w:rPr>
                <w:b/>
                <w:color w:val="auto"/>
                <w:kern w:val="0"/>
                <w:sz w:val="24"/>
              </w:rPr>
              <w:t>其他</w:t>
            </w:r>
          </w:p>
        </w:tc>
        <w:tc>
          <w:tcPr>
            <w:tcW w:w="9101" w:type="dxa"/>
            <w:vAlign w:val="center"/>
          </w:tcPr>
          <w:p w14:paraId="18F5BD7C">
            <w:pPr>
              <w:spacing w:line="360" w:lineRule="auto"/>
              <w:ind w:firstLine="480" w:firstLineChars="200"/>
              <w:rPr>
                <w:color w:val="auto"/>
                <w:sz w:val="24"/>
              </w:rPr>
            </w:pPr>
            <w:r>
              <w:rPr>
                <w:color w:val="auto"/>
                <w:sz w:val="24"/>
              </w:rPr>
              <w:t>本工程为输电线路迁改项目，</w:t>
            </w:r>
            <w:r>
              <w:rPr>
                <w:bCs/>
                <w:color w:val="auto"/>
                <w:sz w:val="24"/>
              </w:rPr>
              <w:t>工程</w:t>
            </w:r>
            <w:r>
              <w:rPr>
                <w:color w:val="auto"/>
                <w:sz w:val="24"/>
              </w:rPr>
              <w:t>建成运行后其特征污染物主要为工频电场、工频磁场及噪声，均不属于总量控制指标，因此，无需设置总量控制指标。</w:t>
            </w:r>
          </w:p>
          <w:p w14:paraId="72BE4BAE">
            <w:pPr>
              <w:pStyle w:val="2"/>
              <w:rPr>
                <w:rFonts w:ascii="Times New Roman" w:hAnsi="Times New Roman" w:cs="Times New Roman"/>
                <w:color w:val="auto"/>
                <w:sz w:val="24"/>
              </w:rPr>
            </w:pPr>
          </w:p>
          <w:p w14:paraId="69BAFBC0">
            <w:pPr>
              <w:pStyle w:val="2"/>
              <w:rPr>
                <w:rFonts w:ascii="Times New Roman" w:hAnsi="Times New Roman" w:cs="Times New Roman"/>
                <w:color w:val="auto"/>
                <w:sz w:val="24"/>
              </w:rPr>
            </w:pPr>
          </w:p>
          <w:p w14:paraId="6729BE47">
            <w:pPr>
              <w:pStyle w:val="2"/>
              <w:rPr>
                <w:rFonts w:ascii="Times New Roman" w:hAnsi="Times New Roman" w:cs="Times New Roman"/>
                <w:color w:val="auto"/>
                <w:sz w:val="24"/>
              </w:rPr>
            </w:pPr>
          </w:p>
          <w:p w14:paraId="7C921C7D">
            <w:pPr>
              <w:pStyle w:val="2"/>
              <w:rPr>
                <w:rFonts w:ascii="Times New Roman" w:hAnsi="Times New Roman" w:cs="Times New Roman"/>
                <w:color w:val="auto"/>
                <w:sz w:val="24"/>
              </w:rPr>
            </w:pPr>
          </w:p>
          <w:p w14:paraId="7DFCE280">
            <w:pPr>
              <w:spacing w:line="360" w:lineRule="auto"/>
              <w:ind w:firstLine="480" w:firstLineChars="200"/>
              <w:rPr>
                <w:color w:val="auto"/>
                <w:sz w:val="24"/>
              </w:rPr>
            </w:pPr>
          </w:p>
        </w:tc>
      </w:tr>
    </w:tbl>
    <w:p w14:paraId="3217C509">
      <w:pPr>
        <w:rPr>
          <w:color w:val="auto"/>
        </w:rPr>
        <w:sectPr>
          <w:pgSz w:w="11906" w:h="16838"/>
          <w:pgMar w:top="1134" w:right="1134" w:bottom="1134" w:left="1134" w:header="851" w:footer="992" w:gutter="0"/>
          <w:cols w:space="425" w:num="1"/>
          <w:docGrid w:linePitch="312" w:charSpace="0"/>
        </w:sectPr>
      </w:pPr>
    </w:p>
    <w:p w14:paraId="4664E7E9">
      <w:pPr>
        <w:pStyle w:val="24"/>
        <w:spacing w:before="0" w:beforeAutospacing="0" w:after="0" w:afterAutospacing="0" w:line="360" w:lineRule="auto"/>
        <w:jc w:val="center"/>
        <w:outlineLvl w:val="0"/>
        <w:rPr>
          <w:rFonts w:ascii="Times New Roman" w:hAnsi="Times New Roman"/>
          <w:b/>
          <w:snapToGrid w:val="0"/>
          <w:color w:val="auto"/>
          <w:sz w:val="30"/>
          <w:szCs w:val="30"/>
        </w:rPr>
      </w:pPr>
      <w:bookmarkStart w:id="10" w:name="_Toc63026907"/>
      <w:r>
        <w:rPr>
          <w:rFonts w:ascii="Times New Roman" w:hAnsi="Times New Roman"/>
          <w:b/>
          <w:snapToGrid w:val="0"/>
          <w:color w:val="auto"/>
          <w:sz w:val="30"/>
          <w:szCs w:val="30"/>
        </w:rPr>
        <w:t>四、生态环境影响分析</w:t>
      </w:r>
      <w:bookmarkEnd w:id="10"/>
    </w:p>
    <w:tbl>
      <w:tblPr>
        <w:tblStyle w:val="27"/>
        <w:tblW w:w="97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947"/>
      </w:tblGrid>
      <w:tr w14:paraId="03EB7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7" w:type="dxa"/>
            <w:tcMar>
              <w:left w:w="28" w:type="dxa"/>
              <w:right w:w="28" w:type="dxa"/>
            </w:tcMar>
            <w:vAlign w:val="center"/>
          </w:tcPr>
          <w:p w14:paraId="1D77DEF5">
            <w:pPr>
              <w:widowControl/>
              <w:adjustRightInd w:val="0"/>
              <w:snapToGrid w:val="0"/>
              <w:spacing w:line="360" w:lineRule="auto"/>
              <w:jc w:val="center"/>
              <w:rPr>
                <w:b/>
                <w:bCs/>
                <w:color w:val="auto"/>
                <w:sz w:val="24"/>
              </w:rPr>
            </w:pPr>
            <w:bookmarkStart w:id="11" w:name="_Hlk49796138"/>
            <w:r>
              <w:rPr>
                <w:b/>
                <w:bCs/>
                <w:color w:val="auto"/>
                <w:spacing w:val="10"/>
                <w:sz w:val="24"/>
              </w:rPr>
              <w:t>施工期生态环境影响分析</w:t>
            </w:r>
            <w:bookmarkEnd w:id="11"/>
          </w:p>
        </w:tc>
        <w:tc>
          <w:tcPr>
            <w:tcW w:w="8947" w:type="dxa"/>
          </w:tcPr>
          <w:p w14:paraId="3A042F41">
            <w:pPr>
              <w:adjustRightInd w:val="0"/>
              <w:snapToGrid w:val="0"/>
              <w:spacing w:line="360" w:lineRule="auto"/>
              <w:rPr>
                <w:b/>
                <w:bCs/>
                <w:color w:val="auto"/>
                <w:sz w:val="24"/>
              </w:rPr>
            </w:pPr>
            <w:r>
              <w:rPr>
                <w:b/>
                <w:bCs/>
                <w:color w:val="auto"/>
                <w:sz w:val="24"/>
              </w:rPr>
              <w:t>1、施工期产污环节</w:t>
            </w:r>
          </w:p>
          <w:p w14:paraId="3DB223FF">
            <w:pPr>
              <w:adjustRightInd w:val="0"/>
              <w:snapToGrid w:val="0"/>
              <w:spacing w:line="360" w:lineRule="auto"/>
              <w:ind w:firstLine="480" w:firstLineChars="200"/>
              <w:rPr>
                <w:bCs/>
                <w:color w:val="auto"/>
                <w:sz w:val="24"/>
              </w:rPr>
            </w:pPr>
            <w:r>
              <w:rPr>
                <w:color w:val="auto"/>
                <w:sz w:val="24"/>
              </w:rPr>
              <w:t>本项目为线路迁改工程，施工期迁改工程的建设涉及到原</w:t>
            </w:r>
            <w:r>
              <w:rPr>
                <w:bCs/>
                <w:color w:val="auto"/>
                <w:sz w:val="24"/>
              </w:rPr>
              <w:t>线路杆塔和导线的拆除及场平、新建塔基基础开挖、架线等</w:t>
            </w:r>
            <w:r>
              <w:rPr>
                <w:color w:val="auto"/>
                <w:sz w:val="24"/>
              </w:rPr>
              <w:t>一系列施工活动，会对周围环境和生态产生一定的影响，这些影响将随着工程的完成而自然消失。</w:t>
            </w:r>
          </w:p>
          <w:p w14:paraId="53A36661">
            <w:pPr>
              <w:adjustRightInd w:val="0"/>
              <w:snapToGrid w:val="0"/>
              <w:spacing w:line="360" w:lineRule="auto"/>
              <w:ind w:firstLine="480" w:firstLineChars="200"/>
              <w:rPr>
                <w:b/>
                <w:color w:val="auto"/>
              </w:rPr>
            </w:pPr>
            <w:r>
              <w:rPr>
                <w:color w:val="auto"/>
                <w:sz w:val="24"/>
              </w:rPr>
              <w:t>施工流程及主要产污节点图见图4-1。</w:t>
            </w:r>
          </w:p>
          <w:p w14:paraId="2EDCDBFB">
            <w:pPr>
              <w:autoSpaceDN w:val="0"/>
              <w:jc w:val="center"/>
              <w:rPr>
                <w:color w:val="auto"/>
                <w:sz w:val="24"/>
              </w:rPr>
            </w:pPr>
            <w:r>
              <w:rPr>
                <w:color w:val="auto"/>
                <w:sz w:val="24"/>
              </w:rPr>
              <w:drawing>
                <wp:inline distT="0" distB="0" distL="0" distR="0">
                  <wp:extent cx="5143500" cy="1722120"/>
                  <wp:effectExtent l="19050" t="0" r="0" b="0"/>
                  <wp:docPr id="65" name="图片 65" descr="5P1L13LL}CRQY28~L60(E6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5P1L13LL}CRQY28~L60(E6R"/>
                          <pic:cNvPicPr>
                            <a:picLocks noChangeAspect="1" noChangeArrowheads="1"/>
                          </pic:cNvPicPr>
                        </pic:nvPicPr>
                        <pic:blipFill>
                          <a:blip r:embed="rId11" cstate="print"/>
                          <a:srcRect/>
                          <a:stretch>
                            <a:fillRect/>
                          </a:stretch>
                        </pic:blipFill>
                        <pic:spPr>
                          <a:xfrm>
                            <a:off x="0" y="0"/>
                            <a:ext cx="5143500" cy="1722120"/>
                          </a:xfrm>
                          <a:prstGeom prst="rect">
                            <a:avLst/>
                          </a:prstGeom>
                          <a:noFill/>
                          <a:ln w="9525">
                            <a:noFill/>
                            <a:miter lim="800000"/>
                            <a:headEnd/>
                            <a:tailEnd/>
                          </a:ln>
                        </pic:spPr>
                      </pic:pic>
                    </a:graphicData>
                  </a:graphic>
                </wp:inline>
              </w:drawing>
            </w:r>
          </w:p>
          <w:p w14:paraId="7246101A">
            <w:pPr>
              <w:autoSpaceDN w:val="0"/>
              <w:adjustRightInd w:val="0"/>
              <w:snapToGrid w:val="0"/>
              <w:spacing w:line="360" w:lineRule="auto"/>
              <w:jc w:val="center"/>
              <w:rPr>
                <w:b/>
                <w:bCs/>
                <w:color w:val="auto"/>
                <w:sz w:val="24"/>
              </w:rPr>
            </w:pPr>
            <w:r>
              <w:rPr>
                <w:b/>
                <w:bCs/>
                <w:color w:val="auto"/>
                <w:sz w:val="24"/>
              </w:rPr>
              <w:t>图4-1  施工流程及产污节点示意图</w:t>
            </w:r>
          </w:p>
          <w:p w14:paraId="4062897B">
            <w:pPr>
              <w:tabs>
                <w:tab w:val="left" w:pos="0"/>
              </w:tabs>
              <w:snapToGrid w:val="0"/>
              <w:spacing w:before="120" w:line="360" w:lineRule="auto"/>
              <w:rPr>
                <w:b/>
                <w:color w:val="auto"/>
                <w:sz w:val="24"/>
              </w:rPr>
            </w:pPr>
            <w:r>
              <w:rPr>
                <w:b/>
                <w:color w:val="auto"/>
                <w:sz w:val="24"/>
              </w:rPr>
              <w:t>2、生态环境</w:t>
            </w:r>
          </w:p>
          <w:p w14:paraId="746D409F">
            <w:pPr>
              <w:tabs>
                <w:tab w:val="left" w:pos="0"/>
              </w:tabs>
              <w:snapToGrid w:val="0"/>
              <w:spacing w:before="20" w:after="20" w:line="360" w:lineRule="auto"/>
              <w:rPr>
                <w:b/>
                <w:color w:val="auto"/>
                <w:sz w:val="24"/>
              </w:rPr>
            </w:pPr>
            <w:r>
              <w:rPr>
                <w:b/>
                <w:color w:val="auto"/>
                <w:sz w:val="24"/>
              </w:rPr>
              <w:t>2.1影响途径</w:t>
            </w:r>
          </w:p>
          <w:p w14:paraId="3B6966E2">
            <w:pPr>
              <w:spacing w:line="360" w:lineRule="auto"/>
              <w:ind w:firstLine="480" w:firstLineChars="200"/>
              <w:rPr>
                <w:color w:val="auto"/>
                <w:sz w:val="24"/>
              </w:rPr>
            </w:pPr>
            <w:r>
              <w:rPr>
                <w:color w:val="auto"/>
                <w:sz w:val="24"/>
              </w:rPr>
              <w:t>本项目施工期对周边生态环境的影响主要体现在项目临时占地、永久占地及施工活动带来的影响。线路塔基等永久占地处的开挖活动和牵张场地等临时占地将破坏地表植被，干扰野生动物的栖息。</w:t>
            </w:r>
          </w:p>
          <w:p w14:paraId="6A5B809A">
            <w:pPr>
              <w:tabs>
                <w:tab w:val="left" w:pos="0"/>
              </w:tabs>
              <w:snapToGrid w:val="0"/>
              <w:spacing w:before="20" w:after="20" w:line="360" w:lineRule="auto"/>
              <w:rPr>
                <w:b/>
                <w:color w:val="auto"/>
                <w:sz w:val="24"/>
              </w:rPr>
            </w:pPr>
            <w:r>
              <w:rPr>
                <w:b/>
                <w:color w:val="auto"/>
                <w:sz w:val="24"/>
              </w:rPr>
              <w:t>2.2生态环境影响分析</w:t>
            </w:r>
          </w:p>
          <w:p w14:paraId="1EF7B8F8">
            <w:pPr>
              <w:spacing w:line="360" w:lineRule="auto"/>
              <w:rPr>
                <w:b/>
                <w:bCs/>
                <w:color w:val="auto"/>
                <w:sz w:val="24"/>
              </w:rPr>
            </w:pPr>
            <w:r>
              <w:rPr>
                <w:b/>
                <w:bCs/>
                <w:color w:val="auto"/>
                <w:sz w:val="24"/>
              </w:rPr>
              <w:t>2.2.1土地利用影响</w:t>
            </w:r>
          </w:p>
          <w:p w14:paraId="60207DB2">
            <w:pPr>
              <w:autoSpaceDN w:val="0"/>
              <w:adjustRightInd w:val="0"/>
              <w:spacing w:line="360" w:lineRule="auto"/>
              <w:ind w:firstLine="480" w:firstLineChars="200"/>
              <w:rPr>
                <w:bCs/>
                <w:color w:val="auto"/>
                <w:sz w:val="24"/>
              </w:rPr>
            </w:pPr>
            <w:r>
              <w:rPr>
                <w:snapToGrid w:val="0"/>
                <w:color w:val="auto"/>
                <w:kern w:val="0"/>
                <w:sz w:val="24"/>
              </w:rPr>
              <w:t>根据可研资料，本项目总占地面积约1704m</w:t>
            </w:r>
            <w:r>
              <w:rPr>
                <w:snapToGrid w:val="0"/>
                <w:color w:val="auto"/>
                <w:kern w:val="0"/>
                <w:sz w:val="24"/>
                <w:vertAlign w:val="superscript"/>
              </w:rPr>
              <w:t>2</w:t>
            </w:r>
            <w:r>
              <w:rPr>
                <w:snapToGrid w:val="0"/>
                <w:color w:val="auto"/>
                <w:kern w:val="0"/>
                <w:sz w:val="24"/>
              </w:rPr>
              <w:t>，其中永久占地约704m</w:t>
            </w:r>
            <w:r>
              <w:rPr>
                <w:snapToGrid w:val="0"/>
                <w:color w:val="auto"/>
                <w:kern w:val="0"/>
                <w:sz w:val="24"/>
                <w:vertAlign w:val="superscript"/>
              </w:rPr>
              <w:t>2</w:t>
            </w:r>
            <w:r>
              <w:rPr>
                <w:snapToGrid w:val="0"/>
                <w:color w:val="auto"/>
                <w:kern w:val="0"/>
                <w:sz w:val="24"/>
              </w:rPr>
              <w:t>，临时占地约1000m</w:t>
            </w:r>
            <w:r>
              <w:rPr>
                <w:snapToGrid w:val="0"/>
                <w:color w:val="auto"/>
                <w:kern w:val="0"/>
                <w:sz w:val="24"/>
                <w:vertAlign w:val="superscript"/>
              </w:rPr>
              <w:t>2</w:t>
            </w:r>
            <w:r>
              <w:rPr>
                <w:snapToGrid w:val="0"/>
                <w:color w:val="auto"/>
                <w:kern w:val="0"/>
                <w:sz w:val="24"/>
              </w:rPr>
              <w:t>。永久占地为输电线路塔基用地</w:t>
            </w:r>
            <w:r>
              <w:rPr>
                <w:rFonts w:hint="eastAsia"/>
                <w:snapToGrid w:val="0"/>
                <w:color w:val="auto"/>
                <w:kern w:val="0"/>
                <w:sz w:val="24"/>
              </w:rPr>
              <w:t>，</w:t>
            </w:r>
            <w:r>
              <w:rPr>
                <w:bCs/>
                <w:color w:val="auto"/>
                <w:sz w:val="24"/>
              </w:rPr>
              <w:t>占地类型</w:t>
            </w:r>
            <w:r>
              <w:rPr>
                <w:rFonts w:hint="eastAsia"/>
                <w:bCs/>
                <w:color w:val="auto"/>
                <w:sz w:val="24"/>
              </w:rPr>
              <w:t>均</w:t>
            </w:r>
            <w:r>
              <w:rPr>
                <w:bCs/>
                <w:color w:val="auto"/>
                <w:sz w:val="24"/>
              </w:rPr>
              <w:t>为农用地</w:t>
            </w:r>
            <w:r>
              <w:rPr>
                <w:snapToGrid w:val="0"/>
                <w:color w:val="auto"/>
                <w:kern w:val="0"/>
                <w:sz w:val="24"/>
              </w:rPr>
              <w:t>；临时占地为塔基处施工临时用地、牵张场等</w:t>
            </w:r>
            <w:r>
              <w:rPr>
                <w:rFonts w:hint="eastAsia"/>
                <w:snapToGrid w:val="0"/>
                <w:color w:val="auto"/>
                <w:kern w:val="0"/>
                <w:sz w:val="24"/>
              </w:rPr>
              <w:t>，</w:t>
            </w:r>
            <w:r>
              <w:rPr>
                <w:bCs/>
                <w:color w:val="auto"/>
                <w:sz w:val="24"/>
              </w:rPr>
              <w:t>占地类型分为农用地以及未利用地，工程占地不涉及基本农田。</w:t>
            </w:r>
          </w:p>
          <w:p w14:paraId="41CF8699">
            <w:pPr>
              <w:adjustRightInd w:val="0"/>
              <w:snapToGrid w:val="0"/>
              <w:spacing w:line="360" w:lineRule="auto"/>
              <w:ind w:firstLine="480" w:firstLineChars="200"/>
              <w:rPr>
                <w:b/>
                <w:bCs/>
                <w:color w:val="auto"/>
                <w:sz w:val="24"/>
              </w:rPr>
            </w:pPr>
            <w:r>
              <w:rPr>
                <w:color w:val="auto"/>
                <w:sz w:val="24"/>
              </w:rPr>
              <w:t>由于本项目拟建输电线路具有占地面积小、且较为分散的特点，工程建设不会引起区域土地利用的结构性变化，施工结束后及时清理现场，尽可能恢复原状地貌，不会带来明显的土地利用结构与功能变化。</w:t>
            </w:r>
          </w:p>
          <w:p w14:paraId="5524C78D">
            <w:pPr>
              <w:spacing w:line="360" w:lineRule="auto"/>
              <w:rPr>
                <w:b/>
                <w:bCs/>
                <w:color w:val="auto"/>
                <w:sz w:val="24"/>
              </w:rPr>
            </w:pPr>
            <w:r>
              <w:rPr>
                <w:b/>
                <w:bCs/>
                <w:color w:val="auto"/>
                <w:sz w:val="24"/>
              </w:rPr>
              <w:t>2.2.2对植被的影响</w:t>
            </w:r>
          </w:p>
          <w:p w14:paraId="47D8D5FF">
            <w:pPr>
              <w:pStyle w:val="57"/>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输电线路工程对植被的影响主要体现在对塔基周围及线下植物的扰动以及工程塔基开挖等对地表植被的破坏。根据可研资料，本项目需砍伐林木面积约500m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砍伐林木主要为松树、竹子、果树等经济林，本项目线路施工为点线式，砍伐仅限少量塔基周边，各个砍伐点面分散，不会造成生态破碎化，对植被生物多样性及生物量不会产生较大影响。施工完毕后，通过补栽乡土植物，被扰动的植被将逐步恢复。</w:t>
            </w:r>
          </w:p>
          <w:p w14:paraId="0D5A58AE">
            <w:pPr>
              <w:spacing w:line="360" w:lineRule="auto"/>
              <w:rPr>
                <w:b/>
                <w:bCs/>
                <w:color w:val="auto"/>
                <w:sz w:val="24"/>
              </w:rPr>
            </w:pPr>
            <w:r>
              <w:rPr>
                <w:b/>
                <w:bCs/>
                <w:color w:val="auto"/>
                <w:sz w:val="24"/>
              </w:rPr>
              <w:t>2.2.3对动物的影响</w:t>
            </w:r>
          </w:p>
          <w:p w14:paraId="61B88BF6">
            <w:pPr>
              <w:adjustRightInd w:val="0"/>
              <w:spacing w:line="360" w:lineRule="auto"/>
              <w:ind w:firstLine="465"/>
              <w:jc w:val="left"/>
              <w:textAlignment w:val="baseline"/>
              <w:rPr>
                <w:color w:val="auto"/>
                <w:kern w:val="0"/>
                <w:sz w:val="24"/>
                <w:szCs w:val="20"/>
              </w:rPr>
            </w:pPr>
            <w:r>
              <w:rPr>
                <w:color w:val="auto"/>
                <w:sz w:val="24"/>
              </w:rPr>
              <w:t>根据现场调查，项目建设区域人类活动频繁。线路沿线野生动物除农作物栖息的昆虫类和少量觅食的麻雀、鼠类外，无其它野生动物分布。本项目评价范围内未发现珍稀及受保护的野生动物。</w:t>
            </w:r>
            <w:r>
              <w:rPr>
                <w:bCs/>
                <w:color w:val="auto"/>
                <w:sz w:val="24"/>
              </w:rPr>
              <w:t>施工期对动物的扰动是短暂的，并随施工期的结束而逐步恢复</w:t>
            </w:r>
            <w:r>
              <w:rPr>
                <w:color w:val="auto"/>
                <w:sz w:val="24"/>
              </w:rPr>
              <w:t>。因此，本项目的建设对动物的影响很小。</w:t>
            </w:r>
          </w:p>
          <w:p w14:paraId="655F1A20">
            <w:pPr>
              <w:pStyle w:val="15"/>
              <w:autoSpaceDN w:val="0"/>
              <w:adjustRightInd w:val="0"/>
              <w:snapToGrid w:val="0"/>
              <w:spacing w:after="0" w:line="360" w:lineRule="auto"/>
              <w:ind w:left="0" w:leftChars="0"/>
              <w:rPr>
                <w:b/>
                <w:color w:val="auto"/>
                <w:sz w:val="24"/>
              </w:rPr>
            </w:pPr>
            <w:r>
              <w:rPr>
                <w:b/>
                <w:color w:val="auto"/>
                <w:sz w:val="24"/>
              </w:rPr>
              <w:t>3、施工扬尘</w:t>
            </w:r>
          </w:p>
          <w:p w14:paraId="76BD271D">
            <w:pPr>
              <w:tabs>
                <w:tab w:val="left" w:pos="0"/>
              </w:tabs>
              <w:snapToGrid w:val="0"/>
              <w:spacing w:before="20" w:after="20" w:line="360" w:lineRule="auto"/>
              <w:rPr>
                <w:b/>
                <w:color w:val="auto"/>
                <w:sz w:val="24"/>
              </w:rPr>
            </w:pPr>
            <w:r>
              <w:rPr>
                <w:b/>
                <w:color w:val="auto"/>
                <w:sz w:val="24"/>
              </w:rPr>
              <w:t>3.1污染源分析</w:t>
            </w:r>
          </w:p>
          <w:p w14:paraId="380C2731">
            <w:pPr>
              <w:autoSpaceDN w:val="0"/>
              <w:adjustRightInd w:val="0"/>
              <w:snapToGrid w:val="0"/>
              <w:spacing w:line="360" w:lineRule="auto"/>
              <w:ind w:firstLine="480" w:firstLineChars="200"/>
              <w:rPr>
                <w:bCs/>
                <w:color w:val="auto"/>
                <w:sz w:val="24"/>
              </w:rPr>
            </w:pPr>
            <w:r>
              <w:rPr>
                <w:bCs/>
                <w:color w:val="auto"/>
                <w:sz w:val="24"/>
              </w:rPr>
              <w:t>本项目拆除工程仅拆除原杆塔，原塔基采取保留，不涉及原有塔基拆除开挖，故拆除工程不产生施工扬尘；施工扬尘主要来自于本项目新建塔基开挖等施工活动。</w:t>
            </w:r>
          </w:p>
          <w:p w14:paraId="206E9D8D">
            <w:pPr>
              <w:tabs>
                <w:tab w:val="left" w:pos="0"/>
              </w:tabs>
              <w:snapToGrid w:val="0"/>
              <w:spacing w:before="20" w:after="20" w:line="360" w:lineRule="auto"/>
              <w:rPr>
                <w:b/>
                <w:color w:val="auto"/>
                <w:sz w:val="24"/>
              </w:rPr>
            </w:pPr>
            <w:r>
              <w:rPr>
                <w:b/>
                <w:color w:val="auto"/>
                <w:sz w:val="24"/>
              </w:rPr>
              <w:t>3.2环境影响分析</w:t>
            </w:r>
          </w:p>
          <w:p w14:paraId="4D63C21B">
            <w:pPr>
              <w:autoSpaceDN w:val="0"/>
              <w:adjustRightInd w:val="0"/>
              <w:snapToGrid w:val="0"/>
              <w:spacing w:line="360" w:lineRule="auto"/>
              <w:ind w:firstLine="480" w:firstLineChars="200"/>
              <w:rPr>
                <w:color w:val="auto"/>
                <w:sz w:val="24"/>
              </w:rPr>
            </w:pPr>
            <w:r>
              <w:rPr>
                <w:bCs/>
                <w:color w:val="auto"/>
                <w:sz w:val="24"/>
              </w:rPr>
              <w:t>架空线路塔基基础开挖、土石方回填、场地清理等这些施工作业将破坏原施工作业面的土壤结构，遇干燥天气尤其是大风条件下很容易造成扬尘，</w:t>
            </w:r>
            <w:r>
              <w:rPr>
                <w:color w:val="auto"/>
                <w:sz w:val="24"/>
              </w:rPr>
              <w:t>影响主要是在施工区附近，对周围环境影响不大。本项目仅新建10基杆塔，施工量较小，施工期对大气环境的影响是暂时的，施工期通过设置帆布围栏，对施工料场和临时开挖土石方进行遮盖，加强运输车辆的管理，并保持对干燥作业面进行洒水处理等措施，可以有效控制施工扬尘，减少施工扬尘对周边环境的影响。因本工程施工期相对较短，施工结束后，其施工扬尘也将随之消失。</w:t>
            </w:r>
          </w:p>
          <w:p w14:paraId="7D2EA39D">
            <w:pPr>
              <w:pStyle w:val="15"/>
              <w:autoSpaceDN w:val="0"/>
              <w:adjustRightInd w:val="0"/>
              <w:snapToGrid w:val="0"/>
              <w:spacing w:after="0" w:line="360" w:lineRule="auto"/>
              <w:ind w:left="0" w:leftChars="0"/>
              <w:rPr>
                <w:b/>
                <w:color w:val="auto"/>
                <w:sz w:val="24"/>
              </w:rPr>
            </w:pPr>
            <w:r>
              <w:rPr>
                <w:b/>
                <w:bCs/>
                <w:color w:val="auto"/>
                <w:sz w:val="24"/>
              </w:rPr>
              <w:t>4、</w:t>
            </w:r>
            <w:r>
              <w:rPr>
                <w:b/>
                <w:color w:val="auto"/>
                <w:sz w:val="24"/>
              </w:rPr>
              <w:t>地表水环境</w:t>
            </w:r>
          </w:p>
          <w:p w14:paraId="2209CDC1">
            <w:pPr>
              <w:tabs>
                <w:tab w:val="left" w:pos="0"/>
              </w:tabs>
              <w:snapToGrid w:val="0"/>
              <w:spacing w:before="20" w:after="20" w:line="360" w:lineRule="auto"/>
              <w:rPr>
                <w:b/>
                <w:color w:val="auto"/>
                <w:sz w:val="24"/>
              </w:rPr>
            </w:pPr>
            <w:r>
              <w:rPr>
                <w:b/>
                <w:color w:val="auto"/>
                <w:sz w:val="24"/>
              </w:rPr>
              <w:t>4.1污染源分析</w:t>
            </w:r>
          </w:p>
          <w:p w14:paraId="0F3C8A1E">
            <w:pPr>
              <w:spacing w:line="360" w:lineRule="auto"/>
              <w:ind w:firstLine="482"/>
              <w:outlineLvl w:val="4"/>
              <w:rPr>
                <w:color w:val="auto"/>
                <w:sz w:val="24"/>
              </w:rPr>
            </w:pPr>
            <w:r>
              <w:rPr>
                <w:color w:val="auto"/>
                <w:sz w:val="24"/>
              </w:rPr>
              <w:t>施工废污水包括施工生产废水及施工人员的生活污水。</w:t>
            </w:r>
          </w:p>
          <w:p w14:paraId="00970A69">
            <w:pPr>
              <w:spacing w:line="360" w:lineRule="auto"/>
              <w:ind w:firstLine="482"/>
              <w:outlineLvl w:val="4"/>
              <w:rPr>
                <w:b/>
                <w:bCs/>
                <w:color w:val="auto"/>
                <w:sz w:val="24"/>
              </w:rPr>
            </w:pPr>
            <w:r>
              <w:rPr>
                <w:b/>
                <w:bCs/>
                <w:color w:val="auto"/>
                <w:sz w:val="24"/>
              </w:rPr>
              <w:t>（1）生产废水</w:t>
            </w:r>
          </w:p>
          <w:p w14:paraId="56737AD7">
            <w:pPr>
              <w:spacing w:line="360" w:lineRule="auto"/>
              <w:ind w:firstLine="482"/>
              <w:outlineLvl w:val="4"/>
              <w:rPr>
                <w:bCs/>
                <w:color w:val="auto"/>
                <w:sz w:val="24"/>
              </w:rPr>
            </w:pPr>
            <w:r>
              <w:rPr>
                <w:color w:val="auto"/>
                <w:sz w:val="24"/>
              </w:rPr>
              <w:t>项目施工期间废水主要来自于工程施工期间混凝土养护需要少量洒水，经自然蒸发，不对外排放。</w:t>
            </w:r>
          </w:p>
          <w:p w14:paraId="2BD922F1">
            <w:pPr>
              <w:spacing w:line="360" w:lineRule="auto"/>
              <w:ind w:firstLine="482"/>
              <w:outlineLvl w:val="4"/>
              <w:rPr>
                <w:b/>
                <w:bCs/>
                <w:color w:val="auto"/>
                <w:sz w:val="24"/>
              </w:rPr>
            </w:pPr>
            <w:r>
              <w:rPr>
                <w:b/>
                <w:bCs/>
                <w:color w:val="auto"/>
                <w:sz w:val="24"/>
              </w:rPr>
              <w:t>（2）生活污水</w:t>
            </w:r>
          </w:p>
          <w:p w14:paraId="190B1A75">
            <w:pPr>
              <w:spacing w:line="360" w:lineRule="auto"/>
              <w:ind w:firstLine="482"/>
              <w:outlineLvl w:val="4"/>
              <w:rPr>
                <w:color w:val="auto"/>
                <w:sz w:val="24"/>
              </w:rPr>
            </w:pPr>
            <w:r>
              <w:rPr>
                <w:color w:val="auto"/>
                <w:sz w:val="24"/>
              </w:rPr>
              <w:t>施工期生活污水主要为施工人员产生的生活污水，产生量与施工人数有关，包括粪便污水、洗涤废水等，主要污染物为COD、BOD</w:t>
            </w:r>
            <w:r>
              <w:rPr>
                <w:color w:val="auto"/>
                <w:sz w:val="24"/>
                <w:vertAlign w:val="subscript"/>
              </w:rPr>
              <w:t>5</w:t>
            </w:r>
            <w:r>
              <w:rPr>
                <w:color w:val="auto"/>
                <w:sz w:val="24"/>
              </w:rPr>
              <w:t>、氨氮等。</w:t>
            </w:r>
          </w:p>
          <w:p w14:paraId="1EA9F1E7">
            <w:pPr>
              <w:spacing w:line="360" w:lineRule="auto"/>
              <w:ind w:firstLine="482"/>
              <w:outlineLvl w:val="4"/>
              <w:rPr>
                <w:bCs/>
                <w:color w:val="auto"/>
                <w:sz w:val="24"/>
              </w:rPr>
            </w:pPr>
            <w:r>
              <w:rPr>
                <w:color w:val="auto"/>
                <w:sz w:val="24"/>
              </w:rPr>
              <w:t>根据类似工程资料，本项目</w:t>
            </w:r>
            <w:r>
              <w:rPr>
                <w:bCs/>
                <w:color w:val="auto"/>
                <w:sz w:val="24"/>
              </w:rPr>
              <w:t>施工高峰期人数约20人/日，按每人每天生活用水量100L计算，则生活用水量为2m</w:t>
            </w:r>
            <w:r>
              <w:rPr>
                <w:bCs/>
                <w:color w:val="auto"/>
                <w:sz w:val="24"/>
                <w:vertAlign w:val="superscript"/>
              </w:rPr>
              <w:t>3</w:t>
            </w:r>
            <w:r>
              <w:rPr>
                <w:bCs/>
                <w:color w:val="auto"/>
                <w:sz w:val="24"/>
              </w:rPr>
              <w:t>/d，排水系数以0.8计，则生活污水产生量为1.6m</w:t>
            </w:r>
            <w:r>
              <w:rPr>
                <w:bCs/>
                <w:color w:val="auto"/>
                <w:sz w:val="24"/>
                <w:vertAlign w:val="superscript"/>
              </w:rPr>
              <w:t>3</w:t>
            </w:r>
            <w:r>
              <w:rPr>
                <w:bCs/>
                <w:color w:val="auto"/>
                <w:sz w:val="24"/>
              </w:rPr>
              <w:t>/d。</w:t>
            </w:r>
          </w:p>
          <w:p w14:paraId="06122FBE">
            <w:pPr>
              <w:tabs>
                <w:tab w:val="left" w:pos="0"/>
              </w:tabs>
              <w:snapToGrid w:val="0"/>
              <w:spacing w:before="20" w:after="20" w:line="360" w:lineRule="auto"/>
              <w:rPr>
                <w:b/>
                <w:color w:val="auto"/>
                <w:sz w:val="24"/>
              </w:rPr>
            </w:pPr>
            <w:r>
              <w:rPr>
                <w:b/>
                <w:color w:val="auto"/>
                <w:sz w:val="24"/>
              </w:rPr>
              <w:t>4.2地表水环境影响分析</w:t>
            </w:r>
          </w:p>
          <w:p w14:paraId="466B5CFF">
            <w:pPr>
              <w:adjustRightInd w:val="0"/>
              <w:snapToGrid w:val="0"/>
              <w:spacing w:line="360" w:lineRule="auto"/>
              <w:ind w:firstLine="480" w:firstLineChars="200"/>
              <w:rPr>
                <w:bCs/>
                <w:color w:val="auto"/>
                <w:sz w:val="24"/>
              </w:rPr>
            </w:pPr>
            <w:r>
              <w:rPr>
                <w:rFonts w:hint="eastAsia"/>
                <w:bCs/>
                <w:color w:val="auto"/>
                <w:sz w:val="24"/>
              </w:rPr>
              <w:t>根据调查，本项目新建线路沿线无水体分布。</w:t>
            </w:r>
            <w:r>
              <w:rPr>
                <w:bCs/>
                <w:color w:val="auto"/>
                <w:sz w:val="24"/>
              </w:rPr>
              <w:t>根据设计资料，本项目新建线路塔基施工</w:t>
            </w:r>
            <w:r>
              <w:rPr>
                <w:color w:val="auto"/>
                <w:kern w:val="0"/>
                <w:sz w:val="24"/>
                <w:lang w:bidi="en-US"/>
              </w:rPr>
              <w:t>所用混凝土采取现场人工拌合方式</w:t>
            </w:r>
            <w:r>
              <w:rPr>
                <w:bCs/>
                <w:color w:val="auto"/>
                <w:sz w:val="24"/>
              </w:rPr>
              <w:t>，</w:t>
            </w:r>
            <w:r>
              <w:rPr>
                <w:color w:val="auto"/>
                <w:kern w:val="0"/>
                <w:sz w:val="24"/>
                <w:lang w:bidi="en-US"/>
              </w:rPr>
              <w:t>施工所用河沙、石子、水泥等施工材料均外购，所采用的砂石料清洗均由供货方清洗完毕后再运输至塔基附近，现场不进行砂石料清洗。人工拌合混凝土过程中</w:t>
            </w:r>
            <w:r>
              <w:rPr>
                <w:bCs/>
                <w:color w:val="auto"/>
                <w:sz w:val="24"/>
              </w:rPr>
              <w:t>基本无生产废水产生，</w:t>
            </w:r>
            <w:r>
              <w:rPr>
                <w:color w:val="auto"/>
                <w:sz w:val="24"/>
              </w:rPr>
              <w:t>项目施工期间废水主要来自于工程施工期间混凝土养护需要少量洒水，经自然蒸发，不对外排放</w:t>
            </w:r>
            <w:r>
              <w:rPr>
                <w:bCs/>
                <w:color w:val="auto"/>
                <w:sz w:val="24"/>
              </w:rPr>
              <w:t>。</w:t>
            </w:r>
          </w:p>
          <w:p w14:paraId="2B9A8132">
            <w:pPr>
              <w:adjustRightInd w:val="0"/>
              <w:snapToGrid w:val="0"/>
              <w:spacing w:line="360" w:lineRule="auto"/>
              <w:ind w:firstLine="480" w:firstLineChars="200"/>
              <w:rPr>
                <w:color w:val="auto"/>
                <w:sz w:val="24"/>
              </w:rPr>
            </w:pPr>
            <w:r>
              <w:rPr>
                <w:color w:val="auto"/>
                <w:sz w:val="24"/>
              </w:rPr>
              <w:t>施工人员就近租用周边民房，产生的生活污水纳入当地生活污水处理系统</w:t>
            </w:r>
            <w:r>
              <w:rPr>
                <w:bCs/>
                <w:color w:val="auto"/>
                <w:sz w:val="24"/>
              </w:rPr>
              <w:t>。</w:t>
            </w:r>
          </w:p>
          <w:p w14:paraId="25EF47A6">
            <w:pPr>
              <w:pStyle w:val="15"/>
              <w:autoSpaceDN w:val="0"/>
              <w:adjustRightInd w:val="0"/>
              <w:snapToGrid w:val="0"/>
              <w:spacing w:after="0" w:line="360" w:lineRule="auto"/>
              <w:ind w:left="0" w:leftChars="0"/>
              <w:rPr>
                <w:b/>
                <w:color w:val="auto"/>
                <w:sz w:val="24"/>
              </w:rPr>
            </w:pPr>
            <w:r>
              <w:rPr>
                <w:b/>
                <w:color w:val="auto"/>
                <w:sz w:val="24"/>
              </w:rPr>
              <w:t>5、声环境</w:t>
            </w:r>
          </w:p>
          <w:p w14:paraId="0AF71318">
            <w:pPr>
              <w:tabs>
                <w:tab w:val="left" w:pos="0"/>
              </w:tabs>
              <w:adjustRightInd w:val="0"/>
              <w:snapToGrid w:val="0"/>
              <w:spacing w:line="360" w:lineRule="auto"/>
              <w:rPr>
                <w:b/>
                <w:color w:val="auto"/>
                <w:sz w:val="24"/>
              </w:rPr>
            </w:pPr>
            <w:r>
              <w:rPr>
                <w:b/>
                <w:color w:val="auto"/>
                <w:sz w:val="24"/>
              </w:rPr>
              <w:t>5.1污染源分析</w:t>
            </w:r>
          </w:p>
          <w:p w14:paraId="0DA20DEF">
            <w:pPr>
              <w:autoSpaceDN w:val="0"/>
              <w:adjustRightInd w:val="0"/>
              <w:snapToGrid w:val="0"/>
              <w:spacing w:line="360" w:lineRule="auto"/>
              <w:ind w:firstLine="480" w:firstLineChars="200"/>
              <w:rPr>
                <w:color w:val="auto"/>
                <w:sz w:val="24"/>
              </w:rPr>
            </w:pPr>
            <w:r>
              <w:rPr>
                <w:color w:val="auto"/>
                <w:sz w:val="24"/>
              </w:rPr>
              <w:t>根据工程分析，本项目施工期施工活动包括建材料运输、原有杆塔拆除、新建杆塔基础施工、杆塔组立及导线架设等几个方面，施工期主要噪声源为架线施工中各种机械设备的噪声以及拆除杆塔过程中的拆除设备与金属碰撞噪声。</w:t>
            </w:r>
          </w:p>
          <w:p w14:paraId="2C0BDDD3">
            <w:pPr>
              <w:tabs>
                <w:tab w:val="left" w:pos="0"/>
              </w:tabs>
              <w:adjustRightInd w:val="0"/>
              <w:snapToGrid w:val="0"/>
              <w:spacing w:line="360" w:lineRule="auto"/>
              <w:rPr>
                <w:b/>
                <w:color w:val="auto"/>
                <w:sz w:val="24"/>
              </w:rPr>
            </w:pPr>
            <w:r>
              <w:rPr>
                <w:b/>
                <w:color w:val="auto"/>
                <w:sz w:val="24"/>
              </w:rPr>
              <w:t>5.2声环境影响分析</w:t>
            </w:r>
          </w:p>
          <w:p w14:paraId="48E59149">
            <w:pPr>
              <w:autoSpaceDN w:val="0"/>
              <w:adjustRightInd w:val="0"/>
              <w:snapToGrid w:val="0"/>
              <w:spacing w:line="360" w:lineRule="auto"/>
              <w:ind w:firstLine="480" w:firstLineChars="200"/>
              <w:rPr>
                <w:color w:val="auto"/>
                <w:sz w:val="24"/>
              </w:rPr>
            </w:pPr>
            <w:r>
              <w:rPr>
                <w:color w:val="auto"/>
                <w:sz w:val="24"/>
              </w:rPr>
              <w:t>根据可研资料，本项目共拆除5基角钢塔，3基水泥杆，采用人工拆除、机械辅助的方式，在拆除杆塔过程中金属之间碰撞会产生一定噪声，具有间断性特点，因本项目拆除塔基数量较小，塔基较分散，且拆除塔基距离居民住房较远，因此本项目拆除工程对周围环境影响较小。</w:t>
            </w:r>
          </w:p>
          <w:p w14:paraId="51D9C516">
            <w:pPr>
              <w:autoSpaceDN w:val="0"/>
              <w:adjustRightInd w:val="0"/>
              <w:snapToGrid w:val="0"/>
              <w:spacing w:line="360" w:lineRule="auto"/>
              <w:ind w:firstLine="480" w:firstLineChars="200"/>
              <w:rPr>
                <w:color w:val="auto"/>
                <w:sz w:val="24"/>
              </w:rPr>
            </w:pPr>
            <w:r>
              <w:rPr>
                <w:color w:val="auto"/>
                <w:sz w:val="24"/>
              </w:rPr>
              <w:t>根据可研资料，本项目新建杆塔数较少，施工量较小，施工时间较短，且新建杆塔距离居民住房较远，通过采取文明施工、合理安排施工时间、选用符合国家标准的低噪声施工设备等环保措施的前提下，本项目施工期新建线路对周围环境影响较小。</w:t>
            </w:r>
          </w:p>
          <w:p w14:paraId="78FF3679">
            <w:pPr>
              <w:pStyle w:val="15"/>
              <w:autoSpaceDN w:val="0"/>
              <w:adjustRightInd w:val="0"/>
              <w:snapToGrid w:val="0"/>
              <w:spacing w:after="0" w:line="360" w:lineRule="auto"/>
              <w:ind w:left="0" w:leftChars="0"/>
              <w:rPr>
                <w:b/>
                <w:color w:val="auto"/>
                <w:sz w:val="24"/>
              </w:rPr>
            </w:pPr>
            <w:r>
              <w:rPr>
                <w:b/>
                <w:color w:val="auto"/>
                <w:sz w:val="24"/>
              </w:rPr>
              <w:t>6、固体废物</w:t>
            </w:r>
          </w:p>
          <w:p w14:paraId="1463CCE3">
            <w:pPr>
              <w:tabs>
                <w:tab w:val="left" w:pos="0"/>
              </w:tabs>
              <w:snapToGrid w:val="0"/>
              <w:spacing w:before="20" w:after="20" w:line="360" w:lineRule="auto"/>
              <w:rPr>
                <w:b/>
                <w:color w:val="auto"/>
                <w:sz w:val="24"/>
              </w:rPr>
            </w:pPr>
            <w:r>
              <w:rPr>
                <w:b/>
                <w:color w:val="auto"/>
                <w:sz w:val="24"/>
              </w:rPr>
              <w:t>6.1污染源分析</w:t>
            </w:r>
          </w:p>
          <w:p w14:paraId="1D411A3E">
            <w:pPr>
              <w:pStyle w:val="15"/>
              <w:autoSpaceDN w:val="0"/>
              <w:adjustRightInd w:val="0"/>
              <w:snapToGrid w:val="0"/>
              <w:spacing w:after="0" w:line="360" w:lineRule="auto"/>
              <w:ind w:left="0" w:leftChars="0" w:firstLine="480" w:firstLineChars="200"/>
              <w:rPr>
                <w:bCs/>
                <w:color w:val="auto"/>
                <w:sz w:val="24"/>
              </w:rPr>
            </w:pPr>
            <w:r>
              <w:rPr>
                <w:bCs/>
                <w:color w:val="auto"/>
                <w:sz w:val="24"/>
              </w:rPr>
              <w:t>本项目施工期产生的固体废物主要为施工人员产生的生活垃圾、架空线路塔基开挖</w:t>
            </w:r>
            <w:r>
              <w:rPr>
                <w:rFonts w:hint="eastAsia"/>
                <w:color w:val="auto"/>
                <w:sz w:val="24"/>
              </w:rPr>
              <w:t>回用方</w:t>
            </w:r>
            <w:r>
              <w:rPr>
                <w:bCs/>
                <w:color w:val="auto"/>
                <w:sz w:val="24"/>
              </w:rPr>
              <w:t>以及拆除的导地线和杆塔等。</w:t>
            </w:r>
          </w:p>
          <w:p w14:paraId="19262E83">
            <w:pPr>
              <w:tabs>
                <w:tab w:val="left" w:pos="0"/>
              </w:tabs>
              <w:snapToGrid w:val="0"/>
              <w:spacing w:before="20" w:after="20" w:line="360" w:lineRule="auto"/>
              <w:rPr>
                <w:b/>
                <w:color w:val="auto"/>
                <w:sz w:val="24"/>
              </w:rPr>
            </w:pPr>
            <w:r>
              <w:rPr>
                <w:b/>
                <w:color w:val="auto"/>
                <w:sz w:val="24"/>
              </w:rPr>
              <w:t>6.2环境影响分析</w:t>
            </w:r>
          </w:p>
          <w:p w14:paraId="4691677A">
            <w:pPr>
              <w:pStyle w:val="15"/>
              <w:autoSpaceDN w:val="0"/>
              <w:adjustRightInd w:val="0"/>
              <w:snapToGrid w:val="0"/>
              <w:spacing w:after="0" w:line="360" w:lineRule="auto"/>
              <w:ind w:left="0" w:leftChars="0" w:firstLine="482" w:firstLineChars="200"/>
              <w:rPr>
                <w:b/>
                <w:bCs/>
                <w:color w:val="auto"/>
                <w:sz w:val="24"/>
              </w:rPr>
            </w:pPr>
            <w:r>
              <w:rPr>
                <w:b/>
                <w:bCs/>
                <w:color w:val="auto"/>
                <w:sz w:val="24"/>
              </w:rPr>
              <w:t>（1）生活垃圾</w:t>
            </w:r>
          </w:p>
          <w:p w14:paraId="235AFEA3">
            <w:pPr>
              <w:pStyle w:val="15"/>
              <w:autoSpaceDN w:val="0"/>
              <w:adjustRightInd w:val="0"/>
              <w:snapToGrid w:val="0"/>
              <w:spacing w:after="0" w:line="360" w:lineRule="auto"/>
              <w:ind w:left="0" w:leftChars="0" w:firstLine="480" w:firstLineChars="200"/>
              <w:rPr>
                <w:bCs/>
                <w:color w:val="auto"/>
                <w:sz w:val="24"/>
              </w:rPr>
            </w:pPr>
            <w:r>
              <w:rPr>
                <w:color w:val="auto"/>
                <w:sz w:val="24"/>
              </w:rPr>
              <w:t>工程施工高峰期施工人数可达20人，按每人每天产生约2kg生活垃圾，每天共产生约40kg生活垃圾，施工人员产生的生活垃圾经分类收集后交由环卫部门定期清运。</w:t>
            </w:r>
          </w:p>
          <w:p w14:paraId="6E799CC1">
            <w:pPr>
              <w:pStyle w:val="15"/>
              <w:autoSpaceDN w:val="0"/>
              <w:adjustRightInd w:val="0"/>
              <w:snapToGrid w:val="0"/>
              <w:spacing w:after="0" w:line="360" w:lineRule="auto"/>
              <w:rPr>
                <w:b/>
                <w:bCs/>
                <w:color w:val="auto"/>
                <w:sz w:val="24"/>
              </w:rPr>
            </w:pPr>
            <w:r>
              <w:rPr>
                <w:b/>
                <w:bCs/>
                <w:color w:val="auto"/>
                <w:sz w:val="24"/>
              </w:rPr>
              <w:t>（2）施工土石方</w:t>
            </w:r>
          </w:p>
          <w:p w14:paraId="2FCD1452">
            <w:pPr>
              <w:pStyle w:val="15"/>
              <w:autoSpaceDN w:val="0"/>
              <w:adjustRightInd w:val="0"/>
              <w:snapToGrid w:val="0"/>
              <w:spacing w:after="0" w:line="360" w:lineRule="auto"/>
              <w:ind w:left="0" w:leftChars="0" w:firstLine="480" w:firstLineChars="200"/>
              <w:rPr>
                <w:color w:val="auto"/>
                <w:sz w:val="24"/>
              </w:rPr>
            </w:pPr>
            <w:r>
              <w:rPr>
                <w:color w:val="auto"/>
                <w:sz w:val="24"/>
              </w:rPr>
              <w:t>根据设计资料，本项目新建杆塔共1基，塔基挖方量约</w:t>
            </w:r>
            <w:r>
              <w:rPr>
                <w:bCs/>
                <w:color w:val="auto"/>
                <w:sz w:val="24"/>
              </w:rPr>
              <w:t>1000</w:t>
            </w:r>
            <w:r>
              <w:rPr>
                <w:color w:val="auto"/>
                <w:sz w:val="24"/>
              </w:rPr>
              <w:t>m</w:t>
            </w:r>
            <w:r>
              <w:rPr>
                <w:color w:val="auto"/>
                <w:sz w:val="24"/>
                <w:vertAlign w:val="superscript"/>
              </w:rPr>
              <w:t>3</w:t>
            </w:r>
            <w:r>
              <w:rPr>
                <w:color w:val="auto"/>
                <w:sz w:val="24"/>
              </w:rPr>
              <w:t>，填方约700m</w:t>
            </w:r>
            <w:r>
              <w:rPr>
                <w:color w:val="auto"/>
                <w:sz w:val="24"/>
                <w:vertAlign w:val="superscript"/>
              </w:rPr>
              <w:t>3</w:t>
            </w:r>
            <w:r>
              <w:rPr>
                <w:color w:val="auto"/>
                <w:sz w:val="24"/>
              </w:rPr>
              <w:t>，</w:t>
            </w:r>
            <w:r>
              <w:rPr>
                <w:rFonts w:hint="eastAsia"/>
                <w:color w:val="auto"/>
                <w:sz w:val="24"/>
              </w:rPr>
              <w:t>回用方</w:t>
            </w:r>
            <w:r>
              <w:rPr>
                <w:color w:val="auto"/>
                <w:sz w:val="24"/>
              </w:rPr>
              <w:t>约300m</w:t>
            </w:r>
            <w:r>
              <w:rPr>
                <w:color w:val="auto"/>
                <w:sz w:val="24"/>
                <w:vertAlign w:val="superscript"/>
              </w:rPr>
              <w:t>3</w:t>
            </w:r>
            <w:r>
              <w:rPr>
                <w:color w:val="auto"/>
                <w:sz w:val="24"/>
              </w:rPr>
              <w:t>。线路</w:t>
            </w:r>
            <w:r>
              <w:rPr>
                <w:rFonts w:hint="eastAsia"/>
                <w:color w:val="auto"/>
                <w:sz w:val="24"/>
              </w:rPr>
              <w:t>回用方</w:t>
            </w:r>
            <w:r>
              <w:rPr>
                <w:color w:val="auto"/>
                <w:sz w:val="24"/>
              </w:rPr>
              <w:t>拟堆放回填在塔基周围低洼处，工程沿线不设弃渣场</w:t>
            </w:r>
            <w:r>
              <w:rPr>
                <w:snapToGrid w:val="0"/>
                <w:color w:val="auto"/>
                <w:kern w:val="0"/>
                <w:sz w:val="24"/>
              </w:rPr>
              <w:t>。</w:t>
            </w:r>
          </w:p>
          <w:p w14:paraId="1E38CEC2">
            <w:pPr>
              <w:pStyle w:val="15"/>
              <w:autoSpaceDN w:val="0"/>
              <w:adjustRightInd w:val="0"/>
              <w:snapToGrid w:val="0"/>
              <w:spacing w:after="0" w:line="360" w:lineRule="auto"/>
              <w:ind w:left="0" w:leftChars="0" w:firstLine="482" w:firstLineChars="200"/>
              <w:rPr>
                <w:b/>
                <w:bCs/>
                <w:color w:val="auto"/>
                <w:sz w:val="24"/>
              </w:rPr>
            </w:pPr>
            <w:r>
              <w:rPr>
                <w:b/>
                <w:bCs/>
                <w:color w:val="auto"/>
                <w:sz w:val="24"/>
              </w:rPr>
              <w:t>（3）废旧杆塔及导线</w:t>
            </w:r>
          </w:p>
          <w:p w14:paraId="203A3ED2">
            <w:pPr>
              <w:pStyle w:val="15"/>
              <w:autoSpaceDN w:val="0"/>
              <w:adjustRightInd w:val="0"/>
              <w:snapToGrid w:val="0"/>
              <w:spacing w:after="0" w:line="360" w:lineRule="auto"/>
              <w:ind w:left="0" w:leftChars="0" w:firstLine="480" w:firstLineChars="200"/>
              <w:rPr>
                <w:color w:val="auto"/>
                <w:sz w:val="24"/>
              </w:rPr>
            </w:pPr>
            <w:r>
              <w:rPr>
                <w:color w:val="auto"/>
                <w:sz w:val="24"/>
              </w:rPr>
              <w:t>根据设计资料，本项目需拆除原110kV油华线约3.4km，拆除5基角钢塔，3基水泥杆。拆除的5基角钢塔、导线、金具等交由电力物资部门回收，拆除的3基水泥杆属一般固体废物，需交由有运输资质单位清运至政府指定渣场，不随意倾倒。</w:t>
            </w:r>
          </w:p>
          <w:p w14:paraId="6E244730">
            <w:pPr>
              <w:autoSpaceDN w:val="0"/>
              <w:adjustRightInd w:val="0"/>
              <w:snapToGrid w:val="0"/>
              <w:spacing w:line="360" w:lineRule="auto"/>
              <w:rPr>
                <w:b/>
                <w:color w:val="auto"/>
                <w:sz w:val="24"/>
              </w:rPr>
            </w:pPr>
            <w:r>
              <w:rPr>
                <w:b/>
                <w:color w:val="auto"/>
                <w:sz w:val="24"/>
              </w:rPr>
              <w:t>7、施工期环境影响小节</w:t>
            </w:r>
          </w:p>
          <w:p w14:paraId="08058BB4">
            <w:pPr>
              <w:adjustRightInd w:val="0"/>
              <w:snapToGrid w:val="0"/>
              <w:spacing w:line="360" w:lineRule="auto"/>
              <w:ind w:firstLine="480" w:firstLineChars="200"/>
              <w:rPr>
                <w:b/>
                <w:bCs/>
                <w:color w:val="auto"/>
              </w:rPr>
            </w:pPr>
            <w:r>
              <w:rPr>
                <w:color w:val="auto"/>
                <w:sz w:val="24"/>
              </w:rPr>
              <w:t>综上所述，项目施工期产生的环境影响是短暂的、可逆的，其影响也随着施工期的结束而消失，施工单位应严格按照有关规定采取环境保护措施，并加强监管，以使本项目施工对周围环境的不利影响降至最低。</w:t>
            </w:r>
          </w:p>
        </w:tc>
      </w:tr>
      <w:tr w14:paraId="3AD31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tcMar>
              <w:left w:w="28" w:type="dxa"/>
              <w:right w:w="28" w:type="dxa"/>
            </w:tcMar>
            <w:vAlign w:val="center"/>
          </w:tcPr>
          <w:p w14:paraId="50D541C7">
            <w:pPr>
              <w:widowControl/>
              <w:adjustRightInd w:val="0"/>
              <w:snapToGrid w:val="0"/>
              <w:spacing w:line="360" w:lineRule="auto"/>
              <w:jc w:val="center"/>
              <w:rPr>
                <w:b/>
                <w:bCs/>
                <w:color w:val="auto"/>
                <w:sz w:val="24"/>
              </w:rPr>
            </w:pPr>
            <w:r>
              <w:rPr>
                <w:b/>
                <w:bCs/>
                <w:color w:val="auto"/>
                <w:spacing w:val="10"/>
                <w:sz w:val="24"/>
              </w:rPr>
              <w:t>运营期生态环境影响分析</w:t>
            </w:r>
          </w:p>
        </w:tc>
        <w:tc>
          <w:tcPr>
            <w:tcW w:w="8947" w:type="dxa"/>
          </w:tcPr>
          <w:p w14:paraId="65B2F24B">
            <w:pPr>
              <w:spacing w:line="360" w:lineRule="auto"/>
              <w:ind w:firstLine="480" w:firstLineChars="200"/>
              <w:rPr>
                <w:color w:val="auto"/>
                <w:sz w:val="24"/>
                <w:szCs w:val="20"/>
              </w:rPr>
            </w:pPr>
            <w:r>
              <w:rPr>
                <w:color w:val="auto"/>
                <w:sz w:val="24"/>
                <w:szCs w:val="20"/>
              </w:rPr>
              <w:t>本项目为输电线路迁改工程，营运期间无废水、废气和固废产生，运营期工艺流程及产污环节见图4-2。</w:t>
            </w:r>
          </w:p>
          <w:p w14:paraId="108E7004">
            <w:pPr>
              <w:spacing w:line="360" w:lineRule="auto"/>
              <w:jc w:val="center"/>
              <w:rPr>
                <w:color w:val="auto"/>
                <w:sz w:val="24"/>
                <w:szCs w:val="20"/>
              </w:rPr>
            </w:pPr>
            <w:r>
              <w:rPr>
                <w:bCs/>
                <w:color w:val="auto"/>
                <w:sz w:val="24"/>
              </w:rPr>
              <w:drawing>
                <wp:inline distT="0" distB="0" distL="114300" distR="114300">
                  <wp:extent cx="2183765" cy="1074420"/>
                  <wp:effectExtent l="0" t="0" r="698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183765" cy="1074420"/>
                          </a:xfrm>
                          <a:prstGeom prst="rect">
                            <a:avLst/>
                          </a:prstGeom>
                          <a:noFill/>
                          <a:ln w="9525">
                            <a:noFill/>
                          </a:ln>
                        </pic:spPr>
                      </pic:pic>
                    </a:graphicData>
                  </a:graphic>
                </wp:inline>
              </w:drawing>
            </w:r>
          </w:p>
          <w:p w14:paraId="4CE3A06C">
            <w:pPr>
              <w:tabs>
                <w:tab w:val="left" w:pos="3240"/>
              </w:tabs>
              <w:spacing w:line="360" w:lineRule="auto"/>
              <w:jc w:val="center"/>
              <w:rPr>
                <w:b/>
                <w:color w:val="auto"/>
                <w:sz w:val="24"/>
              </w:rPr>
            </w:pPr>
            <w:r>
              <w:rPr>
                <w:b/>
                <w:color w:val="auto"/>
                <w:sz w:val="24"/>
              </w:rPr>
              <w:t>图4-2 本项目运营期工艺流程及产污环节图</w:t>
            </w:r>
          </w:p>
          <w:p w14:paraId="52E52B3F">
            <w:pPr>
              <w:spacing w:line="360" w:lineRule="auto"/>
              <w:rPr>
                <w:b/>
                <w:color w:val="auto"/>
                <w:sz w:val="24"/>
              </w:rPr>
            </w:pPr>
            <w:r>
              <w:rPr>
                <w:b/>
                <w:color w:val="auto"/>
                <w:sz w:val="24"/>
              </w:rPr>
              <w:t>1、电磁环境影响分析</w:t>
            </w:r>
          </w:p>
          <w:p w14:paraId="570E9E90">
            <w:pPr>
              <w:pStyle w:val="67"/>
              <w:adjustRightInd w:val="0"/>
              <w:snapToGrid w:val="0"/>
              <w:ind w:firstLine="0" w:firstLineChars="0"/>
              <w:rPr>
                <w:rFonts w:hAnsi="Times New Roman" w:cs="Times New Roman"/>
                <w:b/>
                <w:color w:val="auto"/>
                <w:szCs w:val="24"/>
              </w:rPr>
            </w:pPr>
            <w:bookmarkStart w:id="12" w:name="_Toc66283386"/>
            <w:r>
              <w:rPr>
                <w:rFonts w:hAnsi="Times New Roman" w:cs="Times New Roman"/>
                <w:b/>
                <w:bCs/>
                <w:color w:val="auto"/>
                <w:szCs w:val="24"/>
              </w:rPr>
              <w:t>1.1电磁环境影响预测分析</w:t>
            </w:r>
          </w:p>
          <w:p w14:paraId="159E34B1">
            <w:pPr>
              <w:pStyle w:val="67"/>
              <w:snapToGrid w:val="0"/>
              <w:rPr>
                <w:rFonts w:hAnsi="Times New Roman" w:cs="Times New Roman"/>
                <w:color w:val="auto"/>
                <w:kern w:val="0"/>
                <w:szCs w:val="24"/>
              </w:rPr>
            </w:pPr>
            <w:r>
              <w:rPr>
                <w:rFonts w:hAnsi="Times New Roman" w:cs="Times New Roman"/>
                <w:color w:val="auto"/>
                <w:szCs w:val="24"/>
              </w:rPr>
              <w:t>经预测，</w:t>
            </w:r>
            <w:r>
              <w:rPr>
                <w:rFonts w:hAnsi="Times New Roman" w:cs="Times New Roman"/>
                <w:color w:val="auto"/>
                <w:kern w:val="0"/>
                <w:szCs w:val="24"/>
              </w:rPr>
              <w:t>以</w:t>
            </w:r>
            <w:r>
              <w:rPr>
                <w:rFonts w:hAnsi="Times New Roman" w:cs="Times New Roman"/>
                <w:bCs/>
                <w:color w:val="auto"/>
                <w:szCs w:val="24"/>
              </w:rPr>
              <w:t>2C1W2-Z3</w:t>
            </w:r>
            <w:r>
              <w:rPr>
                <w:rFonts w:hAnsi="Times New Roman" w:cs="Times New Roman"/>
                <w:color w:val="auto"/>
                <w:kern w:val="0"/>
                <w:szCs w:val="24"/>
              </w:rPr>
              <w:t>为预测塔型，</w:t>
            </w:r>
            <w:r>
              <w:rPr>
                <w:rFonts w:hAnsi="Times New Roman" w:cs="Times New Roman"/>
                <w:color w:val="auto"/>
                <w:szCs w:val="24"/>
              </w:rPr>
              <w:t>在现有设计高度前提下，距离地面1.5m高度处，</w:t>
            </w:r>
            <w:r>
              <w:rPr>
                <w:rFonts w:hAnsi="Times New Roman" w:cs="Times New Roman"/>
                <w:color w:val="auto"/>
                <w:kern w:val="0"/>
                <w:szCs w:val="24"/>
              </w:rPr>
              <w:t>工频电磁场预测值均小于《电磁环境控制限值》（GB 8702-2014）中的4000V/m与</w:t>
            </w:r>
            <w:r>
              <w:rPr>
                <w:rFonts w:hAnsi="Times New Roman" w:cs="Times New Roman"/>
                <w:color w:val="auto"/>
                <w:szCs w:val="24"/>
              </w:rPr>
              <w:t>100μT公众曝露控制限值</w:t>
            </w:r>
            <w:r>
              <w:rPr>
                <w:rFonts w:hAnsi="Times New Roman" w:cs="Times New Roman"/>
                <w:color w:val="auto"/>
                <w:kern w:val="0"/>
                <w:szCs w:val="24"/>
              </w:rPr>
              <w:t>。</w:t>
            </w:r>
            <w:r>
              <w:rPr>
                <w:rFonts w:hAnsi="Times New Roman" w:cs="Times New Roman"/>
                <w:color w:val="auto"/>
                <w:szCs w:val="24"/>
              </w:rPr>
              <w:t>亦满足架空线路线下的耕地、园地、牧草地、畜禽饲养地、养殖水面、道路等场所电磁环境限值10kV/m、100μT标准要求。</w:t>
            </w:r>
          </w:p>
          <w:p w14:paraId="0F54B936">
            <w:pPr>
              <w:pStyle w:val="67"/>
              <w:adjustRightInd w:val="0"/>
              <w:snapToGrid w:val="0"/>
              <w:ind w:firstLine="482"/>
              <w:rPr>
                <w:rFonts w:hAnsi="Times New Roman" w:cs="Times New Roman"/>
                <w:color w:val="auto"/>
                <w:szCs w:val="24"/>
              </w:rPr>
            </w:pPr>
            <w:r>
              <w:rPr>
                <w:rFonts w:hAnsi="Times New Roman" w:cs="Times New Roman"/>
                <w:b/>
                <w:bCs/>
                <w:color w:val="auto"/>
                <w:szCs w:val="24"/>
              </w:rPr>
              <w:t>电磁达标距离：</w:t>
            </w:r>
            <w:r>
              <w:rPr>
                <w:rFonts w:hAnsi="Times New Roman" w:cs="Times New Roman"/>
                <w:color w:val="auto"/>
                <w:szCs w:val="24"/>
              </w:rPr>
              <w:t>经预测，</w:t>
            </w:r>
            <w:r>
              <w:rPr>
                <w:rFonts w:hAnsi="Times New Roman" w:cs="Times New Roman"/>
                <w:color w:val="auto"/>
                <w:kern w:val="0"/>
                <w:szCs w:val="24"/>
              </w:rPr>
              <w:t>在不考虑风偏的情况下，以</w:t>
            </w:r>
            <w:r>
              <w:rPr>
                <w:rFonts w:hAnsi="Times New Roman" w:cs="Times New Roman"/>
                <w:bCs/>
                <w:color w:val="auto"/>
                <w:szCs w:val="24"/>
              </w:rPr>
              <w:t>2C1W2-Z3</w:t>
            </w:r>
            <w:r>
              <w:rPr>
                <w:rFonts w:hAnsi="Times New Roman" w:cs="Times New Roman"/>
                <w:color w:val="auto"/>
                <w:kern w:val="0"/>
                <w:szCs w:val="24"/>
              </w:rPr>
              <w:t>塔型为预测塔型，本线路需与沿线建筑物保持以下距离：</w:t>
            </w:r>
            <w:r>
              <w:rPr>
                <w:rFonts w:hAnsi="Times New Roman" w:cs="Times New Roman"/>
                <w:color w:val="auto"/>
                <w:szCs w:val="24"/>
              </w:rPr>
              <w:t>与边导线的水平距离至少为3m，或与下相导线线下垂直距离至少为5m（满足二者条件之一即可）。</w:t>
            </w:r>
          </w:p>
          <w:p w14:paraId="7007166E">
            <w:pPr>
              <w:adjustRightInd w:val="0"/>
              <w:snapToGrid w:val="0"/>
              <w:spacing w:line="360" w:lineRule="auto"/>
              <w:ind w:firstLine="480" w:firstLineChars="200"/>
              <w:rPr>
                <w:color w:val="auto"/>
                <w:sz w:val="24"/>
              </w:rPr>
            </w:pPr>
            <w:r>
              <w:rPr>
                <w:color w:val="auto"/>
                <w:sz w:val="24"/>
              </w:rPr>
              <w:t>根据现场调查，本项目线路沿线无居民点、工厂等电磁环境保护目标分布。</w:t>
            </w:r>
          </w:p>
          <w:p w14:paraId="5DE6F6BF">
            <w:pPr>
              <w:pStyle w:val="67"/>
              <w:adjustRightInd w:val="0"/>
              <w:snapToGrid w:val="0"/>
              <w:ind w:firstLine="0" w:firstLineChars="0"/>
              <w:rPr>
                <w:rFonts w:hAnsi="Times New Roman" w:cs="Times New Roman"/>
                <w:b/>
                <w:bCs/>
                <w:color w:val="auto"/>
                <w:szCs w:val="24"/>
              </w:rPr>
            </w:pPr>
            <w:r>
              <w:rPr>
                <w:rFonts w:hAnsi="Times New Roman" w:cs="Times New Roman"/>
                <w:b/>
                <w:color w:val="auto"/>
                <w:kern w:val="0"/>
                <w:szCs w:val="24"/>
              </w:rPr>
              <w:t>1.2</w:t>
            </w:r>
            <w:r>
              <w:rPr>
                <w:rFonts w:hAnsi="Times New Roman" w:cs="Times New Roman"/>
                <w:b/>
                <w:bCs/>
                <w:color w:val="auto"/>
              </w:rPr>
              <w:t>调整弧垂段线路电磁环境影响评价</w:t>
            </w:r>
          </w:p>
          <w:bookmarkEnd w:id="12"/>
          <w:p w14:paraId="445E0356">
            <w:pPr>
              <w:pStyle w:val="67"/>
              <w:adjustRightInd w:val="0"/>
              <w:snapToGrid w:val="0"/>
              <w:rPr>
                <w:rFonts w:hAnsi="Times New Roman" w:cs="Times New Roman"/>
                <w:color w:val="auto"/>
                <w:szCs w:val="24"/>
              </w:rPr>
            </w:pPr>
            <w:r>
              <w:rPr>
                <w:rFonts w:hAnsi="Times New Roman" w:cs="Times New Roman"/>
                <w:color w:val="auto"/>
                <w:szCs w:val="24"/>
              </w:rPr>
              <w:t>本次评价在线路调整弧垂段选取了典型监测点位进行现状监测，经监测，线路调整弧垂段监测点位工频电场强度监测值为</w:t>
            </w:r>
            <w:r>
              <w:rPr>
                <w:rFonts w:hAnsi="Times New Roman" w:cs="Times New Roman"/>
                <w:color w:val="auto"/>
                <w:kern w:val="0"/>
                <w:szCs w:val="24"/>
                <w:lang w:bidi="ar"/>
              </w:rPr>
              <w:t>220.1</w:t>
            </w:r>
            <w:r>
              <w:rPr>
                <w:rFonts w:hAnsi="Times New Roman" w:cs="Times New Roman"/>
                <w:color w:val="auto"/>
                <w:szCs w:val="24"/>
              </w:rPr>
              <w:t>V/m，工频磁感应强度监测值为0.0903μT，均远小于《电磁环境控制限值》（GB8702-2014）4000V/m与100μT的标准要求。经咨询设计单位，本项目线路调整弧垂均为抬高导线对地高度（抬高约1~2m），根据电磁衰减规律，理论上来说，本项目线路对沿线周边电磁环境影响将有所减小，因此，本项目线路建成投运后，线路调整弧垂段工频电场强度、工频磁感应强度仍将满足《电磁环境控制限值》（GB8702-2014）4000V/m与100μT的标准要求。</w:t>
            </w:r>
          </w:p>
          <w:p w14:paraId="15074A22">
            <w:pPr>
              <w:pStyle w:val="67"/>
              <w:adjustRightInd w:val="0"/>
              <w:snapToGrid w:val="0"/>
              <w:rPr>
                <w:rFonts w:hAnsi="Times New Roman" w:cs="Times New Roman"/>
                <w:color w:val="auto"/>
                <w:szCs w:val="24"/>
              </w:rPr>
            </w:pPr>
            <w:r>
              <w:rPr>
                <w:color w:val="auto"/>
                <w:kern w:val="0"/>
              </w:rPr>
              <w:t>本项目电磁环境影响分析具体见《白涛钛白粉场平电力线路迁改工程（110kV油华线）电磁环境影响评价专题》。</w:t>
            </w:r>
          </w:p>
          <w:p w14:paraId="5A8C8A3E">
            <w:pPr>
              <w:adjustRightInd w:val="0"/>
              <w:snapToGrid w:val="0"/>
              <w:spacing w:line="360" w:lineRule="auto"/>
              <w:rPr>
                <w:b/>
                <w:color w:val="auto"/>
                <w:sz w:val="24"/>
              </w:rPr>
            </w:pPr>
            <w:r>
              <w:rPr>
                <w:b/>
                <w:color w:val="auto"/>
                <w:sz w:val="24"/>
              </w:rPr>
              <w:t>2、声环境影响分析</w:t>
            </w:r>
          </w:p>
          <w:p w14:paraId="29631F46">
            <w:pPr>
              <w:tabs>
                <w:tab w:val="left" w:pos="6292"/>
              </w:tabs>
              <w:adjustRightInd w:val="0"/>
              <w:snapToGrid w:val="0"/>
              <w:spacing w:line="360" w:lineRule="auto"/>
              <w:ind w:firstLine="480" w:firstLineChars="200"/>
              <w:rPr>
                <w:color w:val="auto"/>
                <w:sz w:val="24"/>
              </w:rPr>
            </w:pPr>
            <w:r>
              <w:rPr>
                <w:bCs/>
                <w:color w:val="auto"/>
                <w:sz w:val="24"/>
              </w:rPr>
              <w:t>根据《环境影响评价技术导则 输变电》（HJ24-2020），本项目声环境影响评价采用类比监测和理论计算结果与评价标准直接比较的方法进行评价。</w:t>
            </w:r>
          </w:p>
          <w:p w14:paraId="0E61FC7B">
            <w:pPr>
              <w:tabs>
                <w:tab w:val="left" w:pos="6292"/>
              </w:tabs>
              <w:adjustRightInd w:val="0"/>
              <w:snapToGrid w:val="0"/>
              <w:spacing w:line="360" w:lineRule="auto"/>
              <w:rPr>
                <w:bCs/>
                <w:color w:val="auto"/>
                <w:sz w:val="24"/>
              </w:rPr>
            </w:pPr>
            <w:r>
              <w:rPr>
                <w:b/>
                <w:bCs/>
                <w:color w:val="auto"/>
                <w:sz w:val="24"/>
              </w:rPr>
              <w:t>2.1噪声类比分析</w:t>
            </w:r>
          </w:p>
          <w:p w14:paraId="25E70B6D">
            <w:pPr>
              <w:tabs>
                <w:tab w:val="left" w:pos="6292"/>
              </w:tabs>
              <w:adjustRightInd w:val="0"/>
              <w:snapToGrid w:val="0"/>
              <w:spacing w:line="360" w:lineRule="auto"/>
              <w:ind w:firstLine="482" w:firstLineChars="200"/>
              <w:rPr>
                <w:b/>
                <w:bCs/>
                <w:color w:val="auto"/>
                <w:sz w:val="24"/>
              </w:rPr>
            </w:pPr>
            <w:r>
              <w:rPr>
                <w:b/>
                <w:bCs/>
                <w:color w:val="auto"/>
                <w:sz w:val="24"/>
              </w:rPr>
              <w:t>（1）类比对象选取</w:t>
            </w:r>
          </w:p>
          <w:p w14:paraId="1F5690C5">
            <w:pPr>
              <w:pStyle w:val="53"/>
              <w:snapToGrid w:val="0"/>
              <w:rPr>
                <w:rFonts w:ascii="Times New Roman" w:hAnsi="Times New Roman" w:cs="Times New Roman"/>
                <w:bCs/>
                <w:color w:val="auto"/>
              </w:rPr>
            </w:pPr>
            <w:r>
              <w:rPr>
                <w:rFonts w:ascii="Times New Roman" w:hAnsi="Times New Roman" w:cs="Times New Roman"/>
                <w:bCs/>
                <w:color w:val="auto"/>
              </w:rPr>
              <w:t>本环评选择110kV蓝留线为本项目新建110kV单回架空线路噪声类比对象。类比参数见表4-2。</w:t>
            </w:r>
          </w:p>
          <w:p w14:paraId="624B9E65">
            <w:pPr>
              <w:autoSpaceDN w:val="0"/>
              <w:adjustRightInd w:val="0"/>
              <w:snapToGrid w:val="0"/>
              <w:spacing w:line="360" w:lineRule="auto"/>
              <w:jc w:val="center"/>
              <w:rPr>
                <w:b/>
                <w:bCs/>
                <w:color w:val="auto"/>
                <w:sz w:val="24"/>
              </w:rPr>
            </w:pPr>
            <w:r>
              <w:rPr>
                <w:b/>
                <w:bCs/>
                <w:color w:val="auto"/>
                <w:sz w:val="24"/>
              </w:rPr>
              <w:t>表4-2  类比条件一览表</w:t>
            </w:r>
          </w:p>
          <w:tbl>
            <w:tblPr>
              <w:tblStyle w:val="2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3238"/>
              <w:gridCol w:w="1997"/>
              <w:gridCol w:w="1543"/>
            </w:tblGrid>
            <w:tr w14:paraId="4AD7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46FD7310">
                  <w:pPr>
                    <w:autoSpaceDN w:val="0"/>
                    <w:adjustRightInd w:val="0"/>
                    <w:snapToGrid w:val="0"/>
                    <w:jc w:val="center"/>
                    <w:rPr>
                      <w:bCs/>
                      <w:color w:val="auto"/>
                      <w:szCs w:val="21"/>
                    </w:rPr>
                  </w:pPr>
                  <w:r>
                    <w:rPr>
                      <w:bCs/>
                      <w:color w:val="auto"/>
                      <w:szCs w:val="21"/>
                    </w:rPr>
                    <w:t>项目</w:t>
                  </w:r>
                </w:p>
              </w:tc>
              <w:tc>
                <w:tcPr>
                  <w:tcW w:w="3238" w:type="dxa"/>
                  <w:vAlign w:val="center"/>
                </w:tcPr>
                <w:p w14:paraId="5C048E01">
                  <w:pPr>
                    <w:autoSpaceDN w:val="0"/>
                    <w:adjustRightInd w:val="0"/>
                    <w:snapToGrid w:val="0"/>
                    <w:jc w:val="center"/>
                    <w:rPr>
                      <w:bCs/>
                      <w:color w:val="auto"/>
                      <w:szCs w:val="21"/>
                    </w:rPr>
                  </w:pPr>
                  <w:r>
                    <w:rPr>
                      <w:bCs/>
                      <w:color w:val="auto"/>
                      <w:szCs w:val="21"/>
                    </w:rPr>
                    <w:t>本项目新建110kV单回架空线路</w:t>
                  </w:r>
                </w:p>
              </w:tc>
              <w:tc>
                <w:tcPr>
                  <w:tcW w:w="1997" w:type="dxa"/>
                  <w:vAlign w:val="center"/>
                </w:tcPr>
                <w:p w14:paraId="570EBEBB">
                  <w:pPr>
                    <w:autoSpaceDN w:val="0"/>
                    <w:adjustRightInd w:val="0"/>
                    <w:snapToGrid w:val="0"/>
                    <w:jc w:val="center"/>
                    <w:rPr>
                      <w:bCs/>
                      <w:color w:val="auto"/>
                      <w:szCs w:val="21"/>
                    </w:rPr>
                  </w:pPr>
                  <w:r>
                    <w:rPr>
                      <w:bCs/>
                      <w:color w:val="auto"/>
                      <w:szCs w:val="21"/>
                    </w:rPr>
                    <w:t>110kV蓝留线</w:t>
                  </w:r>
                </w:p>
              </w:tc>
              <w:tc>
                <w:tcPr>
                  <w:tcW w:w="1543" w:type="dxa"/>
                  <w:vAlign w:val="center"/>
                </w:tcPr>
                <w:p w14:paraId="5E7B408B">
                  <w:pPr>
                    <w:autoSpaceDN w:val="0"/>
                    <w:adjustRightInd w:val="0"/>
                    <w:snapToGrid w:val="0"/>
                    <w:jc w:val="center"/>
                    <w:rPr>
                      <w:bCs/>
                      <w:color w:val="auto"/>
                      <w:szCs w:val="21"/>
                    </w:rPr>
                  </w:pPr>
                  <w:r>
                    <w:rPr>
                      <w:bCs/>
                      <w:color w:val="auto"/>
                      <w:szCs w:val="21"/>
                    </w:rPr>
                    <w:t>类比条件分析</w:t>
                  </w:r>
                </w:p>
              </w:tc>
            </w:tr>
            <w:tr w14:paraId="1523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6AE163A0">
                  <w:pPr>
                    <w:autoSpaceDN w:val="0"/>
                    <w:adjustRightInd w:val="0"/>
                    <w:snapToGrid w:val="0"/>
                    <w:jc w:val="center"/>
                    <w:rPr>
                      <w:bCs/>
                      <w:color w:val="auto"/>
                      <w:szCs w:val="21"/>
                    </w:rPr>
                  </w:pPr>
                  <w:r>
                    <w:rPr>
                      <w:bCs/>
                      <w:color w:val="auto"/>
                      <w:szCs w:val="21"/>
                    </w:rPr>
                    <w:t>电压等级</w:t>
                  </w:r>
                </w:p>
              </w:tc>
              <w:tc>
                <w:tcPr>
                  <w:tcW w:w="3238" w:type="dxa"/>
                  <w:vAlign w:val="center"/>
                </w:tcPr>
                <w:p w14:paraId="5A07DCAD">
                  <w:pPr>
                    <w:autoSpaceDN w:val="0"/>
                    <w:adjustRightInd w:val="0"/>
                    <w:snapToGrid w:val="0"/>
                    <w:jc w:val="center"/>
                    <w:rPr>
                      <w:bCs/>
                      <w:color w:val="auto"/>
                      <w:szCs w:val="21"/>
                    </w:rPr>
                  </w:pPr>
                  <w:r>
                    <w:rPr>
                      <w:bCs/>
                      <w:color w:val="auto"/>
                      <w:szCs w:val="21"/>
                    </w:rPr>
                    <w:t>110kV</w:t>
                  </w:r>
                </w:p>
              </w:tc>
              <w:tc>
                <w:tcPr>
                  <w:tcW w:w="1997" w:type="dxa"/>
                  <w:vAlign w:val="center"/>
                </w:tcPr>
                <w:p w14:paraId="4A0FA36B">
                  <w:pPr>
                    <w:pStyle w:val="90"/>
                    <w:snapToGrid w:val="0"/>
                    <w:spacing w:line="240" w:lineRule="auto"/>
                    <w:jc w:val="center"/>
                    <w:textAlignment w:val="auto"/>
                    <w:rPr>
                      <w:rFonts w:eastAsia="宋体"/>
                      <w:bCs/>
                      <w:color w:val="auto"/>
                      <w:sz w:val="21"/>
                    </w:rPr>
                  </w:pPr>
                  <w:r>
                    <w:rPr>
                      <w:rFonts w:eastAsia="宋体"/>
                      <w:color w:val="auto"/>
                      <w:sz w:val="21"/>
                    </w:rPr>
                    <w:t>110kV</w:t>
                  </w:r>
                </w:p>
              </w:tc>
              <w:tc>
                <w:tcPr>
                  <w:tcW w:w="1543" w:type="dxa"/>
                  <w:vAlign w:val="center"/>
                </w:tcPr>
                <w:p w14:paraId="468FCC9E">
                  <w:pPr>
                    <w:autoSpaceDN w:val="0"/>
                    <w:adjustRightInd w:val="0"/>
                    <w:snapToGrid w:val="0"/>
                    <w:jc w:val="center"/>
                    <w:rPr>
                      <w:bCs/>
                      <w:color w:val="auto"/>
                      <w:szCs w:val="21"/>
                    </w:rPr>
                  </w:pPr>
                  <w:r>
                    <w:rPr>
                      <w:bCs/>
                      <w:color w:val="auto"/>
                      <w:szCs w:val="21"/>
                    </w:rPr>
                    <w:t>一致</w:t>
                  </w:r>
                </w:p>
              </w:tc>
            </w:tr>
            <w:tr w14:paraId="2FBB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437D777E">
                  <w:pPr>
                    <w:autoSpaceDN w:val="0"/>
                    <w:adjustRightInd w:val="0"/>
                    <w:snapToGrid w:val="0"/>
                    <w:jc w:val="center"/>
                    <w:rPr>
                      <w:bCs/>
                      <w:color w:val="auto"/>
                      <w:szCs w:val="21"/>
                    </w:rPr>
                  </w:pPr>
                  <w:r>
                    <w:rPr>
                      <w:bCs/>
                      <w:color w:val="auto"/>
                      <w:szCs w:val="21"/>
                    </w:rPr>
                    <w:t>架设方式</w:t>
                  </w:r>
                </w:p>
              </w:tc>
              <w:tc>
                <w:tcPr>
                  <w:tcW w:w="3238" w:type="dxa"/>
                  <w:vAlign w:val="center"/>
                </w:tcPr>
                <w:p w14:paraId="577B1AD8">
                  <w:pPr>
                    <w:autoSpaceDN w:val="0"/>
                    <w:adjustRightInd w:val="0"/>
                    <w:snapToGrid w:val="0"/>
                    <w:jc w:val="center"/>
                    <w:rPr>
                      <w:bCs/>
                      <w:color w:val="auto"/>
                      <w:szCs w:val="21"/>
                    </w:rPr>
                  </w:pPr>
                  <w:r>
                    <w:rPr>
                      <w:bCs/>
                      <w:color w:val="auto"/>
                      <w:szCs w:val="21"/>
                    </w:rPr>
                    <w:t>单回</w:t>
                  </w:r>
                </w:p>
              </w:tc>
              <w:tc>
                <w:tcPr>
                  <w:tcW w:w="1997" w:type="dxa"/>
                  <w:vAlign w:val="center"/>
                </w:tcPr>
                <w:p w14:paraId="0A8A051B">
                  <w:pPr>
                    <w:pStyle w:val="90"/>
                    <w:snapToGrid w:val="0"/>
                    <w:spacing w:line="240" w:lineRule="auto"/>
                    <w:jc w:val="center"/>
                    <w:textAlignment w:val="auto"/>
                    <w:rPr>
                      <w:rFonts w:eastAsia="宋体"/>
                      <w:bCs/>
                      <w:color w:val="auto"/>
                      <w:sz w:val="21"/>
                    </w:rPr>
                  </w:pPr>
                  <w:r>
                    <w:rPr>
                      <w:rFonts w:eastAsia="宋体"/>
                      <w:color w:val="auto"/>
                      <w:sz w:val="21"/>
                    </w:rPr>
                    <w:t>单回</w:t>
                  </w:r>
                </w:p>
              </w:tc>
              <w:tc>
                <w:tcPr>
                  <w:tcW w:w="1543" w:type="dxa"/>
                  <w:vAlign w:val="center"/>
                </w:tcPr>
                <w:p w14:paraId="79558DCE">
                  <w:pPr>
                    <w:autoSpaceDN w:val="0"/>
                    <w:adjustRightInd w:val="0"/>
                    <w:snapToGrid w:val="0"/>
                    <w:jc w:val="center"/>
                    <w:rPr>
                      <w:bCs/>
                      <w:color w:val="auto"/>
                      <w:szCs w:val="21"/>
                    </w:rPr>
                  </w:pPr>
                  <w:r>
                    <w:rPr>
                      <w:bCs/>
                      <w:color w:val="auto"/>
                      <w:szCs w:val="21"/>
                    </w:rPr>
                    <w:t>一致</w:t>
                  </w:r>
                </w:p>
              </w:tc>
            </w:tr>
            <w:tr w14:paraId="4A53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2045858D">
                  <w:pPr>
                    <w:autoSpaceDN w:val="0"/>
                    <w:adjustRightInd w:val="0"/>
                    <w:snapToGrid w:val="0"/>
                    <w:jc w:val="center"/>
                    <w:rPr>
                      <w:bCs/>
                      <w:color w:val="auto"/>
                      <w:szCs w:val="21"/>
                    </w:rPr>
                  </w:pPr>
                  <w:r>
                    <w:rPr>
                      <w:bCs/>
                      <w:color w:val="auto"/>
                      <w:szCs w:val="21"/>
                    </w:rPr>
                    <w:t>排列方式</w:t>
                  </w:r>
                </w:p>
              </w:tc>
              <w:tc>
                <w:tcPr>
                  <w:tcW w:w="3238" w:type="dxa"/>
                  <w:vAlign w:val="center"/>
                </w:tcPr>
                <w:p w14:paraId="50311B37">
                  <w:pPr>
                    <w:autoSpaceDN w:val="0"/>
                    <w:adjustRightInd w:val="0"/>
                    <w:snapToGrid w:val="0"/>
                    <w:jc w:val="center"/>
                    <w:rPr>
                      <w:bCs/>
                      <w:color w:val="auto"/>
                      <w:szCs w:val="21"/>
                    </w:rPr>
                  </w:pPr>
                  <w:r>
                    <w:rPr>
                      <w:bCs/>
                      <w:color w:val="auto"/>
                      <w:szCs w:val="21"/>
                    </w:rPr>
                    <w:t>三角排列、水平排列</w:t>
                  </w:r>
                </w:p>
              </w:tc>
              <w:tc>
                <w:tcPr>
                  <w:tcW w:w="1997" w:type="dxa"/>
                  <w:vAlign w:val="center"/>
                </w:tcPr>
                <w:p w14:paraId="65772E46">
                  <w:pPr>
                    <w:pStyle w:val="90"/>
                    <w:snapToGrid w:val="0"/>
                    <w:spacing w:line="240" w:lineRule="auto"/>
                    <w:jc w:val="center"/>
                    <w:textAlignment w:val="auto"/>
                    <w:rPr>
                      <w:rFonts w:eastAsia="宋体"/>
                      <w:bCs/>
                      <w:color w:val="auto"/>
                      <w:sz w:val="21"/>
                    </w:rPr>
                  </w:pPr>
                  <w:r>
                    <w:rPr>
                      <w:rFonts w:eastAsia="宋体"/>
                      <w:color w:val="auto"/>
                      <w:sz w:val="21"/>
                    </w:rPr>
                    <w:t>三角排列</w:t>
                  </w:r>
                </w:p>
              </w:tc>
              <w:tc>
                <w:tcPr>
                  <w:tcW w:w="1543" w:type="dxa"/>
                  <w:vAlign w:val="center"/>
                </w:tcPr>
                <w:p w14:paraId="579BBA0F">
                  <w:pPr>
                    <w:autoSpaceDN w:val="0"/>
                    <w:adjustRightInd w:val="0"/>
                    <w:snapToGrid w:val="0"/>
                    <w:jc w:val="center"/>
                    <w:rPr>
                      <w:bCs/>
                      <w:color w:val="auto"/>
                      <w:szCs w:val="21"/>
                    </w:rPr>
                  </w:pPr>
                  <w:r>
                    <w:rPr>
                      <w:bCs/>
                      <w:color w:val="auto"/>
                      <w:szCs w:val="21"/>
                    </w:rPr>
                    <w:t>类似</w:t>
                  </w:r>
                </w:p>
              </w:tc>
            </w:tr>
            <w:tr w14:paraId="4712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479CC8CC">
                  <w:pPr>
                    <w:autoSpaceDN w:val="0"/>
                    <w:adjustRightInd w:val="0"/>
                    <w:snapToGrid w:val="0"/>
                    <w:jc w:val="center"/>
                    <w:rPr>
                      <w:bCs/>
                      <w:color w:val="auto"/>
                      <w:szCs w:val="21"/>
                    </w:rPr>
                  </w:pPr>
                  <w:r>
                    <w:rPr>
                      <w:bCs/>
                      <w:color w:val="auto"/>
                      <w:szCs w:val="21"/>
                    </w:rPr>
                    <w:t>导线分裂形式</w:t>
                  </w:r>
                </w:p>
              </w:tc>
              <w:tc>
                <w:tcPr>
                  <w:tcW w:w="3238" w:type="dxa"/>
                  <w:vAlign w:val="center"/>
                </w:tcPr>
                <w:p w14:paraId="6CE35437">
                  <w:pPr>
                    <w:autoSpaceDN w:val="0"/>
                    <w:adjustRightInd w:val="0"/>
                    <w:snapToGrid w:val="0"/>
                    <w:jc w:val="center"/>
                    <w:rPr>
                      <w:color w:val="auto"/>
                      <w:szCs w:val="21"/>
                    </w:rPr>
                  </w:pPr>
                  <w:r>
                    <w:rPr>
                      <w:color w:val="auto"/>
                      <w:szCs w:val="21"/>
                    </w:rPr>
                    <w:t>单分裂</w:t>
                  </w:r>
                </w:p>
              </w:tc>
              <w:tc>
                <w:tcPr>
                  <w:tcW w:w="1997" w:type="dxa"/>
                  <w:vAlign w:val="center"/>
                </w:tcPr>
                <w:p w14:paraId="1156C423">
                  <w:pPr>
                    <w:pStyle w:val="90"/>
                    <w:snapToGrid w:val="0"/>
                    <w:spacing w:line="240" w:lineRule="auto"/>
                    <w:jc w:val="center"/>
                    <w:textAlignment w:val="auto"/>
                    <w:rPr>
                      <w:rFonts w:eastAsia="宋体"/>
                      <w:bCs/>
                      <w:color w:val="auto"/>
                      <w:sz w:val="21"/>
                    </w:rPr>
                  </w:pPr>
                  <w:r>
                    <w:rPr>
                      <w:rFonts w:eastAsia="宋体"/>
                      <w:color w:val="auto"/>
                      <w:sz w:val="21"/>
                    </w:rPr>
                    <w:t>单分裂</w:t>
                  </w:r>
                </w:p>
              </w:tc>
              <w:tc>
                <w:tcPr>
                  <w:tcW w:w="1543" w:type="dxa"/>
                  <w:vAlign w:val="center"/>
                </w:tcPr>
                <w:p w14:paraId="4D181949">
                  <w:pPr>
                    <w:autoSpaceDN w:val="0"/>
                    <w:adjustRightInd w:val="0"/>
                    <w:snapToGrid w:val="0"/>
                    <w:jc w:val="center"/>
                    <w:rPr>
                      <w:bCs/>
                      <w:color w:val="auto"/>
                      <w:szCs w:val="21"/>
                    </w:rPr>
                  </w:pPr>
                  <w:r>
                    <w:rPr>
                      <w:bCs/>
                      <w:color w:val="auto"/>
                      <w:szCs w:val="21"/>
                    </w:rPr>
                    <w:t>一致</w:t>
                  </w:r>
                </w:p>
              </w:tc>
            </w:tr>
            <w:tr w14:paraId="5F20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43AD7F36">
                  <w:pPr>
                    <w:autoSpaceDN w:val="0"/>
                    <w:adjustRightInd w:val="0"/>
                    <w:snapToGrid w:val="0"/>
                    <w:jc w:val="center"/>
                    <w:rPr>
                      <w:bCs/>
                      <w:color w:val="auto"/>
                      <w:szCs w:val="21"/>
                    </w:rPr>
                  </w:pPr>
                  <w:r>
                    <w:rPr>
                      <w:bCs/>
                      <w:color w:val="auto"/>
                    </w:rPr>
                    <w:t>导线型号</w:t>
                  </w:r>
                </w:p>
              </w:tc>
              <w:tc>
                <w:tcPr>
                  <w:tcW w:w="3238" w:type="dxa"/>
                  <w:vAlign w:val="center"/>
                </w:tcPr>
                <w:p w14:paraId="37935536">
                  <w:pPr>
                    <w:autoSpaceDN w:val="0"/>
                    <w:adjustRightInd w:val="0"/>
                    <w:snapToGrid w:val="0"/>
                    <w:jc w:val="center"/>
                    <w:rPr>
                      <w:color w:val="auto"/>
                      <w:szCs w:val="21"/>
                    </w:rPr>
                  </w:pPr>
                  <w:r>
                    <w:rPr>
                      <w:color w:val="auto"/>
                      <w:szCs w:val="21"/>
                    </w:rPr>
                    <w:t>JL/G1A-185/30</w:t>
                  </w:r>
                </w:p>
              </w:tc>
              <w:tc>
                <w:tcPr>
                  <w:tcW w:w="1997" w:type="dxa"/>
                  <w:vAlign w:val="center"/>
                </w:tcPr>
                <w:p w14:paraId="20134C3C">
                  <w:pPr>
                    <w:autoSpaceDN w:val="0"/>
                    <w:adjustRightInd w:val="0"/>
                    <w:snapToGrid w:val="0"/>
                    <w:jc w:val="center"/>
                    <w:rPr>
                      <w:color w:val="auto"/>
                      <w:szCs w:val="21"/>
                    </w:rPr>
                  </w:pPr>
                  <w:r>
                    <w:rPr>
                      <w:bCs/>
                      <w:color w:val="auto"/>
                      <w:kern w:val="0"/>
                    </w:rPr>
                    <w:t>LGJ-300/25</w:t>
                  </w:r>
                </w:p>
              </w:tc>
              <w:tc>
                <w:tcPr>
                  <w:tcW w:w="1543" w:type="dxa"/>
                  <w:vAlign w:val="center"/>
                </w:tcPr>
                <w:p w14:paraId="60A47E71">
                  <w:pPr>
                    <w:autoSpaceDN w:val="0"/>
                    <w:adjustRightInd w:val="0"/>
                    <w:snapToGrid w:val="0"/>
                    <w:jc w:val="center"/>
                    <w:rPr>
                      <w:bCs/>
                      <w:color w:val="auto"/>
                      <w:szCs w:val="21"/>
                    </w:rPr>
                  </w:pPr>
                  <w:r>
                    <w:rPr>
                      <w:bCs/>
                      <w:color w:val="auto"/>
                      <w:szCs w:val="21"/>
                    </w:rPr>
                    <w:t>类似</w:t>
                  </w:r>
                </w:p>
              </w:tc>
            </w:tr>
            <w:tr w14:paraId="5D6A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14:paraId="4B11477E">
                  <w:pPr>
                    <w:autoSpaceDN w:val="0"/>
                    <w:adjustRightInd w:val="0"/>
                    <w:snapToGrid w:val="0"/>
                    <w:jc w:val="center"/>
                    <w:rPr>
                      <w:bCs/>
                      <w:color w:val="auto"/>
                      <w:szCs w:val="21"/>
                    </w:rPr>
                  </w:pPr>
                  <w:r>
                    <w:rPr>
                      <w:bCs/>
                      <w:color w:val="auto"/>
                      <w:szCs w:val="21"/>
                    </w:rPr>
                    <w:t>近地导线最小对地高度</w:t>
                  </w:r>
                </w:p>
              </w:tc>
              <w:tc>
                <w:tcPr>
                  <w:tcW w:w="3238" w:type="dxa"/>
                  <w:vAlign w:val="center"/>
                </w:tcPr>
                <w:p w14:paraId="304E35EA">
                  <w:pPr>
                    <w:autoSpaceDN w:val="0"/>
                    <w:adjustRightInd w:val="0"/>
                    <w:snapToGrid w:val="0"/>
                    <w:jc w:val="center"/>
                    <w:rPr>
                      <w:bCs/>
                      <w:color w:val="auto"/>
                      <w:szCs w:val="21"/>
                    </w:rPr>
                  </w:pPr>
                  <w:r>
                    <w:rPr>
                      <w:color w:val="auto"/>
                      <w:szCs w:val="21"/>
                    </w:rPr>
                    <w:t>设计导线对地高度最低约20m</w:t>
                  </w:r>
                </w:p>
              </w:tc>
              <w:tc>
                <w:tcPr>
                  <w:tcW w:w="1997" w:type="dxa"/>
                  <w:vAlign w:val="center"/>
                </w:tcPr>
                <w:p w14:paraId="0D181ED7">
                  <w:pPr>
                    <w:pStyle w:val="90"/>
                    <w:snapToGrid w:val="0"/>
                    <w:spacing w:line="240" w:lineRule="auto"/>
                    <w:jc w:val="center"/>
                    <w:textAlignment w:val="auto"/>
                    <w:rPr>
                      <w:rFonts w:eastAsia="宋体"/>
                      <w:bCs/>
                      <w:color w:val="auto"/>
                      <w:sz w:val="21"/>
                    </w:rPr>
                  </w:pPr>
                  <w:r>
                    <w:rPr>
                      <w:rFonts w:eastAsia="宋体"/>
                      <w:color w:val="auto"/>
                      <w:sz w:val="21"/>
                    </w:rPr>
                    <w:t>类比监测高度16m</w:t>
                  </w:r>
                </w:p>
              </w:tc>
              <w:tc>
                <w:tcPr>
                  <w:tcW w:w="1543" w:type="dxa"/>
                  <w:vAlign w:val="center"/>
                </w:tcPr>
                <w:p w14:paraId="65AF0BB6">
                  <w:pPr>
                    <w:autoSpaceDN w:val="0"/>
                    <w:adjustRightInd w:val="0"/>
                    <w:snapToGrid w:val="0"/>
                    <w:jc w:val="center"/>
                    <w:rPr>
                      <w:bCs/>
                      <w:color w:val="auto"/>
                      <w:szCs w:val="21"/>
                    </w:rPr>
                  </w:pPr>
                  <w:r>
                    <w:rPr>
                      <w:bCs/>
                      <w:color w:val="auto"/>
                    </w:rPr>
                    <w:t>本工程优</w:t>
                  </w:r>
                </w:p>
              </w:tc>
            </w:tr>
          </w:tbl>
          <w:p w14:paraId="44FC9E7A">
            <w:pPr>
              <w:autoSpaceDN w:val="0"/>
              <w:spacing w:line="360" w:lineRule="auto"/>
              <w:ind w:firstLine="480" w:firstLineChars="200"/>
              <w:jc w:val="left"/>
              <w:rPr>
                <w:bCs/>
                <w:color w:val="auto"/>
                <w:sz w:val="24"/>
              </w:rPr>
            </w:pPr>
            <w:r>
              <w:rPr>
                <w:bCs/>
                <w:color w:val="auto"/>
                <w:sz w:val="24"/>
              </w:rPr>
              <w:t>根据上表，本项目新建架空线路与类比线路具有相同的电压等级、回路数、导线分裂数，在导线排列方式以及导线型号方面类似，且本项目设计导线对地</w:t>
            </w:r>
            <w:r>
              <w:rPr>
                <w:color w:val="auto"/>
                <w:sz w:val="24"/>
              </w:rPr>
              <w:t>最低</w:t>
            </w:r>
            <w:r>
              <w:rPr>
                <w:bCs/>
                <w:color w:val="auto"/>
                <w:sz w:val="24"/>
              </w:rPr>
              <w:t>高度相比较类比线路更高。综合分析，两条线路具有一定的可比性，类比线路运行时产生的可听噪声能够反映本项目运行时对周围环境的影响。</w:t>
            </w:r>
          </w:p>
          <w:p w14:paraId="58CFFFB5">
            <w:pPr>
              <w:autoSpaceDN w:val="0"/>
              <w:adjustRightInd w:val="0"/>
              <w:snapToGrid w:val="0"/>
              <w:spacing w:line="360" w:lineRule="auto"/>
              <w:ind w:firstLine="482" w:firstLineChars="200"/>
              <w:rPr>
                <w:b/>
                <w:bCs/>
                <w:color w:val="auto"/>
                <w:sz w:val="24"/>
              </w:rPr>
            </w:pPr>
            <w:r>
              <w:rPr>
                <w:b/>
                <w:bCs/>
                <w:color w:val="auto"/>
                <w:sz w:val="24"/>
              </w:rPr>
              <w:t>（2）监测布点</w:t>
            </w:r>
          </w:p>
          <w:p w14:paraId="5C1F5381">
            <w:pPr>
              <w:autoSpaceDN w:val="0"/>
              <w:adjustRightInd w:val="0"/>
              <w:snapToGrid w:val="0"/>
              <w:spacing w:line="360" w:lineRule="auto"/>
              <w:ind w:firstLine="480" w:firstLineChars="200"/>
              <w:rPr>
                <w:bCs/>
                <w:color w:val="auto"/>
                <w:sz w:val="24"/>
              </w:rPr>
            </w:pPr>
            <w:r>
              <w:rPr>
                <w:color w:val="auto"/>
                <w:sz w:val="24"/>
              </w:rPr>
              <w:t>110kV蓝留线</w:t>
            </w:r>
            <w:r>
              <w:rPr>
                <w:bCs/>
                <w:color w:val="auto"/>
                <w:sz w:val="24"/>
              </w:rPr>
              <w:t>由</w:t>
            </w:r>
            <w:r>
              <w:rPr>
                <w:color w:val="auto"/>
                <w:sz w:val="24"/>
              </w:rPr>
              <w:t>河南省计量科学研究院</w:t>
            </w:r>
            <w:r>
              <w:rPr>
                <w:bCs/>
                <w:color w:val="auto"/>
                <w:sz w:val="24"/>
              </w:rPr>
              <w:t>于2014年11月24日对</w:t>
            </w:r>
            <w:r>
              <w:rPr>
                <w:iCs/>
                <w:color w:val="auto"/>
                <w:sz w:val="24"/>
              </w:rPr>
              <w:t>线路</w:t>
            </w:r>
            <w:r>
              <w:rPr>
                <w:bCs/>
                <w:color w:val="auto"/>
                <w:sz w:val="24"/>
              </w:rPr>
              <w:t>进行了噪声现状监测（兼容字20141107-H067），</w:t>
            </w:r>
            <w:r>
              <w:rPr>
                <w:bCs/>
                <w:color w:val="auto"/>
                <w:kern w:val="0"/>
                <w:sz w:val="24"/>
              </w:rPr>
              <w:t>详见附件5。</w:t>
            </w:r>
          </w:p>
          <w:p w14:paraId="5FEA9718">
            <w:pPr>
              <w:autoSpaceDN w:val="0"/>
              <w:adjustRightInd w:val="0"/>
              <w:snapToGrid w:val="0"/>
              <w:spacing w:line="360" w:lineRule="auto"/>
              <w:ind w:firstLine="482" w:firstLineChars="200"/>
              <w:rPr>
                <w:b/>
                <w:bCs/>
                <w:color w:val="auto"/>
                <w:sz w:val="24"/>
              </w:rPr>
            </w:pPr>
            <w:r>
              <w:rPr>
                <w:b/>
                <w:bCs/>
                <w:color w:val="auto"/>
                <w:sz w:val="24"/>
              </w:rPr>
              <w:t>（3）监测结果</w:t>
            </w:r>
          </w:p>
          <w:p w14:paraId="4080FDFC">
            <w:pPr>
              <w:pStyle w:val="53"/>
              <w:snapToGrid w:val="0"/>
              <w:rPr>
                <w:rFonts w:ascii="Times New Roman" w:hAnsi="Times New Roman" w:cs="Times New Roman"/>
                <w:b/>
                <w:color w:val="auto"/>
              </w:rPr>
            </w:pPr>
            <w:r>
              <w:rPr>
                <w:rFonts w:ascii="Times New Roman" w:hAnsi="Times New Roman" w:cs="Times New Roman"/>
                <w:bCs/>
                <w:color w:val="auto"/>
                <w:szCs w:val="24"/>
              </w:rPr>
              <w:t>监测结果见表4-3。</w:t>
            </w:r>
          </w:p>
          <w:p w14:paraId="7664160D">
            <w:pPr>
              <w:adjustRightInd w:val="0"/>
              <w:snapToGrid w:val="0"/>
              <w:jc w:val="center"/>
              <w:rPr>
                <w:b/>
                <w:color w:val="auto"/>
                <w:sz w:val="24"/>
              </w:rPr>
            </w:pPr>
            <w:r>
              <w:rPr>
                <w:b/>
                <w:color w:val="auto"/>
                <w:sz w:val="24"/>
              </w:rPr>
              <w:t>表4-3 类比线路110kV蓝留线噪声测量结果</w:t>
            </w:r>
          </w:p>
          <w:tbl>
            <w:tblPr>
              <w:tblStyle w:val="2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12"/>
              <w:gridCol w:w="1559"/>
              <w:gridCol w:w="1948"/>
              <w:gridCol w:w="1840"/>
            </w:tblGrid>
            <w:tr w14:paraId="391B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Merge w:val="restart"/>
                  <w:vAlign w:val="center"/>
                </w:tcPr>
                <w:p w14:paraId="1C680DB2">
                  <w:pPr>
                    <w:tabs>
                      <w:tab w:val="left" w:pos="6540"/>
                    </w:tabs>
                    <w:adjustRightInd w:val="0"/>
                    <w:snapToGrid w:val="0"/>
                    <w:jc w:val="center"/>
                    <w:rPr>
                      <w:color w:val="auto"/>
                      <w:szCs w:val="21"/>
                    </w:rPr>
                  </w:pPr>
                  <w:r>
                    <w:rPr>
                      <w:color w:val="auto"/>
                      <w:szCs w:val="21"/>
                    </w:rPr>
                    <w:t>测点编号</w:t>
                  </w:r>
                </w:p>
              </w:tc>
              <w:tc>
                <w:tcPr>
                  <w:tcW w:w="3371" w:type="dxa"/>
                  <w:gridSpan w:val="2"/>
                  <w:vMerge w:val="restart"/>
                  <w:vAlign w:val="center"/>
                </w:tcPr>
                <w:p w14:paraId="7E23F190">
                  <w:pPr>
                    <w:adjustRightInd w:val="0"/>
                    <w:snapToGrid w:val="0"/>
                    <w:jc w:val="center"/>
                    <w:rPr>
                      <w:color w:val="auto"/>
                      <w:szCs w:val="21"/>
                    </w:rPr>
                  </w:pPr>
                  <w:r>
                    <w:rPr>
                      <w:color w:val="auto"/>
                      <w:szCs w:val="21"/>
                    </w:rPr>
                    <w:t>衰减断面测点距起点距离</w:t>
                  </w:r>
                </w:p>
              </w:tc>
              <w:tc>
                <w:tcPr>
                  <w:tcW w:w="3788" w:type="dxa"/>
                  <w:gridSpan w:val="2"/>
                  <w:vAlign w:val="center"/>
                </w:tcPr>
                <w:p w14:paraId="3B4F896F">
                  <w:pPr>
                    <w:adjustRightInd w:val="0"/>
                    <w:snapToGrid w:val="0"/>
                    <w:jc w:val="center"/>
                    <w:rPr>
                      <w:color w:val="auto"/>
                      <w:szCs w:val="21"/>
                    </w:rPr>
                  </w:pPr>
                  <w:r>
                    <w:rPr>
                      <w:color w:val="auto"/>
                      <w:szCs w:val="21"/>
                    </w:rPr>
                    <w:t>1.5m高处噪声（dB(A)）</w:t>
                  </w:r>
                </w:p>
              </w:tc>
            </w:tr>
            <w:tr w14:paraId="5C67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Merge w:val="continue"/>
                  <w:vAlign w:val="center"/>
                </w:tcPr>
                <w:p w14:paraId="7F36642E">
                  <w:pPr>
                    <w:tabs>
                      <w:tab w:val="left" w:pos="6540"/>
                    </w:tabs>
                    <w:adjustRightInd w:val="0"/>
                    <w:snapToGrid w:val="0"/>
                    <w:jc w:val="center"/>
                    <w:rPr>
                      <w:color w:val="auto"/>
                      <w:szCs w:val="21"/>
                    </w:rPr>
                  </w:pPr>
                </w:p>
              </w:tc>
              <w:tc>
                <w:tcPr>
                  <w:tcW w:w="3371" w:type="dxa"/>
                  <w:gridSpan w:val="2"/>
                  <w:vMerge w:val="continue"/>
                  <w:vAlign w:val="center"/>
                </w:tcPr>
                <w:p w14:paraId="6D6EA122">
                  <w:pPr>
                    <w:adjustRightInd w:val="0"/>
                    <w:snapToGrid w:val="0"/>
                    <w:jc w:val="center"/>
                    <w:rPr>
                      <w:color w:val="auto"/>
                      <w:szCs w:val="21"/>
                    </w:rPr>
                  </w:pPr>
                </w:p>
              </w:tc>
              <w:tc>
                <w:tcPr>
                  <w:tcW w:w="1948" w:type="dxa"/>
                  <w:vAlign w:val="center"/>
                </w:tcPr>
                <w:p w14:paraId="16A29021">
                  <w:pPr>
                    <w:adjustRightInd w:val="0"/>
                    <w:snapToGrid w:val="0"/>
                    <w:jc w:val="center"/>
                    <w:rPr>
                      <w:color w:val="auto"/>
                      <w:szCs w:val="21"/>
                    </w:rPr>
                  </w:pPr>
                  <w:r>
                    <w:rPr>
                      <w:color w:val="auto"/>
                      <w:szCs w:val="21"/>
                    </w:rPr>
                    <w:t>昼间</w:t>
                  </w:r>
                </w:p>
              </w:tc>
              <w:tc>
                <w:tcPr>
                  <w:tcW w:w="1840" w:type="dxa"/>
                </w:tcPr>
                <w:p w14:paraId="4FB27ECA">
                  <w:pPr>
                    <w:adjustRightInd w:val="0"/>
                    <w:snapToGrid w:val="0"/>
                    <w:jc w:val="center"/>
                    <w:rPr>
                      <w:color w:val="auto"/>
                      <w:szCs w:val="21"/>
                    </w:rPr>
                  </w:pPr>
                  <w:r>
                    <w:rPr>
                      <w:color w:val="auto"/>
                      <w:szCs w:val="21"/>
                    </w:rPr>
                    <w:t>夜间</w:t>
                  </w:r>
                </w:p>
              </w:tc>
            </w:tr>
            <w:tr w14:paraId="479E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0F746535">
                  <w:pPr>
                    <w:tabs>
                      <w:tab w:val="left" w:pos="6540"/>
                    </w:tabs>
                    <w:adjustRightInd w:val="0"/>
                    <w:snapToGrid w:val="0"/>
                    <w:jc w:val="center"/>
                    <w:rPr>
                      <w:color w:val="auto"/>
                      <w:szCs w:val="21"/>
                    </w:rPr>
                  </w:pPr>
                  <w:r>
                    <w:rPr>
                      <w:color w:val="auto"/>
                      <w:szCs w:val="21"/>
                    </w:rPr>
                    <w:t>1</w:t>
                  </w:r>
                </w:p>
              </w:tc>
              <w:tc>
                <w:tcPr>
                  <w:tcW w:w="1812" w:type="dxa"/>
                  <w:vMerge w:val="restart"/>
                  <w:vAlign w:val="center"/>
                </w:tcPr>
                <w:p w14:paraId="7C226F76">
                  <w:pPr>
                    <w:tabs>
                      <w:tab w:val="left" w:pos="1845"/>
                      <w:tab w:val="left" w:pos="4080"/>
                    </w:tabs>
                    <w:adjustRightInd w:val="0"/>
                    <w:snapToGrid w:val="0"/>
                    <w:jc w:val="center"/>
                    <w:rPr>
                      <w:color w:val="auto"/>
                      <w:szCs w:val="21"/>
                    </w:rPr>
                  </w:pPr>
                  <w:r>
                    <w:rPr>
                      <w:color w:val="auto"/>
                      <w:szCs w:val="21"/>
                    </w:rPr>
                    <w:t>110kV蓝留线</w:t>
                  </w:r>
                </w:p>
              </w:tc>
              <w:tc>
                <w:tcPr>
                  <w:tcW w:w="1559" w:type="dxa"/>
                  <w:vAlign w:val="center"/>
                </w:tcPr>
                <w:p w14:paraId="42B4C36C">
                  <w:pPr>
                    <w:tabs>
                      <w:tab w:val="left" w:pos="1845"/>
                      <w:tab w:val="left" w:pos="4080"/>
                    </w:tabs>
                    <w:adjustRightInd w:val="0"/>
                    <w:snapToGrid w:val="0"/>
                    <w:jc w:val="center"/>
                    <w:rPr>
                      <w:color w:val="auto"/>
                      <w:spacing w:val="-20"/>
                      <w:szCs w:val="21"/>
                    </w:rPr>
                  </w:pPr>
                  <w:r>
                    <w:rPr>
                      <w:color w:val="auto"/>
                      <w:spacing w:val="-16"/>
                      <w:szCs w:val="21"/>
                    </w:rPr>
                    <w:t>中央投影</w:t>
                  </w:r>
                </w:p>
              </w:tc>
              <w:tc>
                <w:tcPr>
                  <w:tcW w:w="1948" w:type="dxa"/>
                  <w:vAlign w:val="center"/>
                </w:tcPr>
                <w:p w14:paraId="4588DCFF">
                  <w:pPr>
                    <w:adjustRightInd w:val="0"/>
                    <w:snapToGrid w:val="0"/>
                    <w:jc w:val="center"/>
                    <w:rPr>
                      <w:color w:val="auto"/>
                      <w:szCs w:val="21"/>
                      <w:lang w:val="en-GB"/>
                    </w:rPr>
                  </w:pPr>
                  <w:r>
                    <w:rPr>
                      <w:color w:val="auto"/>
                      <w:szCs w:val="21"/>
                      <w:lang w:val="en-GB"/>
                    </w:rPr>
                    <w:t>51.4</w:t>
                  </w:r>
                </w:p>
              </w:tc>
              <w:tc>
                <w:tcPr>
                  <w:tcW w:w="1840" w:type="dxa"/>
                  <w:vAlign w:val="center"/>
                </w:tcPr>
                <w:p w14:paraId="24183992">
                  <w:pPr>
                    <w:adjustRightInd w:val="0"/>
                    <w:snapToGrid w:val="0"/>
                    <w:jc w:val="center"/>
                    <w:rPr>
                      <w:color w:val="auto"/>
                      <w:szCs w:val="21"/>
                      <w:lang w:val="en-GB"/>
                    </w:rPr>
                  </w:pPr>
                  <w:r>
                    <w:rPr>
                      <w:color w:val="auto"/>
                      <w:szCs w:val="21"/>
                      <w:lang w:val="en-GB"/>
                    </w:rPr>
                    <w:t>40.8</w:t>
                  </w:r>
                </w:p>
              </w:tc>
            </w:tr>
            <w:tr w14:paraId="0C24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12E621F5">
                  <w:pPr>
                    <w:tabs>
                      <w:tab w:val="left" w:pos="6540"/>
                    </w:tabs>
                    <w:adjustRightInd w:val="0"/>
                    <w:snapToGrid w:val="0"/>
                    <w:jc w:val="center"/>
                    <w:rPr>
                      <w:color w:val="auto"/>
                      <w:szCs w:val="21"/>
                    </w:rPr>
                  </w:pPr>
                  <w:r>
                    <w:rPr>
                      <w:color w:val="auto"/>
                      <w:szCs w:val="21"/>
                    </w:rPr>
                    <w:t>2</w:t>
                  </w:r>
                </w:p>
              </w:tc>
              <w:tc>
                <w:tcPr>
                  <w:tcW w:w="1812" w:type="dxa"/>
                  <w:vMerge w:val="continue"/>
                  <w:vAlign w:val="center"/>
                </w:tcPr>
                <w:p w14:paraId="763F8BAA">
                  <w:pPr>
                    <w:tabs>
                      <w:tab w:val="left" w:pos="1845"/>
                      <w:tab w:val="left" w:pos="4080"/>
                    </w:tabs>
                    <w:adjustRightInd w:val="0"/>
                    <w:snapToGrid w:val="0"/>
                    <w:jc w:val="center"/>
                    <w:rPr>
                      <w:color w:val="auto"/>
                      <w:spacing w:val="-20"/>
                      <w:szCs w:val="21"/>
                    </w:rPr>
                  </w:pPr>
                </w:p>
              </w:tc>
              <w:tc>
                <w:tcPr>
                  <w:tcW w:w="1559" w:type="dxa"/>
                  <w:vAlign w:val="center"/>
                </w:tcPr>
                <w:p w14:paraId="5FF26D86">
                  <w:pPr>
                    <w:tabs>
                      <w:tab w:val="left" w:pos="1845"/>
                      <w:tab w:val="left" w:pos="4080"/>
                    </w:tabs>
                    <w:adjustRightInd w:val="0"/>
                    <w:snapToGrid w:val="0"/>
                    <w:jc w:val="center"/>
                    <w:rPr>
                      <w:color w:val="auto"/>
                      <w:spacing w:val="-20"/>
                      <w:szCs w:val="21"/>
                    </w:rPr>
                  </w:pPr>
                  <w:r>
                    <w:rPr>
                      <w:color w:val="auto"/>
                      <w:szCs w:val="21"/>
                    </w:rPr>
                    <w:t>5m</w:t>
                  </w:r>
                </w:p>
              </w:tc>
              <w:tc>
                <w:tcPr>
                  <w:tcW w:w="1948" w:type="dxa"/>
                  <w:vAlign w:val="center"/>
                </w:tcPr>
                <w:p w14:paraId="02E0D875">
                  <w:pPr>
                    <w:adjustRightInd w:val="0"/>
                    <w:snapToGrid w:val="0"/>
                    <w:jc w:val="center"/>
                    <w:rPr>
                      <w:color w:val="auto"/>
                      <w:szCs w:val="21"/>
                      <w:lang w:val="en-GB"/>
                    </w:rPr>
                  </w:pPr>
                  <w:r>
                    <w:rPr>
                      <w:color w:val="auto"/>
                      <w:szCs w:val="21"/>
                      <w:lang w:val="en-GB"/>
                    </w:rPr>
                    <w:t>51.2</w:t>
                  </w:r>
                </w:p>
              </w:tc>
              <w:tc>
                <w:tcPr>
                  <w:tcW w:w="1840" w:type="dxa"/>
                  <w:vAlign w:val="center"/>
                </w:tcPr>
                <w:p w14:paraId="397145A1">
                  <w:pPr>
                    <w:adjustRightInd w:val="0"/>
                    <w:snapToGrid w:val="0"/>
                    <w:jc w:val="center"/>
                    <w:rPr>
                      <w:color w:val="auto"/>
                      <w:szCs w:val="21"/>
                      <w:lang w:val="en-GB"/>
                    </w:rPr>
                  </w:pPr>
                  <w:r>
                    <w:rPr>
                      <w:color w:val="auto"/>
                      <w:szCs w:val="21"/>
                      <w:lang w:val="en-GB"/>
                    </w:rPr>
                    <w:t>39.6</w:t>
                  </w:r>
                </w:p>
              </w:tc>
            </w:tr>
            <w:tr w14:paraId="113F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3794302D">
                  <w:pPr>
                    <w:tabs>
                      <w:tab w:val="left" w:pos="6540"/>
                    </w:tabs>
                    <w:adjustRightInd w:val="0"/>
                    <w:snapToGrid w:val="0"/>
                    <w:jc w:val="center"/>
                    <w:rPr>
                      <w:color w:val="auto"/>
                      <w:szCs w:val="21"/>
                    </w:rPr>
                  </w:pPr>
                  <w:r>
                    <w:rPr>
                      <w:color w:val="auto"/>
                      <w:szCs w:val="21"/>
                    </w:rPr>
                    <w:t>3</w:t>
                  </w:r>
                </w:p>
              </w:tc>
              <w:tc>
                <w:tcPr>
                  <w:tcW w:w="1812" w:type="dxa"/>
                  <w:vMerge w:val="continue"/>
                  <w:vAlign w:val="center"/>
                </w:tcPr>
                <w:p w14:paraId="18AD3F2F">
                  <w:pPr>
                    <w:tabs>
                      <w:tab w:val="left" w:pos="1845"/>
                      <w:tab w:val="left" w:pos="4080"/>
                    </w:tabs>
                    <w:adjustRightInd w:val="0"/>
                    <w:snapToGrid w:val="0"/>
                    <w:jc w:val="center"/>
                    <w:rPr>
                      <w:color w:val="auto"/>
                      <w:spacing w:val="-20"/>
                      <w:szCs w:val="21"/>
                    </w:rPr>
                  </w:pPr>
                </w:p>
              </w:tc>
              <w:tc>
                <w:tcPr>
                  <w:tcW w:w="1559" w:type="dxa"/>
                  <w:vAlign w:val="center"/>
                </w:tcPr>
                <w:p w14:paraId="5A59C1F2">
                  <w:pPr>
                    <w:tabs>
                      <w:tab w:val="left" w:pos="1845"/>
                      <w:tab w:val="left" w:pos="4080"/>
                    </w:tabs>
                    <w:adjustRightInd w:val="0"/>
                    <w:snapToGrid w:val="0"/>
                    <w:jc w:val="center"/>
                    <w:rPr>
                      <w:color w:val="auto"/>
                      <w:spacing w:val="-20"/>
                      <w:szCs w:val="21"/>
                    </w:rPr>
                  </w:pPr>
                  <w:r>
                    <w:rPr>
                      <w:color w:val="auto"/>
                      <w:szCs w:val="21"/>
                    </w:rPr>
                    <w:t>10m</w:t>
                  </w:r>
                </w:p>
              </w:tc>
              <w:tc>
                <w:tcPr>
                  <w:tcW w:w="1948" w:type="dxa"/>
                  <w:vAlign w:val="center"/>
                </w:tcPr>
                <w:p w14:paraId="522B5E30">
                  <w:pPr>
                    <w:adjustRightInd w:val="0"/>
                    <w:snapToGrid w:val="0"/>
                    <w:jc w:val="center"/>
                    <w:rPr>
                      <w:color w:val="auto"/>
                      <w:szCs w:val="21"/>
                      <w:lang w:val="en-GB"/>
                    </w:rPr>
                  </w:pPr>
                  <w:r>
                    <w:rPr>
                      <w:color w:val="auto"/>
                      <w:szCs w:val="21"/>
                      <w:lang w:val="en-GB"/>
                    </w:rPr>
                    <w:t>51.4</w:t>
                  </w:r>
                </w:p>
              </w:tc>
              <w:tc>
                <w:tcPr>
                  <w:tcW w:w="1840" w:type="dxa"/>
                  <w:vAlign w:val="center"/>
                </w:tcPr>
                <w:p w14:paraId="4BB93AC7">
                  <w:pPr>
                    <w:adjustRightInd w:val="0"/>
                    <w:snapToGrid w:val="0"/>
                    <w:jc w:val="center"/>
                    <w:rPr>
                      <w:color w:val="auto"/>
                      <w:szCs w:val="21"/>
                      <w:lang w:val="en-GB"/>
                    </w:rPr>
                  </w:pPr>
                  <w:r>
                    <w:rPr>
                      <w:color w:val="auto"/>
                      <w:szCs w:val="21"/>
                      <w:lang w:val="en-GB"/>
                    </w:rPr>
                    <w:t>39.8</w:t>
                  </w:r>
                </w:p>
              </w:tc>
            </w:tr>
            <w:tr w14:paraId="1691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5611A357">
                  <w:pPr>
                    <w:tabs>
                      <w:tab w:val="left" w:pos="6540"/>
                    </w:tabs>
                    <w:adjustRightInd w:val="0"/>
                    <w:snapToGrid w:val="0"/>
                    <w:jc w:val="center"/>
                    <w:rPr>
                      <w:color w:val="auto"/>
                      <w:szCs w:val="21"/>
                    </w:rPr>
                  </w:pPr>
                  <w:r>
                    <w:rPr>
                      <w:color w:val="auto"/>
                      <w:szCs w:val="21"/>
                    </w:rPr>
                    <w:t>4</w:t>
                  </w:r>
                </w:p>
              </w:tc>
              <w:tc>
                <w:tcPr>
                  <w:tcW w:w="1812" w:type="dxa"/>
                  <w:vMerge w:val="continue"/>
                  <w:vAlign w:val="center"/>
                </w:tcPr>
                <w:p w14:paraId="7196D878">
                  <w:pPr>
                    <w:tabs>
                      <w:tab w:val="left" w:pos="1845"/>
                      <w:tab w:val="left" w:pos="4080"/>
                    </w:tabs>
                    <w:adjustRightInd w:val="0"/>
                    <w:snapToGrid w:val="0"/>
                    <w:jc w:val="center"/>
                    <w:rPr>
                      <w:color w:val="auto"/>
                      <w:spacing w:val="-20"/>
                      <w:szCs w:val="21"/>
                    </w:rPr>
                  </w:pPr>
                </w:p>
              </w:tc>
              <w:tc>
                <w:tcPr>
                  <w:tcW w:w="1559" w:type="dxa"/>
                  <w:vAlign w:val="center"/>
                </w:tcPr>
                <w:p w14:paraId="39526FA0">
                  <w:pPr>
                    <w:tabs>
                      <w:tab w:val="left" w:pos="1845"/>
                      <w:tab w:val="left" w:pos="4080"/>
                    </w:tabs>
                    <w:adjustRightInd w:val="0"/>
                    <w:snapToGrid w:val="0"/>
                    <w:jc w:val="center"/>
                    <w:rPr>
                      <w:color w:val="auto"/>
                      <w:spacing w:val="-20"/>
                      <w:szCs w:val="21"/>
                    </w:rPr>
                  </w:pPr>
                  <w:r>
                    <w:rPr>
                      <w:color w:val="auto"/>
                      <w:szCs w:val="21"/>
                    </w:rPr>
                    <w:t>15m</w:t>
                  </w:r>
                </w:p>
              </w:tc>
              <w:tc>
                <w:tcPr>
                  <w:tcW w:w="1948" w:type="dxa"/>
                  <w:vAlign w:val="center"/>
                </w:tcPr>
                <w:p w14:paraId="2AFA83AA">
                  <w:pPr>
                    <w:adjustRightInd w:val="0"/>
                    <w:snapToGrid w:val="0"/>
                    <w:jc w:val="center"/>
                    <w:rPr>
                      <w:color w:val="auto"/>
                      <w:szCs w:val="21"/>
                      <w:lang w:val="en-GB"/>
                    </w:rPr>
                  </w:pPr>
                  <w:r>
                    <w:rPr>
                      <w:color w:val="auto"/>
                      <w:szCs w:val="21"/>
                      <w:lang w:val="en-GB"/>
                    </w:rPr>
                    <w:t>51.0</w:t>
                  </w:r>
                </w:p>
              </w:tc>
              <w:tc>
                <w:tcPr>
                  <w:tcW w:w="1840" w:type="dxa"/>
                  <w:vAlign w:val="center"/>
                </w:tcPr>
                <w:p w14:paraId="30991543">
                  <w:pPr>
                    <w:adjustRightInd w:val="0"/>
                    <w:snapToGrid w:val="0"/>
                    <w:jc w:val="center"/>
                    <w:rPr>
                      <w:color w:val="auto"/>
                      <w:szCs w:val="21"/>
                      <w:lang w:val="en-GB"/>
                    </w:rPr>
                  </w:pPr>
                  <w:r>
                    <w:rPr>
                      <w:color w:val="auto"/>
                      <w:szCs w:val="21"/>
                      <w:lang w:val="en-GB"/>
                    </w:rPr>
                    <w:t>39.7</w:t>
                  </w:r>
                </w:p>
              </w:tc>
            </w:tr>
            <w:tr w14:paraId="4C0D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1C404529">
                  <w:pPr>
                    <w:tabs>
                      <w:tab w:val="left" w:pos="6540"/>
                    </w:tabs>
                    <w:adjustRightInd w:val="0"/>
                    <w:snapToGrid w:val="0"/>
                    <w:jc w:val="center"/>
                    <w:rPr>
                      <w:color w:val="auto"/>
                      <w:szCs w:val="21"/>
                    </w:rPr>
                  </w:pPr>
                  <w:r>
                    <w:rPr>
                      <w:color w:val="auto"/>
                      <w:szCs w:val="21"/>
                    </w:rPr>
                    <w:t>5</w:t>
                  </w:r>
                </w:p>
              </w:tc>
              <w:tc>
                <w:tcPr>
                  <w:tcW w:w="1812" w:type="dxa"/>
                  <w:vMerge w:val="continue"/>
                  <w:vAlign w:val="center"/>
                </w:tcPr>
                <w:p w14:paraId="4FB16364">
                  <w:pPr>
                    <w:tabs>
                      <w:tab w:val="left" w:pos="1845"/>
                      <w:tab w:val="left" w:pos="4080"/>
                    </w:tabs>
                    <w:adjustRightInd w:val="0"/>
                    <w:snapToGrid w:val="0"/>
                    <w:jc w:val="center"/>
                    <w:rPr>
                      <w:color w:val="auto"/>
                      <w:spacing w:val="-20"/>
                      <w:szCs w:val="21"/>
                    </w:rPr>
                  </w:pPr>
                </w:p>
              </w:tc>
              <w:tc>
                <w:tcPr>
                  <w:tcW w:w="1559" w:type="dxa"/>
                  <w:vAlign w:val="center"/>
                </w:tcPr>
                <w:p w14:paraId="1ED3F63F">
                  <w:pPr>
                    <w:tabs>
                      <w:tab w:val="left" w:pos="1845"/>
                      <w:tab w:val="left" w:pos="4080"/>
                    </w:tabs>
                    <w:adjustRightInd w:val="0"/>
                    <w:snapToGrid w:val="0"/>
                    <w:jc w:val="center"/>
                    <w:rPr>
                      <w:color w:val="auto"/>
                      <w:spacing w:val="-20"/>
                      <w:szCs w:val="21"/>
                    </w:rPr>
                  </w:pPr>
                  <w:r>
                    <w:rPr>
                      <w:color w:val="auto"/>
                      <w:szCs w:val="21"/>
                    </w:rPr>
                    <w:t>20m</w:t>
                  </w:r>
                </w:p>
              </w:tc>
              <w:tc>
                <w:tcPr>
                  <w:tcW w:w="1948" w:type="dxa"/>
                  <w:vAlign w:val="center"/>
                </w:tcPr>
                <w:p w14:paraId="0963F22A">
                  <w:pPr>
                    <w:adjustRightInd w:val="0"/>
                    <w:snapToGrid w:val="0"/>
                    <w:jc w:val="center"/>
                    <w:rPr>
                      <w:color w:val="auto"/>
                      <w:szCs w:val="21"/>
                      <w:lang w:val="en-GB"/>
                    </w:rPr>
                  </w:pPr>
                  <w:r>
                    <w:rPr>
                      <w:color w:val="auto"/>
                      <w:szCs w:val="21"/>
                      <w:lang w:val="en-GB"/>
                    </w:rPr>
                    <w:t>50.8</w:t>
                  </w:r>
                </w:p>
              </w:tc>
              <w:tc>
                <w:tcPr>
                  <w:tcW w:w="1840" w:type="dxa"/>
                  <w:vAlign w:val="center"/>
                </w:tcPr>
                <w:p w14:paraId="2562059F">
                  <w:pPr>
                    <w:adjustRightInd w:val="0"/>
                    <w:snapToGrid w:val="0"/>
                    <w:jc w:val="center"/>
                    <w:rPr>
                      <w:color w:val="auto"/>
                      <w:szCs w:val="21"/>
                      <w:lang w:val="en-GB"/>
                    </w:rPr>
                  </w:pPr>
                  <w:r>
                    <w:rPr>
                      <w:color w:val="auto"/>
                      <w:szCs w:val="21"/>
                      <w:lang w:val="en-GB"/>
                    </w:rPr>
                    <w:t>39.5</w:t>
                  </w:r>
                </w:p>
              </w:tc>
            </w:tr>
            <w:tr w14:paraId="4A9F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0723128B">
                  <w:pPr>
                    <w:tabs>
                      <w:tab w:val="left" w:pos="6540"/>
                    </w:tabs>
                    <w:adjustRightInd w:val="0"/>
                    <w:snapToGrid w:val="0"/>
                    <w:jc w:val="center"/>
                    <w:rPr>
                      <w:color w:val="auto"/>
                      <w:szCs w:val="21"/>
                    </w:rPr>
                  </w:pPr>
                  <w:r>
                    <w:rPr>
                      <w:color w:val="auto"/>
                      <w:szCs w:val="21"/>
                    </w:rPr>
                    <w:t>6</w:t>
                  </w:r>
                </w:p>
              </w:tc>
              <w:tc>
                <w:tcPr>
                  <w:tcW w:w="1812" w:type="dxa"/>
                  <w:vMerge w:val="continue"/>
                  <w:vAlign w:val="center"/>
                </w:tcPr>
                <w:p w14:paraId="183AA34D">
                  <w:pPr>
                    <w:tabs>
                      <w:tab w:val="left" w:pos="1845"/>
                      <w:tab w:val="left" w:pos="4080"/>
                    </w:tabs>
                    <w:adjustRightInd w:val="0"/>
                    <w:snapToGrid w:val="0"/>
                    <w:jc w:val="center"/>
                    <w:rPr>
                      <w:color w:val="auto"/>
                      <w:spacing w:val="-20"/>
                      <w:szCs w:val="21"/>
                    </w:rPr>
                  </w:pPr>
                </w:p>
              </w:tc>
              <w:tc>
                <w:tcPr>
                  <w:tcW w:w="1559" w:type="dxa"/>
                  <w:vAlign w:val="center"/>
                </w:tcPr>
                <w:p w14:paraId="230FD2C2">
                  <w:pPr>
                    <w:tabs>
                      <w:tab w:val="left" w:pos="1845"/>
                      <w:tab w:val="left" w:pos="4080"/>
                    </w:tabs>
                    <w:adjustRightInd w:val="0"/>
                    <w:snapToGrid w:val="0"/>
                    <w:jc w:val="center"/>
                    <w:rPr>
                      <w:color w:val="auto"/>
                      <w:spacing w:val="-20"/>
                      <w:szCs w:val="21"/>
                    </w:rPr>
                  </w:pPr>
                  <w:r>
                    <w:rPr>
                      <w:color w:val="auto"/>
                      <w:szCs w:val="21"/>
                    </w:rPr>
                    <w:t>25m</w:t>
                  </w:r>
                </w:p>
              </w:tc>
              <w:tc>
                <w:tcPr>
                  <w:tcW w:w="1948" w:type="dxa"/>
                  <w:vAlign w:val="center"/>
                </w:tcPr>
                <w:p w14:paraId="6DBAA90D">
                  <w:pPr>
                    <w:adjustRightInd w:val="0"/>
                    <w:snapToGrid w:val="0"/>
                    <w:jc w:val="center"/>
                    <w:rPr>
                      <w:color w:val="auto"/>
                      <w:szCs w:val="21"/>
                      <w:lang w:val="en-GB"/>
                    </w:rPr>
                  </w:pPr>
                  <w:r>
                    <w:rPr>
                      <w:color w:val="auto"/>
                      <w:szCs w:val="21"/>
                      <w:lang w:val="en-GB"/>
                    </w:rPr>
                    <w:t>50.7</w:t>
                  </w:r>
                </w:p>
              </w:tc>
              <w:tc>
                <w:tcPr>
                  <w:tcW w:w="1840" w:type="dxa"/>
                  <w:vAlign w:val="center"/>
                </w:tcPr>
                <w:p w14:paraId="04624493">
                  <w:pPr>
                    <w:adjustRightInd w:val="0"/>
                    <w:snapToGrid w:val="0"/>
                    <w:jc w:val="center"/>
                    <w:rPr>
                      <w:color w:val="auto"/>
                      <w:szCs w:val="21"/>
                      <w:lang w:val="en-GB"/>
                    </w:rPr>
                  </w:pPr>
                  <w:r>
                    <w:rPr>
                      <w:color w:val="auto"/>
                      <w:szCs w:val="21"/>
                      <w:lang w:val="en-GB"/>
                    </w:rPr>
                    <w:t>39.4</w:t>
                  </w:r>
                </w:p>
              </w:tc>
            </w:tr>
            <w:tr w14:paraId="35ED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09BFC917">
                  <w:pPr>
                    <w:tabs>
                      <w:tab w:val="left" w:pos="6540"/>
                    </w:tabs>
                    <w:adjustRightInd w:val="0"/>
                    <w:snapToGrid w:val="0"/>
                    <w:jc w:val="center"/>
                    <w:rPr>
                      <w:color w:val="auto"/>
                      <w:szCs w:val="21"/>
                    </w:rPr>
                  </w:pPr>
                  <w:r>
                    <w:rPr>
                      <w:color w:val="auto"/>
                      <w:szCs w:val="21"/>
                    </w:rPr>
                    <w:t>7</w:t>
                  </w:r>
                </w:p>
              </w:tc>
              <w:tc>
                <w:tcPr>
                  <w:tcW w:w="1812" w:type="dxa"/>
                  <w:vMerge w:val="continue"/>
                  <w:vAlign w:val="center"/>
                </w:tcPr>
                <w:p w14:paraId="67B799F7">
                  <w:pPr>
                    <w:tabs>
                      <w:tab w:val="left" w:pos="1845"/>
                      <w:tab w:val="left" w:pos="4080"/>
                    </w:tabs>
                    <w:adjustRightInd w:val="0"/>
                    <w:snapToGrid w:val="0"/>
                    <w:jc w:val="center"/>
                    <w:rPr>
                      <w:color w:val="auto"/>
                      <w:spacing w:val="-20"/>
                      <w:szCs w:val="21"/>
                    </w:rPr>
                  </w:pPr>
                </w:p>
              </w:tc>
              <w:tc>
                <w:tcPr>
                  <w:tcW w:w="1559" w:type="dxa"/>
                  <w:vAlign w:val="center"/>
                </w:tcPr>
                <w:p w14:paraId="6E81E148">
                  <w:pPr>
                    <w:tabs>
                      <w:tab w:val="left" w:pos="1845"/>
                      <w:tab w:val="left" w:pos="4080"/>
                    </w:tabs>
                    <w:adjustRightInd w:val="0"/>
                    <w:snapToGrid w:val="0"/>
                    <w:jc w:val="center"/>
                    <w:rPr>
                      <w:color w:val="auto"/>
                      <w:spacing w:val="-20"/>
                      <w:szCs w:val="21"/>
                    </w:rPr>
                  </w:pPr>
                  <w:r>
                    <w:rPr>
                      <w:color w:val="auto"/>
                      <w:szCs w:val="21"/>
                    </w:rPr>
                    <w:t>30m</w:t>
                  </w:r>
                </w:p>
              </w:tc>
              <w:tc>
                <w:tcPr>
                  <w:tcW w:w="1948" w:type="dxa"/>
                  <w:vAlign w:val="center"/>
                </w:tcPr>
                <w:p w14:paraId="2C3753C0">
                  <w:pPr>
                    <w:adjustRightInd w:val="0"/>
                    <w:snapToGrid w:val="0"/>
                    <w:jc w:val="center"/>
                    <w:rPr>
                      <w:color w:val="auto"/>
                      <w:szCs w:val="21"/>
                      <w:lang w:val="en-GB"/>
                    </w:rPr>
                  </w:pPr>
                  <w:r>
                    <w:rPr>
                      <w:color w:val="auto"/>
                      <w:szCs w:val="21"/>
                      <w:lang w:val="en-GB"/>
                    </w:rPr>
                    <w:t>50.8</w:t>
                  </w:r>
                </w:p>
              </w:tc>
              <w:tc>
                <w:tcPr>
                  <w:tcW w:w="1840" w:type="dxa"/>
                  <w:vAlign w:val="center"/>
                </w:tcPr>
                <w:p w14:paraId="02C084F7">
                  <w:pPr>
                    <w:adjustRightInd w:val="0"/>
                    <w:snapToGrid w:val="0"/>
                    <w:jc w:val="center"/>
                    <w:rPr>
                      <w:color w:val="auto"/>
                      <w:szCs w:val="21"/>
                      <w:lang w:val="en-GB"/>
                    </w:rPr>
                  </w:pPr>
                  <w:r>
                    <w:rPr>
                      <w:color w:val="auto"/>
                      <w:szCs w:val="21"/>
                      <w:lang w:val="en-GB"/>
                    </w:rPr>
                    <w:t>39.2</w:t>
                  </w:r>
                </w:p>
              </w:tc>
            </w:tr>
            <w:tr w14:paraId="0C3F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3006DF12">
                  <w:pPr>
                    <w:tabs>
                      <w:tab w:val="left" w:pos="6540"/>
                    </w:tabs>
                    <w:adjustRightInd w:val="0"/>
                    <w:snapToGrid w:val="0"/>
                    <w:jc w:val="center"/>
                    <w:rPr>
                      <w:color w:val="auto"/>
                      <w:szCs w:val="21"/>
                    </w:rPr>
                  </w:pPr>
                  <w:r>
                    <w:rPr>
                      <w:color w:val="auto"/>
                      <w:szCs w:val="21"/>
                    </w:rPr>
                    <w:t>8</w:t>
                  </w:r>
                </w:p>
              </w:tc>
              <w:tc>
                <w:tcPr>
                  <w:tcW w:w="1812" w:type="dxa"/>
                  <w:vMerge w:val="continue"/>
                  <w:vAlign w:val="center"/>
                </w:tcPr>
                <w:p w14:paraId="3EA1E3E9">
                  <w:pPr>
                    <w:tabs>
                      <w:tab w:val="left" w:pos="1845"/>
                      <w:tab w:val="left" w:pos="4080"/>
                    </w:tabs>
                    <w:adjustRightInd w:val="0"/>
                    <w:snapToGrid w:val="0"/>
                    <w:jc w:val="center"/>
                    <w:rPr>
                      <w:color w:val="auto"/>
                      <w:spacing w:val="-20"/>
                      <w:szCs w:val="21"/>
                    </w:rPr>
                  </w:pPr>
                </w:p>
              </w:tc>
              <w:tc>
                <w:tcPr>
                  <w:tcW w:w="1559" w:type="dxa"/>
                  <w:vAlign w:val="center"/>
                </w:tcPr>
                <w:p w14:paraId="2CC24252">
                  <w:pPr>
                    <w:tabs>
                      <w:tab w:val="left" w:pos="1845"/>
                      <w:tab w:val="left" w:pos="4080"/>
                    </w:tabs>
                    <w:adjustRightInd w:val="0"/>
                    <w:snapToGrid w:val="0"/>
                    <w:ind w:left="-107" w:leftChars="-51"/>
                    <w:jc w:val="center"/>
                    <w:rPr>
                      <w:color w:val="auto"/>
                      <w:spacing w:val="-20"/>
                      <w:szCs w:val="21"/>
                    </w:rPr>
                  </w:pPr>
                  <w:r>
                    <w:rPr>
                      <w:color w:val="auto"/>
                      <w:szCs w:val="21"/>
                    </w:rPr>
                    <w:t xml:space="preserve"> 35m</w:t>
                  </w:r>
                </w:p>
              </w:tc>
              <w:tc>
                <w:tcPr>
                  <w:tcW w:w="1948" w:type="dxa"/>
                  <w:vAlign w:val="center"/>
                </w:tcPr>
                <w:p w14:paraId="6FCA66F0">
                  <w:pPr>
                    <w:adjustRightInd w:val="0"/>
                    <w:snapToGrid w:val="0"/>
                    <w:jc w:val="center"/>
                    <w:rPr>
                      <w:color w:val="auto"/>
                      <w:szCs w:val="21"/>
                      <w:lang w:val="en-GB"/>
                    </w:rPr>
                  </w:pPr>
                  <w:r>
                    <w:rPr>
                      <w:color w:val="auto"/>
                      <w:szCs w:val="21"/>
                      <w:lang w:val="en-GB"/>
                    </w:rPr>
                    <w:t>50.2</w:t>
                  </w:r>
                </w:p>
              </w:tc>
              <w:tc>
                <w:tcPr>
                  <w:tcW w:w="1840" w:type="dxa"/>
                  <w:vAlign w:val="center"/>
                </w:tcPr>
                <w:p w14:paraId="0BE6A37A">
                  <w:pPr>
                    <w:adjustRightInd w:val="0"/>
                    <w:snapToGrid w:val="0"/>
                    <w:jc w:val="center"/>
                    <w:rPr>
                      <w:color w:val="auto"/>
                      <w:szCs w:val="21"/>
                      <w:lang w:val="en-GB"/>
                    </w:rPr>
                  </w:pPr>
                  <w:r>
                    <w:rPr>
                      <w:color w:val="auto"/>
                      <w:szCs w:val="21"/>
                      <w:lang w:val="en-GB"/>
                    </w:rPr>
                    <w:t>39.2</w:t>
                  </w:r>
                </w:p>
              </w:tc>
            </w:tr>
            <w:tr w14:paraId="3FC1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4D8A9063">
                  <w:pPr>
                    <w:tabs>
                      <w:tab w:val="left" w:pos="6540"/>
                    </w:tabs>
                    <w:adjustRightInd w:val="0"/>
                    <w:snapToGrid w:val="0"/>
                    <w:jc w:val="center"/>
                    <w:rPr>
                      <w:color w:val="auto"/>
                      <w:szCs w:val="21"/>
                    </w:rPr>
                  </w:pPr>
                  <w:r>
                    <w:rPr>
                      <w:color w:val="auto"/>
                      <w:szCs w:val="21"/>
                    </w:rPr>
                    <w:t>9</w:t>
                  </w:r>
                </w:p>
              </w:tc>
              <w:tc>
                <w:tcPr>
                  <w:tcW w:w="1812" w:type="dxa"/>
                  <w:vMerge w:val="continue"/>
                  <w:vAlign w:val="center"/>
                </w:tcPr>
                <w:p w14:paraId="322DCACA">
                  <w:pPr>
                    <w:tabs>
                      <w:tab w:val="left" w:pos="1845"/>
                      <w:tab w:val="left" w:pos="4080"/>
                    </w:tabs>
                    <w:adjustRightInd w:val="0"/>
                    <w:snapToGrid w:val="0"/>
                    <w:jc w:val="center"/>
                    <w:rPr>
                      <w:color w:val="auto"/>
                      <w:spacing w:val="-20"/>
                      <w:szCs w:val="21"/>
                    </w:rPr>
                  </w:pPr>
                </w:p>
              </w:tc>
              <w:tc>
                <w:tcPr>
                  <w:tcW w:w="1559" w:type="dxa"/>
                  <w:vAlign w:val="center"/>
                </w:tcPr>
                <w:p w14:paraId="64647954">
                  <w:pPr>
                    <w:tabs>
                      <w:tab w:val="left" w:pos="1845"/>
                      <w:tab w:val="left" w:pos="4080"/>
                    </w:tabs>
                    <w:adjustRightInd w:val="0"/>
                    <w:snapToGrid w:val="0"/>
                    <w:jc w:val="center"/>
                    <w:rPr>
                      <w:color w:val="auto"/>
                      <w:spacing w:val="-20"/>
                      <w:szCs w:val="21"/>
                    </w:rPr>
                  </w:pPr>
                  <w:r>
                    <w:rPr>
                      <w:color w:val="auto"/>
                      <w:szCs w:val="21"/>
                    </w:rPr>
                    <w:t>40m</w:t>
                  </w:r>
                </w:p>
              </w:tc>
              <w:tc>
                <w:tcPr>
                  <w:tcW w:w="1948" w:type="dxa"/>
                  <w:vAlign w:val="center"/>
                </w:tcPr>
                <w:p w14:paraId="5F7D8733">
                  <w:pPr>
                    <w:adjustRightInd w:val="0"/>
                    <w:snapToGrid w:val="0"/>
                    <w:jc w:val="center"/>
                    <w:rPr>
                      <w:color w:val="auto"/>
                      <w:szCs w:val="21"/>
                      <w:lang w:val="en-GB"/>
                    </w:rPr>
                  </w:pPr>
                  <w:r>
                    <w:rPr>
                      <w:color w:val="auto"/>
                      <w:szCs w:val="21"/>
                      <w:lang w:val="en-GB"/>
                    </w:rPr>
                    <w:t>50.5</w:t>
                  </w:r>
                </w:p>
              </w:tc>
              <w:tc>
                <w:tcPr>
                  <w:tcW w:w="1840" w:type="dxa"/>
                  <w:vAlign w:val="center"/>
                </w:tcPr>
                <w:p w14:paraId="1527B74B">
                  <w:pPr>
                    <w:adjustRightInd w:val="0"/>
                    <w:snapToGrid w:val="0"/>
                    <w:jc w:val="center"/>
                    <w:rPr>
                      <w:color w:val="auto"/>
                      <w:szCs w:val="21"/>
                      <w:lang w:val="en-GB"/>
                    </w:rPr>
                  </w:pPr>
                  <w:r>
                    <w:rPr>
                      <w:color w:val="auto"/>
                      <w:szCs w:val="21"/>
                      <w:lang w:val="en-GB"/>
                    </w:rPr>
                    <w:t>39.0</w:t>
                  </w:r>
                </w:p>
              </w:tc>
            </w:tr>
            <w:tr w14:paraId="37B2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3107D882">
                  <w:pPr>
                    <w:tabs>
                      <w:tab w:val="left" w:pos="6540"/>
                    </w:tabs>
                    <w:adjustRightInd w:val="0"/>
                    <w:snapToGrid w:val="0"/>
                    <w:jc w:val="center"/>
                    <w:rPr>
                      <w:color w:val="auto"/>
                      <w:szCs w:val="21"/>
                    </w:rPr>
                  </w:pPr>
                  <w:r>
                    <w:rPr>
                      <w:color w:val="auto"/>
                      <w:szCs w:val="21"/>
                    </w:rPr>
                    <w:t>10</w:t>
                  </w:r>
                </w:p>
              </w:tc>
              <w:tc>
                <w:tcPr>
                  <w:tcW w:w="1812" w:type="dxa"/>
                  <w:vMerge w:val="continue"/>
                  <w:vAlign w:val="center"/>
                </w:tcPr>
                <w:p w14:paraId="0C4D377C">
                  <w:pPr>
                    <w:tabs>
                      <w:tab w:val="left" w:pos="1845"/>
                      <w:tab w:val="left" w:pos="4080"/>
                    </w:tabs>
                    <w:adjustRightInd w:val="0"/>
                    <w:snapToGrid w:val="0"/>
                    <w:jc w:val="center"/>
                    <w:rPr>
                      <w:color w:val="auto"/>
                      <w:spacing w:val="-20"/>
                      <w:szCs w:val="21"/>
                    </w:rPr>
                  </w:pPr>
                </w:p>
              </w:tc>
              <w:tc>
                <w:tcPr>
                  <w:tcW w:w="1559" w:type="dxa"/>
                  <w:vAlign w:val="center"/>
                </w:tcPr>
                <w:p w14:paraId="285FB02E">
                  <w:pPr>
                    <w:tabs>
                      <w:tab w:val="left" w:pos="1845"/>
                      <w:tab w:val="left" w:pos="4080"/>
                    </w:tabs>
                    <w:adjustRightInd w:val="0"/>
                    <w:snapToGrid w:val="0"/>
                    <w:jc w:val="center"/>
                    <w:rPr>
                      <w:color w:val="auto"/>
                      <w:spacing w:val="-20"/>
                      <w:szCs w:val="21"/>
                    </w:rPr>
                  </w:pPr>
                  <w:r>
                    <w:rPr>
                      <w:color w:val="auto"/>
                      <w:szCs w:val="21"/>
                    </w:rPr>
                    <w:t>45m</w:t>
                  </w:r>
                </w:p>
              </w:tc>
              <w:tc>
                <w:tcPr>
                  <w:tcW w:w="1948" w:type="dxa"/>
                  <w:vAlign w:val="center"/>
                </w:tcPr>
                <w:p w14:paraId="4EFEBED1">
                  <w:pPr>
                    <w:adjustRightInd w:val="0"/>
                    <w:snapToGrid w:val="0"/>
                    <w:jc w:val="center"/>
                    <w:rPr>
                      <w:color w:val="auto"/>
                      <w:szCs w:val="21"/>
                      <w:lang w:val="en-GB"/>
                    </w:rPr>
                  </w:pPr>
                  <w:r>
                    <w:rPr>
                      <w:color w:val="auto"/>
                      <w:szCs w:val="21"/>
                      <w:lang w:val="en-GB"/>
                    </w:rPr>
                    <w:t>50.2</w:t>
                  </w:r>
                </w:p>
              </w:tc>
              <w:tc>
                <w:tcPr>
                  <w:tcW w:w="1840" w:type="dxa"/>
                  <w:vAlign w:val="center"/>
                </w:tcPr>
                <w:p w14:paraId="442D20FF">
                  <w:pPr>
                    <w:adjustRightInd w:val="0"/>
                    <w:snapToGrid w:val="0"/>
                    <w:jc w:val="center"/>
                    <w:rPr>
                      <w:color w:val="auto"/>
                      <w:szCs w:val="21"/>
                      <w:lang w:val="en-GB"/>
                    </w:rPr>
                  </w:pPr>
                  <w:r>
                    <w:rPr>
                      <w:color w:val="auto"/>
                      <w:szCs w:val="21"/>
                      <w:lang w:val="en-GB"/>
                    </w:rPr>
                    <w:t>39.0</w:t>
                  </w:r>
                </w:p>
              </w:tc>
            </w:tr>
            <w:tr w14:paraId="0E72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center"/>
                </w:tcPr>
                <w:p w14:paraId="0E06842E">
                  <w:pPr>
                    <w:tabs>
                      <w:tab w:val="left" w:pos="6540"/>
                    </w:tabs>
                    <w:adjustRightInd w:val="0"/>
                    <w:snapToGrid w:val="0"/>
                    <w:jc w:val="center"/>
                    <w:rPr>
                      <w:color w:val="auto"/>
                      <w:szCs w:val="21"/>
                    </w:rPr>
                  </w:pPr>
                  <w:r>
                    <w:rPr>
                      <w:color w:val="auto"/>
                      <w:szCs w:val="21"/>
                    </w:rPr>
                    <w:t>11</w:t>
                  </w:r>
                </w:p>
              </w:tc>
              <w:tc>
                <w:tcPr>
                  <w:tcW w:w="1812" w:type="dxa"/>
                  <w:vMerge w:val="continue"/>
                  <w:vAlign w:val="center"/>
                </w:tcPr>
                <w:p w14:paraId="3E445712">
                  <w:pPr>
                    <w:tabs>
                      <w:tab w:val="left" w:pos="1845"/>
                      <w:tab w:val="left" w:pos="4080"/>
                    </w:tabs>
                    <w:adjustRightInd w:val="0"/>
                    <w:snapToGrid w:val="0"/>
                    <w:jc w:val="center"/>
                    <w:rPr>
                      <w:color w:val="auto"/>
                      <w:spacing w:val="-20"/>
                      <w:szCs w:val="21"/>
                    </w:rPr>
                  </w:pPr>
                </w:p>
              </w:tc>
              <w:tc>
                <w:tcPr>
                  <w:tcW w:w="1559" w:type="dxa"/>
                  <w:vAlign w:val="center"/>
                </w:tcPr>
                <w:p w14:paraId="35017305">
                  <w:pPr>
                    <w:tabs>
                      <w:tab w:val="left" w:pos="1845"/>
                      <w:tab w:val="left" w:pos="4080"/>
                    </w:tabs>
                    <w:adjustRightInd w:val="0"/>
                    <w:snapToGrid w:val="0"/>
                    <w:jc w:val="center"/>
                    <w:rPr>
                      <w:color w:val="auto"/>
                      <w:spacing w:val="-20"/>
                      <w:szCs w:val="21"/>
                    </w:rPr>
                  </w:pPr>
                  <w:r>
                    <w:rPr>
                      <w:color w:val="auto"/>
                      <w:szCs w:val="21"/>
                    </w:rPr>
                    <w:t>50m</w:t>
                  </w:r>
                </w:p>
              </w:tc>
              <w:tc>
                <w:tcPr>
                  <w:tcW w:w="1948" w:type="dxa"/>
                  <w:vAlign w:val="center"/>
                </w:tcPr>
                <w:p w14:paraId="13FA3C7A">
                  <w:pPr>
                    <w:adjustRightInd w:val="0"/>
                    <w:snapToGrid w:val="0"/>
                    <w:jc w:val="center"/>
                    <w:rPr>
                      <w:color w:val="auto"/>
                      <w:szCs w:val="21"/>
                      <w:lang w:val="en-GB"/>
                    </w:rPr>
                  </w:pPr>
                  <w:r>
                    <w:rPr>
                      <w:color w:val="auto"/>
                      <w:szCs w:val="21"/>
                      <w:lang w:val="en-GB"/>
                    </w:rPr>
                    <w:t>49.8</w:t>
                  </w:r>
                </w:p>
              </w:tc>
              <w:tc>
                <w:tcPr>
                  <w:tcW w:w="1840" w:type="dxa"/>
                  <w:vAlign w:val="center"/>
                </w:tcPr>
                <w:p w14:paraId="5F6CEE9B">
                  <w:pPr>
                    <w:adjustRightInd w:val="0"/>
                    <w:snapToGrid w:val="0"/>
                    <w:jc w:val="center"/>
                    <w:rPr>
                      <w:color w:val="auto"/>
                      <w:szCs w:val="21"/>
                      <w:lang w:val="en-GB"/>
                    </w:rPr>
                  </w:pPr>
                  <w:r>
                    <w:rPr>
                      <w:color w:val="auto"/>
                      <w:szCs w:val="21"/>
                      <w:lang w:val="en-GB"/>
                    </w:rPr>
                    <w:t>38.1</w:t>
                  </w:r>
                </w:p>
              </w:tc>
            </w:tr>
          </w:tbl>
          <w:p w14:paraId="227FB078">
            <w:pPr>
              <w:jc w:val="center"/>
              <w:rPr>
                <w:color w:val="auto"/>
                <w:sz w:val="18"/>
                <w:szCs w:val="18"/>
              </w:rPr>
            </w:pPr>
          </w:p>
          <w:p w14:paraId="1679C6F1">
            <w:pPr>
              <w:jc w:val="center"/>
              <w:rPr>
                <w:color w:val="auto"/>
                <w:sz w:val="24"/>
              </w:rPr>
            </w:pPr>
            <w:r>
              <w:rPr>
                <w:color w:val="auto"/>
                <w:sz w:val="24"/>
              </w:rPr>
              <w:drawing>
                <wp:inline distT="0" distB="0" distL="114300" distR="114300">
                  <wp:extent cx="3173095" cy="1965325"/>
                  <wp:effectExtent l="0" t="0" r="8255" b="15875"/>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3"/>
                          <a:stretch>
                            <a:fillRect/>
                          </a:stretch>
                        </pic:blipFill>
                        <pic:spPr>
                          <a:xfrm>
                            <a:off x="0" y="0"/>
                            <a:ext cx="3173095" cy="1965325"/>
                          </a:xfrm>
                          <a:prstGeom prst="rect">
                            <a:avLst/>
                          </a:prstGeom>
                          <a:noFill/>
                          <a:ln w="9525">
                            <a:noFill/>
                          </a:ln>
                        </pic:spPr>
                      </pic:pic>
                    </a:graphicData>
                  </a:graphic>
                </wp:inline>
              </w:drawing>
            </w:r>
          </w:p>
          <w:p w14:paraId="2BB936A3">
            <w:pPr>
              <w:adjustRightInd w:val="0"/>
              <w:snapToGrid w:val="0"/>
              <w:spacing w:line="360" w:lineRule="auto"/>
              <w:jc w:val="center"/>
              <w:rPr>
                <w:color w:val="auto"/>
                <w:sz w:val="24"/>
              </w:rPr>
            </w:pPr>
            <w:r>
              <w:rPr>
                <w:b/>
                <w:color w:val="auto"/>
                <w:sz w:val="24"/>
              </w:rPr>
              <w:t>图4-3  110kV蓝留线噪声衰减断面图</w:t>
            </w:r>
          </w:p>
          <w:p w14:paraId="4FE4393D">
            <w:pPr>
              <w:adjustRightInd w:val="0"/>
              <w:snapToGrid w:val="0"/>
              <w:spacing w:line="360" w:lineRule="auto"/>
              <w:ind w:firstLine="480" w:firstLineChars="200"/>
              <w:rPr>
                <w:color w:val="auto"/>
                <w:sz w:val="24"/>
              </w:rPr>
            </w:pPr>
            <w:r>
              <w:rPr>
                <w:color w:val="auto"/>
                <w:sz w:val="24"/>
              </w:rPr>
              <w:t>由表4-3、图4-3可知，在监测工况下， 110kV蓝留线监测断面噪声最大值出现在起点处，昼间噪声最大值为51.4</w:t>
            </w:r>
            <w:r>
              <w:rPr>
                <w:color w:val="auto"/>
              </w:rPr>
              <w:t xml:space="preserve"> </w:t>
            </w:r>
            <w:r>
              <w:rPr>
                <w:color w:val="auto"/>
                <w:sz w:val="24"/>
              </w:rPr>
              <w:t>dB(A)，夜间噪声最大值为40.8</w:t>
            </w:r>
            <w:r>
              <w:rPr>
                <w:color w:val="auto"/>
              </w:rPr>
              <w:t xml:space="preserve"> </w:t>
            </w:r>
            <w:r>
              <w:rPr>
                <w:color w:val="auto"/>
                <w:sz w:val="24"/>
              </w:rPr>
              <w:t>dB(A)，均能够满足《声环境质量标准》（GB3096－2008）中</w:t>
            </w:r>
            <w:r>
              <w:rPr>
                <w:rFonts w:hint="eastAsia"/>
                <w:color w:val="auto"/>
                <w:sz w:val="24"/>
              </w:rPr>
              <w:t>2</w:t>
            </w:r>
            <w:r>
              <w:rPr>
                <w:color w:val="auto"/>
                <w:sz w:val="24"/>
              </w:rPr>
              <w:t>类标准要求。从断面变化上分析，线路断面噪声总体受线路监测位置变动产生的变化并不大，线路噪声对环境噪声贡献不明显。</w:t>
            </w:r>
          </w:p>
          <w:p w14:paraId="6DFB6DA3">
            <w:pPr>
              <w:adjustRightInd w:val="0"/>
              <w:snapToGrid w:val="0"/>
              <w:spacing w:line="360" w:lineRule="auto"/>
              <w:rPr>
                <w:b/>
                <w:color w:val="auto"/>
                <w:sz w:val="24"/>
              </w:rPr>
            </w:pPr>
            <w:r>
              <w:rPr>
                <w:b/>
                <w:color w:val="auto"/>
                <w:sz w:val="24"/>
              </w:rPr>
              <w:t>2.2环境保护目标声环境影响分析</w:t>
            </w:r>
          </w:p>
          <w:p w14:paraId="1F001DE1">
            <w:pPr>
              <w:adjustRightInd w:val="0"/>
              <w:snapToGrid w:val="0"/>
              <w:spacing w:line="360" w:lineRule="auto"/>
              <w:ind w:firstLine="482"/>
              <w:rPr>
                <w:color w:val="auto"/>
              </w:rPr>
            </w:pPr>
            <w:r>
              <w:rPr>
                <w:color w:val="auto"/>
                <w:sz w:val="24"/>
              </w:rPr>
              <w:t>根据现场调查，本项目新建</w:t>
            </w:r>
            <w:r>
              <w:rPr>
                <w:bCs/>
                <w:color w:val="auto"/>
                <w:sz w:val="24"/>
              </w:rPr>
              <w:t>110kV单回架空线路沿线评价范围内无居民点、学校等声环境保护目标分布。</w:t>
            </w:r>
          </w:p>
        </w:tc>
      </w:tr>
      <w:tr w14:paraId="209C2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397D6C1E">
            <w:pPr>
              <w:widowControl/>
              <w:adjustRightInd w:val="0"/>
              <w:snapToGrid w:val="0"/>
              <w:jc w:val="center"/>
              <w:rPr>
                <w:b/>
                <w:bCs/>
                <w:color w:val="auto"/>
                <w:sz w:val="24"/>
              </w:rPr>
            </w:pPr>
            <w:r>
              <w:rPr>
                <w:b/>
                <w:bCs/>
                <w:color w:val="auto"/>
                <w:sz w:val="24"/>
              </w:rPr>
              <w:t>选址选线环境合理性分析</w:t>
            </w:r>
          </w:p>
        </w:tc>
        <w:tc>
          <w:tcPr>
            <w:tcW w:w="8947" w:type="dxa"/>
          </w:tcPr>
          <w:p w14:paraId="7AA4B7A9">
            <w:pPr>
              <w:autoSpaceDN w:val="0"/>
              <w:spacing w:line="360" w:lineRule="auto"/>
              <w:rPr>
                <w:bCs/>
                <w:color w:val="auto"/>
                <w:sz w:val="24"/>
              </w:rPr>
            </w:pPr>
            <w:r>
              <w:rPr>
                <w:b/>
                <w:color w:val="auto"/>
                <w:sz w:val="24"/>
              </w:rPr>
              <w:t>1、环境制约因素分析</w:t>
            </w:r>
          </w:p>
          <w:p w14:paraId="05FA4766">
            <w:pPr>
              <w:pStyle w:val="2"/>
              <w:snapToGrid w:val="0"/>
              <w:spacing w:line="360" w:lineRule="auto"/>
              <w:ind w:firstLine="480" w:firstLineChars="200"/>
              <w:rPr>
                <w:rFonts w:ascii="Times New Roman" w:hAnsi="Times New Roman" w:cs="Times New Roman"/>
                <w:bCs/>
                <w:color w:val="auto"/>
                <w:sz w:val="24"/>
              </w:rPr>
            </w:pPr>
            <w:r>
              <w:rPr>
                <w:rFonts w:ascii="Times New Roman" w:hAnsi="Times New Roman" w:cs="Times New Roman"/>
                <w:color w:val="auto"/>
                <w:sz w:val="24"/>
                <w:szCs w:val="24"/>
              </w:rPr>
              <w:t>根据建设单位提供资料，本项目线路方案已经取得重庆市涪陵区规划和自然资源局选址意见书（用字第市政500102202100029号）。本项目线路路径较短，经监测，</w:t>
            </w:r>
            <w:r>
              <w:rPr>
                <w:rFonts w:ascii="Times New Roman" w:hAnsi="Times New Roman" w:cs="Times New Roman"/>
                <w:color w:val="auto"/>
                <w:kern w:val="0"/>
                <w:sz w:val="24"/>
              </w:rPr>
              <w:t>110</w:t>
            </w:r>
            <w:r>
              <w:rPr>
                <w:rFonts w:ascii="Times New Roman" w:hAnsi="Times New Roman" w:cs="Times New Roman"/>
                <w:color w:val="auto"/>
                <w:sz w:val="24"/>
                <w:szCs w:val="24"/>
              </w:rPr>
              <w:t>kV</w:t>
            </w:r>
            <w:r>
              <w:rPr>
                <w:rFonts w:ascii="Times New Roman" w:hAnsi="Times New Roman" w:cs="Times New Roman"/>
                <w:color w:val="auto"/>
                <w:kern w:val="0"/>
                <w:sz w:val="24"/>
              </w:rPr>
              <w:t>油华线</w:t>
            </w:r>
            <w:r>
              <w:rPr>
                <w:rFonts w:ascii="Times New Roman" w:hAnsi="Times New Roman" w:cs="Times New Roman"/>
                <w:color w:val="auto"/>
                <w:sz w:val="24"/>
                <w:szCs w:val="24"/>
              </w:rPr>
              <w:t>4号至11号段线路沿线的电磁及声环境质量现状均能达到相关标准要求，</w:t>
            </w:r>
            <w:r>
              <w:rPr>
                <w:rFonts w:ascii="Times New Roman" w:hAnsi="Times New Roman" w:cs="Times New Roman"/>
                <w:bCs/>
                <w:color w:val="auto"/>
                <w:sz w:val="24"/>
              </w:rPr>
              <w:t>因此，本项目110kV线路的建设不存在环境制约因素。</w:t>
            </w:r>
          </w:p>
          <w:p w14:paraId="69679275">
            <w:pPr>
              <w:adjustRightInd w:val="0"/>
              <w:spacing w:line="360" w:lineRule="auto"/>
              <w:textAlignment w:val="baseline"/>
              <w:rPr>
                <w:b/>
                <w:bCs/>
                <w:color w:val="auto"/>
                <w:kern w:val="0"/>
                <w:sz w:val="24"/>
                <w:szCs w:val="20"/>
              </w:rPr>
            </w:pPr>
            <w:r>
              <w:rPr>
                <w:b/>
                <w:bCs/>
                <w:color w:val="auto"/>
                <w:kern w:val="0"/>
                <w:sz w:val="24"/>
                <w:szCs w:val="20"/>
              </w:rPr>
              <w:t>2、环境影响程度分析</w:t>
            </w:r>
          </w:p>
          <w:p w14:paraId="763929C3">
            <w:pPr>
              <w:autoSpaceDN w:val="0"/>
              <w:adjustRightInd w:val="0"/>
              <w:snapToGrid w:val="0"/>
              <w:spacing w:line="360" w:lineRule="auto"/>
              <w:ind w:firstLine="480" w:firstLineChars="200"/>
              <w:rPr>
                <w:bCs/>
                <w:color w:val="auto"/>
                <w:sz w:val="24"/>
              </w:rPr>
            </w:pPr>
            <w:r>
              <w:rPr>
                <w:color w:val="auto"/>
                <w:sz w:val="24"/>
              </w:rPr>
              <w:t>根据可研资料，本期新建</w:t>
            </w:r>
            <w:r>
              <w:rPr>
                <w:bCs/>
                <w:color w:val="auto"/>
                <w:sz w:val="24"/>
              </w:rPr>
              <w:t>110kV单回架空线路路径较短</w:t>
            </w:r>
            <w:r>
              <w:rPr>
                <w:color w:val="auto"/>
                <w:sz w:val="24"/>
              </w:rPr>
              <w:t>，</w:t>
            </w:r>
            <w:r>
              <w:rPr>
                <w:bCs/>
                <w:color w:val="auto"/>
                <w:sz w:val="24"/>
              </w:rPr>
              <w:t>施工量较小，工期较短。通过采取各项环境保护措施及环境保护设施后，本项目施工期影响范围较小，影响时间较短，影响程度较小。项目建成投入运行后的主要影响是电磁环境和噪声，根据类比预测分析结果可知，在落实有关设计规范及本评价提出的环境保护措施条件下，本项目运行产生的电磁环境和声环境影响均能满足相关标准要求。</w:t>
            </w:r>
          </w:p>
          <w:p w14:paraId="7A3C3634">
            <w:pPr>
              <w:adjustRightInd w:val="0"/>
              <w:spacing w:line="360" w:lineRule="auto"/>
              <w:ind w:firstLine="480" w:firstLineChars="200"/>
              <w:textAlignment w:val="baseline"/>
              <w:rPr>
                <w:color w:val="auto"/>
                <w:kern w:val="0"/>
                <w:sz w:val="24"/>
                <w:szCs w:val="20"/>
              </w:rPr>
            </w:pPr>
            <w:r>
              <w:rPr>
                <w:bCs/>
                <w:color w:val="auto"/>
                <w:sz w:val="24"/>
              </w:rPr>
              <w:t>综上分析，本项目选址选线具有环境合理性。</w:t>
            </w:r>
          </w:p>
          <w:p w14:paraId="6CD8EE4E">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3FEBB4F9">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45D87E2B">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35360E90">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17B6433C">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2A51A3D1">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0F933298">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4BFAA348">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3C61E789">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531C646D">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7D04178C">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20B6BCE5">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46D45150">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52E631B0">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36F8BCC6">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3C857921">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7E1D94BD">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7E3B2BA4">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5477677E">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4A2C94F7">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58CC12DF">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197F4559">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3463A3C4">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051A73B0">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05028AE7">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1B4D24B7">
            <w:pPr>
              <w:pStyle w:val="2"/>
              <w:snapToGrid w:val="0"/>
              <w:spacing w:line="360" w:lineRule="auto"/>
              <w:ind w:firstLine="480" w:firstLineChars="200"/>
              <w:rPr>
                <w:rFonts w:ascii="Times New Roman" w:hAnsi="Times New Roman" w:cs="Times New Roman"/>
                <w:bCs/>
                <w:color w:val="auto"/>
                <w:kern w:val="0"/>
                <w:sz w:val="24"/>
                <w:szCs w:val="24"/>
                <w:lang w:bidi="en-US"/>
              </w:rPr>
            </w:pPr>
          </w:p>
          <w:p w14:paraId="003963CB">
            <w:pPr>
              <w:pStyle w:val="2"/>
              <w:snapToGrid w:val="0"/>
              <w:spacing w:line="360" w:lineRule="auto"/>
              <w:ind w:firstLine="480" w:firstLineChars="200"/>
              <w:rPr>
                <w:rFonts w:ascii="Times New Roman" w:hAnsi="Times New Roman" w:cs="Times New Roman"/>
                <w:color w:val="auto"/>
                <w:sz w:val="24"/>
              </w:rPr>
            </w:pPr>
          </w:p>
        </w:tc>
      </w:tr>
    </w:tbl>
    <w:p w14:paraId="02002EAD">
      <w:pPr>
        <w:rPr>
          <w:color w:val="auto"/>
        </w:rPr>
      </w:pPr>
    </w:p>
    <w:p w14:paraId="7DCB2FB2">
      <w:pPr>
        <w:rPr>
          <w:color w:val="auto"/>
        </w:rPr>
        <w:sectPr>
          <w:pgSz w:w="11906" w:h="16838"/>
          <w:pgMar w:top="1134" w:right="1134" w:bottom="1134" w:left="1134" w:header="851" w:footer="992" w:gutter="0"/>
          <w:cols w:space="425" w:num="1"/>
          <w:docGrid w:linePitch="312" w:charSpace="0"/>
        </w:sectPr>
      </w:pPr>
    </w:p>
    <w:p w14:paraId="0892AFC3">
      <w:pPr>
        <w:pStyle w:val="24"/>
        <w:spacing w:before="0" w:beforeAutospacing="0" w:after="0" w:afterAutospacing="0" w:line="360" w:lineRule="auto"/>
        <w:jc w:val="center"/>
        <w:outlineLvl w:val="0"/>
        <w:rPr>
          <w:rFonts w:ascii="Times New Roman" w:hAnsi="Times New Roman"/>
          <w:b/>
          <w:snapToGrid w:val="0"/>
          <w:color w:val="auto"/>
          <w:sz w:val="30"/>
          <w:szCs w:val="30"/>
        </w:rPr>
      </w:pPr>
      <w:bookmarkStart w:id="13" w:name="_Toc63026908"/>
      <w:r>
        <w:rPr>
          <w:rFonts w:ascii="Times New Roman" w:hAnsi="Times New Roman"/>
          <w:b/>
          <w:snapToGrid w:val="0"/>
          <w:color w:val="auto"/>
          <w:sz w:val="30"/>
          <w:szCs w:val="30"/>
        </w:rPr>
        <w:t>五、主要生态环境保护措施</w:t>
      </w:r>
      <w:bookmarkEnd w:id="13"/>
    </w:p>
    <w:tbl>
      <w:tblPr>
        <w:tblStyle w:val="27"/>
        <w:tblW w:w="97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955"/>
      </w:tblGrid>
      <w:tr w14:paraId="3C4DB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Mar>
              <w:left w:w="28" w:type="dxa"/>
              <w:right w:w="28" w:type="dxa"/>
            </w:tcMar>
            <w:vAlign w:val="center"/>
          </w:tcPr>
          <w:p w14:paraId="2331C1A1">
            <w:pPr>
              <w:adjustRightInd w:val="0"/>
              <w:snapToGrid w:val="0"/>
              <w:jc w:val="center"/>
              <w:rPr>
                <w:b/>
                <w:bCs/>
                <w:color w:val="auto"/>
                <w:sz w:val="24"/>
              </w:rPr>
            </w:pPr>
            <w:r>
              <w:rPr>
                <w:b/>
                <w:bCs/>
                <w:color w:val="auto"/>
                <w:spacing w:val="10"/>
                <w:sz w:val="24"/>
              </w:rPr>
              <w:t>施工期生态环境保护措施</w:t>
            </w:r>
          </w:p>
        </w:tc>
        <w:tc>
          <w:tcPr>
            <w:tcW w:w="8955" w:type="dxa"/>
          </w:tcPr>
          <w:p w14:paraId="251BE905">
            <w:pPr>
              <w:adjustRightInd w:val="0"/>
              <w:snapToGrid w:val="0"/>
              <w:spacing w:line="360" w:lineRule="auto"/>
              <w:rPr>
                <w:b/>
                <w:color w:val="auto"/>
                <w:sz w:val="24"/>
                <w:szCs w:val="20"/>
              </w:rPr>
            </w:pPr>
            <w:r>
              <w:rPr>
                <w:b/>
                <w:color w:val="auto"/>
                <w:sz w:val="24"/>
                <w:szCs w:val="20"/>
              </w:rPr>
              <w:t>1、生态环境保护措施</w:t>
            </w:r>
          </w:p>
          <w:p w14:paraId="3CEAA9D9">
            <w:pPr>
              <w:adjustRightInd w:val="0"/>
              <w:snapToGrid w:val="0"/>
              <w:spacing w:line="360" w:lineRule="auto"/>
              <w:rPr>
                <w:b/>
                <w:color w:val="auto"/>
                <w:sz w:val="24"/>
                <w:szCs w:val="20"/>
              </w:rPr>
            </w:pPr>
            <w:r>
              <w:rPr>
                <w:b/>
                <w:color w:val="auto"/>
                <w:sz w:val="24"/>
                <w:szCs w:val="20"/>
              </w:rPr>
              <w:t>1.1设计阶段</w:t>
            </w:r>
          </w:p>
          <w:p w14:paraId="7E604794">
            <w:pPr>
              <w:adjustRightInd w:val="0"/>
              <w:snapToGrid w:val="0"/>
              <w:spacing w:line="360" w:lineRule="auto"/>
              <w:ind w:firstLine="480" w:firstLineChars="200"/>
              <w:rPr>
                <w:color w:val="auto"/>
                <w:sz w:val="24"/>
                <w:szCs w:val="20"/>
              </w:rPr>
            </w:pPr>
            <w:r>
              <w:rPr>
                <w:color w:val="auto"/>
                <w:sz w:val="24"/>
                <w:szCs w:val="20"/>
              </w:rPr>
              <w:t>①在初步设计阶段，结合最新勘探资料，尽量减少塔基数量；</w:t>
            </w:r>
          </w:p>
          <w:p w14:paraId="4BA5F54E">
            <w:pPr>
              <w:adjustRightInd w:val="0"/>
              <w:snapToGrid w:val="0"/>
              <w:spacing w:line="360" w:lineRule="auto"/>
              <w:ind w:firstLine="480" w:firstLineChars="200"/>
              <w:rPr>
                <w:color w:val="auto"/>
                <w:sz w:val="24"/>
                <w:szCs w:val="20"/>
              </w:rPr>
            </w:pPr>
            <w:r>
              <w:rPr>
                <w:color w:val="auto"/>
                <w:sz w:val="24"/>
                <w:szCs w:val="20"/>
              </w:rPr>
              <w:t>②塔基工程设计需因地制宜，采用高低腿基础，尽可能减少开挖或不开挖施工基面，尽量减少对塔位区域自然地貌及植被的破坏，保护边坡稳定；</w:t>
            </w:r>
          </w:p>
          <w:p w14:paraId="1077FD4B">
            <w:pPr>
              <w:adjustRightInd w:val="0"/>
              <w:snapToGrid w:val="0"/>
              <w:spacing w:line="360" w:lineRule="auto"/>
              <w:ind w:firstLine="480" w:firstLineChars="200"/>
              <w:rPr>
                <w:bCs/>
                <w:color w:val="auto"/>
                <w:sz w:val="24"/>
              </w:rPr>
            </w:pPr>
            <w:r>
              <w:rPr>
                <w:bCs/>
                <w:color w:val="auto"/>
                <w:sz w:val="24"/>
              </w:rPr>
              <w:t>③在塔基定位时，根据周边地形、地势等条件，塔基尽量避开植被密集区；在经过成片林地时适当抬高导线对地高度，采取高跨通过，减少线下林木的砍伐；</w:t>
            </w:r>
          </w:p>
          <w:p w14:paraId="5541683A">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④合理选择路径、塔位：在选线和定位时，应尽量避开陡坡和易发生塌方、滑坡、冲沟或其它地质灾害的不良地质段。</w:t>
            </w:r>
          </w:p>
          <w:p w14:paraId="308355F1">
            <w:pPr>
              <w:adjustRightInd w:val="0"/>
              <w:snapToGrid w:val="0"/>
              <w:spacing w:line="360" w:lineRule="auto"/>
              <w:rPr>
                <w:b/>
                <w:color w:val="auto"/>
                <w:sz w:val="24"/>
                <w:szCs w:val="20"/>
              </w:rPr>
            </w:pPr>
            <w:r>
              <w:rPr>
                <w:b/>
                <w:color w:val="auto"/>
                <w:sz w:val="24"/>
                <w:szCs w:val="20"/>
              </w:rPr>
              <w:t>1.2施工期</w:t>
            </w:r>
          </w:p>
          <w:p w14:paraId="47931E72">
            <w:pPr>
              <w:adjustRightInd w:val="0"/>
              <w:snapToGrid w:val="0"/>
              <w:spacing w:line="360" w:lineRule="auto"/>
              <w:ind w:firstLine="480" w:firstLineChars="200"/>
              <w:rPr>
                <w:color w:val="auto"/>
                <w:sz w:val="24"/>
              </w:rPr>
            </w:pPr>
            <w:r>
              <w:rPr>
                <w:color w:val="auto"/>
                <w:sz w:val="24"/>
              </w:rPr>
              <w:t>①施工期对工程进行合理设计，做到分期和分区施工；</w:t>
            </w:r>
          </w:p>
          <w:p w14:paraId="53C60F83">
            <w:pPr>
              <w:adjustRightInd w:val="0"/>
              <w:snapToGrid w:val="0"/>
              <w:spacing w:line="360" w:lineRule="auto"/>
              <w:ind w:firstLine="480" w:firstLineChars="200"/>
              <w:rPr>
                <w:color w:val="auto"/>
                <w:sz w:val="24"/>
                <w:szCs w:val="20"/>
              </w:rPr>
            </w:pPr>
            <w:r>
              <w:rPr>
                <w:color w:val="auto"/>
                <w:sz w:val="24"/>
                <w:szCs w:val="20"/>
              </w:rPr>
              <w:t>②</w:t>
            </w:r>
            <w:r>
              <w:rPr>
                <w:bCs/>
                <w:color w:val="auto"/>
                <w:sz w:val="24"/>
              </w:rPr>
              <w:t>施工牵张场、料场应尽量选择线路沿线现有空地，施工道路应充分利用线路周边现有道路，</w:t>
            </w:r>
            <w:r>
              <w:rPr>
                <w:color w:val="auto"/>
                <w:sz w:val="24"/>
              </w:rPr>
              <w:t>在交通不便区域采用人背马驮方式，本项目施工期不开辟施工便道</w:t>
            </w:r>
            <w:r>
              <w:rPr>
                <w:bCs/>
                <w:color w:val="auto"/>
                <w:sz w:val="24"/>
              </w:rPr>
              <w:t>；</w:t>
            </w:r>
          </w:p>
          <w:p w14:paraId="46935962">
            <w:pPr>
              <w:adjustRightInd w:val="0"/>
              <w:snapToGrid w:val="0"/>
              <w:spacing w:line="360" w:lineRule="auto"/>
              <w:ind w:firstLine="480" w:firstLineChars="200"/>
              <w:rPr>
                <w:color w:val="auto"/>
                <w:sz w:val="24"/>
                <w:szCs w:val="20"/>
              </w:rPr>
            </w:pPr>
            <w:r>
              <w:rPr>
                <w:color w:val="auto"/>
                <w:sz w:val="24"/>
                <w:szCs w:val="20"/>
              </w:rPr>
              <w:t>③塔基采取原土回填的方式，除塔基四个角的永久占地外，其余部分在施工结束后采取绿化恢复为原有用地性质；</w:t>
            </w:r>
          </w:p>
          <w:p w14:paraId="45F3FF6B">
            <w:pPr>
              <w:adjustRightInd w:val="0"/>
              <w:snapToGrid w:val="0"/>
              <w:spacing w:line="360" w:lineRule="auto"/>
              <w:ind w:firstLine="480" w:firstLineChars="200"/>
              <w:rPr>
                <w:color w:val="auto"/>
                <w:sz w:val="24"/>
                <w:szCs w:val="20"/>
              </w:rPr>
            </w:pPr>
            <w:r>
              <w:rPr>
                <w:color w:val="auto"/>
                <w:sz w:val="24"/>
              </w:rPr>
              <w:t>④</w:t>
            </w:r>
            <w:r>
              <w:rPr>
                <w:bCs/>
                <w:color w:val="auto"/>
                <w:sz w:val="24"/>
              </w:rPr>
              <w:t>将</w:t>
            </w:r>
            <w:r>
              <w:rPr>
                <w:color w:val="auto"/>
                <w:sz w:val="24"/>
              </w:rPr>
              <w:t>拆除下的杆塔及导线等材料临时堆放在周边现有空地内，</w:t>
            </w:r>
            <w:r>
              <w:rPr>
                <w:color w:val="auto"/>
                <w:kern w:val="0"/>
                <w:sz w:val="24"/>
                <w:lang w:bidi="en-US"/>
              </w:rPr>
              <w:t>杆塔拆除后塔基占地需根据周边用地性质进行生态恢复</w:t>
            </w:r>
            <w:r>
              <w:rPr>
                <w:color w:val="auto"/>
                <w:sz w:val="24"/>
              </w:rPr>
              <w:t>；</w:t>
            </w:r>
          </w:p>
          <w:p w14:paraId="0DBBA6F7">
            <w:pPr>
              <w:adjustRightInd w:val="0"/>
              <w:snapToGrid w:val="0"/>
              <w:spacing w:line="360" w:lineRule="auto"/>
              <w:ind w:firstLine="480" w:firstLineChars="200"/>
              <w:rPr>
                <w:color w:val="auto"/>
                <w:sz w:val="24"/>
              </w:rPr>
            </w:pPr>
            <w:r>
              <w:rPr>
                <w:color w:val="auto"/>
                <w:sz w:val="24"/>
              </w:rPr>
              <w:t>⑤尽量缩短施工周期，减少疏松地面的裸露时间；考虑天气因素安排施工时间，地质不良地段的路基施工尽量避开雨季；无法避开时，应选择防雨布；对开挖裸露面和填方区可选用编织袋、塑料布进行覆盖，防止雨水冲刷产生水土流失；</w:t>
            </w:r>
          </w:p>
          <w:p w14:paraId="24064F86">
            <w:pPr>
              <w:adjustRightInd w:val="0"/>
              <w:snapToGrid w:val="0"/>
              <w:spacing w:line="360" w:lineRule="auto"/>
              <w:ind w:firstLine="480" w:firstLineChars="200"/>
              <w:rPr>
                <w:bCs/>
                <w:color w:val="auto"/>
                <w:sz w:val="24"/>
              </w:rPr>
            </w:pPr>
            <w:r>
              <w:rPr>
                <w:color w:val="auto"/>
                <w:sz w:val="24"/>
                <w:szCs w:val="20"/>
              </w:rPr>
              <w:t>⑥项目不设施工营地，施工人员租住工程周边民房</w:t>
            </w:r>
            <w:r>
              <w:rPr>
                <w:bCs/>
                <w:color w:val="auto"/>
                <w:sz w:val="24"/>
              </w:rPr>
              <w:t>。</w:t>
            </w:r>
          </w:p>
          <w:p w14:paraId="6C59D698">
            <w:pPr>
              <w:adjustRightInd w:val="0"/>
              <w:snapToGrid w:val="0"/>
              <w:spacing w:line="360" w:lineRule="auto"/>
              <w:rPr>
                <w:b/>
                <w:color w:val="auto"/>
                <w:sz w:val="24"/>
                <w:szCs w:val="20"/>
              </w:rPr>
            </w:pPr>
            <w:r>
              <w:rPr>
                <w:b/>
                <w:color w:val="auto"/>
                <w:sz w:val="24"/>
                <w:szCs w:val="20"/>
              </w:rPr>
              <w:t>2、大气环境保护措施</w:t>
            </w:r>
          </w:p>
          <w:p w14:paraId="383716BF">
            <w:pPr>
              <w:adjustRightInd w:val="0"/>
              <w:snapToGrid w:val="0"/>
              <w:spacing w:line="360" w:lineRule="auto"/>
              <w:rPr>
                <w:b/>
                <w:color w:val="auto"/>
                <w:spacing w:val="10"/>
                <w:sz w:val="24"/>
              </w:rPr>
            </w:pPr>
            <w:r>
              <w:rPr>
                <w:b/>
                <w:color w:val="auto"/>
                <w:spacing w:val="10"/>
                <w:sz w:val="24"/>
              </w:rPr>
              <w:t>2.1设计阶段</w:t>
            </w:r>
          </w:p>
          <w:p w14:paraId="2C34ED05">
            <w:pPr>
              <w:adjustRightInd w:val="0"/>
              <w:snapToGrid w:val="0"/>
              <w:spacing w:line="360" w:lineRule="auto"/>
              <w:ind w:firstLine="570"/>
              <w:rPr>
                <w:bCs/>
                <w:color w:val="auto"/>
                <w:spacing w:val="10"/>
                <w:sz w:val="24"/>
              </w:rPr>
            </w:pPr>
            <w:r>
              <w:rPr>
                <w:bCs/>
                <w:color w:val="auto"/>
                <w:spacing w:val="10"/>
                <w:sz w:val="24"/>
              </w:rPr>
              <w:t>①塔基基础均采用人工挖孔桩基础和高低腿设计，尽可能减少土石方开挖量和工程占地；</w:t>
            </w:r>
          </w:p>
          <w:p w14:paraId="29E851FC">
            <w:pPr>
              <w:adjustRightInd w:val="0"/>
              <w:snapToGrid w:val="0"/>
              <w:spacing w:line="360" w:lineRule="auto"/>
              <w:ind w:firstLine="570"/>
              <w:rPr>
                <w:color w:val="auto"/>
                <w:sz w:val="24"/>
                <w:szCs w:val="20"/>
              </w:rPr>
            </w:pPr>
            <w:r>
              <w:rPr>
                <w:bCs/>
                <w:color w:val="auto"/>
                <w:spacing w:val="10"/>
                <w:sz w:val="24"/>
              </w:rPr>
              <w:t>②针对施工任务和施工场地环境状况，制定合理的施工计划，缩短施工周期，减少施工现场的作业面，减轻施工扬尘对环境的影响。</w:t>
            </w:r>
          </w:p>
          <w:p w14:paraId="1A37DF36">
            <w:pPr>
              <w:adjustRightInd w:val="0"/>
              <w:snapToGrid w:val="0"/>
              <w:spacing w:line="360" w:lineRule="auto"/>
              <w:rPr>
                <w:b/>
                <w:color w:val="auto"/>
                <w:sz w:val="24"/>
                <w:szCs w:val="20"/>
              </w:rPr>
            </w:pPr>
            <w:r>
              <w:rPr>
                <w:b/>
                <w:color w:val="auto"/>
                <w:sz w:val="24"/>
                <w:szCs w:val="20"/>
              </w:rPr>
              <w:t>2.2施工期</w:t>
            </w:r>
          </w:p>
          <w:p w14:paraId="05843D48">
            <w:pPr>
              <w:pStyle w:val="54"/>
              <w:snapToGrid w:val="0"/>
              <w:spacing w:line="360" w:lineRule="auto"/>
              <w:ind w:firstLine="480" w:firstLineChars="200"/>
              <w:jc w:val="left"/>
              <w:rPr>
                <w:rFonts w:eastAsia="宋体"/>
                <w:color w:val="auto"/>
                <w:sz w:val="24"/>
                <w:szCs w:val="24"/>
              </w:rPr>
            </w:pPr>
            <w:r>
              <w:rPr>
                <w:rFonts w:eastAsia="宋体"/>
                <w:color w:val="auto"/>
                <w:sz w:val="24"/>
                <w:szCs w:val="24"/>
              </w:rPr>
              <w:t>①工程施工场地设置帆布围栏；</w:t>
            </w:r>
          </w:p>
          <w:p w14:paraId="7FB4740A">
            <w:pPr>
              <w:pStyle w:val="54"/>
              <w:snapToGrid w:val="0"/>
              <w:spacing w:line="360" w:lineRule="auto"/>
              <w:ind w:firstLine="480" w:firstLineChars="200"/>
              <w:jc w:val="left"/>
              <w:rPr>
                <w:rFonts w:eastAsia="宋体"/>
                <w:color w:val="auto"/>
                <w:sz w:val="24"/>
                <w:szCs w:val="24"/>
              </w:rPr>
            </w:pPr>
            <w:r>
              <w:rPr>
                <w:rFonts w:eastAsia="宋体"/>
                <w:color w:val="auto"/>
                <w:sz w:val="24"/>
                <w:szCs w:val="24"/>
              </w:rPr>
              <w:t>②对施工料场和临时开挖土石方进行遮盖；</w:t>
            </w:r>
          </w:p>
          <w:p w14:paraId="473222A5">
            <w:pPr>
              <w:pStyle w:val="54"/>
              <w:snapToGrid w:val="0"/>
              <w:spacing w:line="360" w:lineRule="auto"/>
              <w:ind w:firstLine="480" w:firstLineChars="200"/>
              <w:jc w:val="left"/>
              <w:rPr>
                <w:rFonts w:eastAsia="宋体"/>
                <w:color w:val="auto"/>
                <w:sz w:val="24"/>
                <w:szCs w:val="24"/>
              </w:rPr>
            </w:pPr>
            <w:r>
              <w:rPr>
                <w:rFonts w:eastAsia="宋体"/>
                <w:color w:val="auto"/>
                <w:sz w:val="24"/>
                <w:szCs w:val="24"/>
              </w:rPr>
              <w:t>③加强运输车辆的管理，运输粉质材料需采取遮盖措施；</w:t>
            </w:r>
          </w:p>
          <w:p w14:paraId="46D151F6">
            <w:pPr>
              <w:pStyle w:val="54"/>
              <w:snapToGrid w:val="0"/>
              <w:spacing w:line="360" w:lineRule="auto"/>
              <w:ind w:firstLine="480" w:firstLineChars="200"/>
              <w:jc w:val="left"/>
              <w:rPr>
                <w:rFonts w:eastAsia="宋体"/>
                <w:color w:val="auto"/>
                <w:sz w:val="24"/>
                <w:szCs w:val="24"/>
              </w:rPr>
            </w:pPr>
            <w:r>
              <w:rPr>
                <w:rFonts w:eastAsia="宋体"/>
                <w:color w:val="auto"/>
                <w:sz w:val="24"/>
                <w:szCs w:val="24"/>
              </w:rPr>
              <w:t>④保持对干燥作业面进行洒水处理。</w:t>
            </w:r>
          </w:p>
          <w:p w14:paraId="1FF6D51B">
            <w:pPr>
              <w:adjustRightInd w:val="0"/>
              <w:snapToGrid w:val="0"/>
              <w:spacing w:line="360" w:lineRule="auto"/>
              <w:rPr>
                <w:b/>
                <w:color w:val="auto"/>
                <w:sz w:val="24"/>
                <w:szCs w:val="20"/>
              </w:rPr>
            </w:pPr>
            <w:r>
              <w:rPr>
                <w:b/>
                <w:color w:val="auto"/>
                <w:sz w:val="24"/>
                <w:szCs w:val="20"/>
              </w:rPr>
              <w:t>3、声环境保护措施</w:t>
            </w:r>
          </w:p>
          <w:p w14:paraId="45ADEFA9">
            <w:pPr>
              <w:autoSpaceDN w:val="0"/>
              <w:adjustRightInd w:val="0"/>
              <w:snapToGrid w:val="0"/>
              <w:spacing w:line="360" w:lineRule="auto"/>
              <w:rPr>
                <w:b/>
                <w:color w:val="auto"/>
                <w:sz w:val="24"/>
                <w:szCs w:val="20"/>
              </w:rPr>
            </w:pPr>
            <w:r>
              <w:rPr>
                <w:b/>
                <w:color w:val="auto"/>
                <w:sz w:val="24"/>
                <w:szCs w:val="20"/>
              </w:rPr>
              <w:t>3.1设计阶段</w:t>
            </w:r>
          </w:p>
          <w:p w14:paraId="451C0CA9">
            <w:pPr>
              <w:autoSpaceDN w:val="0"/>
              <w:adjustRightInd w:val="0"/>
              <w:snapToGrid w:val="0"/>
              <w:spacing w:line="360" w:lineRule="auto"/>
              <w:ind w:firstLine="480" w:firstLineChars="200"/>
              <w:rPr>
                <w:color w:val="auto"/>
                <w:sz w:val="24"/>
              </w:rPr>
            </w:pPr>
            <w:r>
              <w:rPr>
                <w:color w:val="auto"/>
                <w:sz w:val="24"/>
              </w:rPr>
              <w:t>①施工期适当抬高导线对地高度。</w:t>
            </w:r>
          </w:p>
          <w:p w14:paraId="6E1DC8E7">
            <w:pPr>
              <w:autoSpaceDN w:val="0"/>
              <w:adjustRightInd w:val="0"/>
              <w:snapToGrid w:val="0"/>
              <w:spacing w:line="360" w:lineRule="auto"/>
              <w:rPr>
                <w:color w:val="auto"/>
                <w:sz w:val="24"/>
              </w:rPr>
            </w:pPr>
            <w:r>
              <w:rPr>
                <w:b/>
                <w:color w:val="auto"/>
                <w:sz w:val="24"/>
                <w:szCs w:val="20"/>
              </w:rPr>
              <w:t>3.2施工期</w:t>
            </w:r>
          </w:p>
          <w:p w14:paraId="62FA0A09">
            <w:pPr>
              <w:autoSpaceDN w:val="0"/>
              <w:adjustRightInd w:val="0"/>
              <w:snapToGrid w:val="0"/>
              <w:spacing w:line="360" w:lineRule="auto"/>
              <w:ind w:firstLine="480" w:firstLineChars="200"/>
              <w:rPr>
                <w:color w:val="auto"/>
                <w:sz w:val="24"/>
              </w:rPr>
            </w:pPr>
            <w:r>
              <w:rPr>
                <w:color w:val="auto"/>
                <w:sz w:val="24"/>
              </w:rPr>
              <w:t>①杆塔基础开挖过程中，优选低噪声施工作业方式，严禁进行爆破作业；</w:t>
            </w:r>
          </w:p>
          <w:p w14:paraId="5604477B">
            <w:pPr>
              <w:autoSpaceDN w:val="0"/>
              <w:adjustRightInd w:val="0"/>
              <w:snapToGrid w:val="0"/>
              <w:spacing w:line="360" w:lineRule="auto"/>
              <w:ind w:firstLine="480" w:firstLineChars="200"/>
              <w:rPr>
                <w:color w:val="auto"/>
                <w:sz w:val="24"/>
              </w:rPr>
            </w:pPr>
            <w:r>
              <w:rPr>
                <w:color w:val="auto"/>
                <w:sz w:val="24"/>
              </w:rPr>
              <w:t>②在拆除杆塔过程中，优先低噪声拆除设备，文明施工，尽量减少拆除施工过程中的金属摩擦。</w:t>
            </w:r>
          </w:p>
          <w:p w14:paraId="09949E54">
            <w:pPr>
              <w:adjustRightInd w:val="0"/>
              <w:snapToGrid w:val="0"/>
              <w:spacing w:line="360" w:lineRule="auto"/>
              <w:rPr>
                <w:b/>
                <w:color w:val="auto"/>
                <w:sz w:val="24"/>
                <w:szCs w:val="20"/>
              </w:rPr>
            </w:pPr>
            <w:r>
              <w:rPr>
                <w:b/>
                <w:color w:val="auto"/>
                <w:sz w:val="24"/>
                <w:szCs w:val="20"/>
              </w:rPr>
              <w:t>4、电磁环境保护措施</w:t>
            </w:r>
          </w:p>
          <w:p w14:paraId="65CC3610">
            <w:pPr>
              <w:adjustRightInd w:val="0"/>
              <w:snapToGrid w:val="0"/>
              <w:spacing w:line="360" w:lineRule="auto"/>
              <w:rPr>
                <w:b/>
                <w:color w:val="auto"/>
                <w:sz w:val="24"/>
                <w:szCs w:val="20"/>
              </w:rPr>
            </w:pPr>
            <w:r>
              <w:rPr>
                <w:b/>
                <w:color w:val="auto"/>
                <w:sz w:val="24"/>
                <w:szCs w:val="20"/>
              </w:rPr>
              <w:t>4.1设计阶段</w:t>
            </w:r>
          </w:p>
          <w:p w14:paraId="5A8489E0">
            <w:pPr>
              <w:adjustRightInd w:val="0"/>
              <w:snapToGrid w:val="0"/>
              <w:spacing w:line="360" w:lineRule="auto"/>
              <w:ind w:firstLine="480" w:firstLineChars="200"/>
              <w:rPr>
                <w:color w:val="auto"/>
                <w:sz w:val="24"/>
                <w:szCs w:val="20"/>
              </w:rPr>
            </w:pPr>
            <w:r>
              <w:rPr>
                <w:color w:val="auto"/>
                <w:sz w:val="24"/>
                <w:szCs w:val="20"/>
              </w:rPr>
              <w:t>在初步设计阶段</w:t>
            </w:r>
            <w:r>
              <w:rPr>
                <w:color w:val="auto"/>
                <w:kern w:val="0"/>
                <w:sz w:val="24"/>
              </w:rPr>
              <w:t>进一步优化本项目线路路径，在不考虑风偏的情况下，</w:t>
            </w:r>
            <w:r>
              <w:rPr>
                <w:rFonts w:hint="eastAsia"/>
                <w:color w:val="auto"/>
                <w:kern w:val="0"/>
                <w:sz w:val="24"/>
                <w:lang w:eastAsia="zh-CN"/>
              </w:rPr>
              <w:t>在现有设计高度前提下，</w:t>
            </w:r>
            <w:r>
              <w:rPr>
                <w:color w:val="auto"/>
                <w:kern w:val="0"/>
                <w:sz w:val="24"/>
              </w:rPr>
              <w:t>为确保沿线电磁环境达标，本项目线路需与沿线环境保护目标建筑保持以下距离：与边导线的水平距离至少为3m，或与下相导线线下垂直距离至少为5m（满足二者条件之一即可）。</w:t>
            </w:r>
          </w:p>
          <w:p w14:paraId="75F0AFDE">
            <w:pPr>
              <w:adjustRightInd w:val="0"/>
              <w:snapToGrid w:val="0"/>
              <w:spacing w:line="360" w:lineRule="auto"/>
              <w:rPr>
                <w:b/>
                <w:color w:val="auto"/>
                <w:sz w:val="24"/>
                <w:szCs w:val="20"/>
              </w:rPr>
            </w:pPr>
            <w:r>
              <w:rPr>
                <w:b/>
                <w:color w:val="auto"/>
                <w:sz w:val="24"/>
                <w:szCs w:val="20"/>
              </w:rPr>
              <w:t>5、水环境保护措施</w:t>
            </w:r>
          </w:p>
          <w:p w14:paraId="79504D27">
            <w:pPr>
              <w:adjustRightInd w:val="0"/>
              <w:snapToGrid w:val="0"/>
              <w:spacing w:line="360" w:lineRule="auto"/>
              <w:rPr>
                <w:b/>
                <w:color w:val="auto"/>
                <w:sz w:val="24"/>
                <w:szCs w:val="20"/>
              </w:rPr>
            </w:pPr>
            <w:r>
              <w:rPr>
                <w:b/>
                <w:color w:val="auto"/>
                <w:sz w:val="24"/>
                <w:szCs w:val="20"/>
              </w:rPr>
              <w:t>5.1设计阶段</w:t>
            </w:r>
          </w:p>
          <w:p w14:paraId="77B38CFC">
            <w:pPr>
              <w:adjustRightInd w:val="0"/>
              <w:snapToGrid w:val="0"/>
              <w:spacing w:line="360" w:lineRule="auto"/>
              <w:ind w:firstLine="480" w:firstLineChars="200"/>
              <w:rPr>
                <w:color w:val="auto"/>
                <w:sz w:val="24"/>
              </w:rPr>
            </w:pPr>
            <w:r>
              <w:rPr>
                <w:color w:val="auto"/>
                <w:kern w:val="0"/>
                <w:sz w:val="24"/>
                <w:lang w:bidi="en-US"/>
              </w:rPr>
              <w:t>线路塔基施工所用河沙、石子、水泥等施工材料均外购，所采用的砂石料清洗均由供货方清洗完毕后再运输至塔基附近，现场不进行砂石料清洗。</w:t>
            </w:r>
          </w:p>
          <w:p w14:paraId="7F4B2687">
            <w:pPr>
              <w:adjustRightInd w:val="0"/>
              <w:snapToGrid w:val="0"/>
              <w:spacing w:line="360" w:lineRule="auto"/>
              <w:rPr>
                <w:b/>
                <w:color w:val="auto"/>
                <w:sz w:val="24"/>
              </w:rPr>
            </w:pPr>
            <w:r>
              <w:rPr>
                <w:b/>
                <w:color w:val="auto"/>
                <w:sz w:val="24"/>
              </w:rPr>
              <w:t>5.2施工期</w:t>
            </w:r>
          </w:p>
          <w:p w14:paraId="72C49DDE">
            <w:pPr>
              <w:adjustRightInd w:val="0"/>
              <w:snapToGrid w:val="0"/>
              <w:spacing w:line="360" w:lineRule="auto"/>
              <w:ind w:firstLine="480" w:firstLineChars="200"/>
              <w:rPr>
                <w:color w:val="auto"/>
                <w:sz w:val="24"/>
              </w:rPr>
            </w:pPr>
            <w:r>
              <w:rPr>
                <w:color w:val="auto"/>
                <w:sz w:val="24"/>
              </w:rPr>
              <w:t>①施工人员就近租用周边民房，产生的生活污水纳入当地生活污水处理系统；</w:t>
            </w:r>
          </w:p>
          <w:p w14:paraId="088DC55F">
            <w:pPr>
              <w:adjustRightInd w:val="0"/>
              <w:snapToGrid w:val="0"/>
              <w:spacing w:line="360" w:lineRule="auto"/>
              <w:ind w:firstLine="480" w:firstLineChars="200"/>
              <w:rPr>
                <w:color w:val="auto"/>
                <w:sz w:val="24"/>
              </w:rPr>
            </w:pPr>
            <w:r>
              <w:rPr>
                <w:color w:val="auto"/>
                <w:sz w:val="24"/>
              </w:rPr>
              <w:t>②项目施工期间废水主要来自于工程施工期间混凝土养护需要少量洒水，经自然蒸发，不对外排放。</w:t>
            </w:r>
          </w:p>
          <w:p w14:paraId="5BDF3A68">
            <w:pPr>
              <w:adjustRightInd w:val="0"/>
              <w:snapToGrid w:val="0"/>
              <w:spacing w:line="360" w:lineRule="auto"/>
              <w:ind w:firstLine="480" w:firstLineChars="200"/>
              <w:rPr>
                <w:color w:val="auto"/>
                <w:sz w:val="24"/>
              </w:rPr>
            </w:pPr>
            <w:r>
              <w:rPr>
                <w:color w:val="auto"/>
                <w:sz w:val="24"/>
              </w:rPr>
              <w:t>③施工期禁止向水体排放、倾倒垃圾、弃土、弃渣等废弃物。</w:t>
            </w:r>
          </w:p>
          <w:p w14:paraId="4133F4DC">
            <w:pPr>
              <w:adjustRightInd w:val="0"/>
              <w:snapToGrid w:val="0"/>
              <w:spacing w:line="360" w:lineRule="auto"/>
              <w:rPr>
                <w:b/>
                <w:color w:val="auto"/>
                <w:sz w:val="24"/>
              </w:rPr>
            </w:pPr>
            <w:r>
              <w:rPr>
                <w:b/>
                <w:color w:val="auto"/>
                <w:sz w:val="24"/>
              </w:rPr>
              <w:t>6、固体废物环境保护措施</w:t>
            </w:r>
          </w:p>
          <w:p w14:paraId="5C34F237">
            <w:pPr>
              <w:adjustRightInd w:val="0"/>
              <w:snapToGrid w:val="0"/>
              <w:spacing w:line="360" w:lineRule="auto"/>
              <w:rPr>
                <w:b/>
                <w:color w:val="auto"/>
                <w:spacing w:val="10"/>
                <w:sz w:val="24"/>
              </w:rPr>
            </w:pPr>
            <w:r>
              <w:rPr>
                <w:b/>
                <w:color w:val="auto"/>
                <w:sz w:val="24"/>
              </w:rPr>
              <w:t>6.1</w:t>
            </w:r>
            <w:r>
              <w:rPr>
                <w:b/>
                <w:color w:val="auto"/>
                <w:spacing w:val="10"/>
                <w:sz w:val="24"/>
              </w:rPr>
              <w:t>设计阶段</w:t>
            </w:r>
          </w:p>
          <w:p w14:paraId="207351DD">
            <w:pPr>
              <w:adjustRightInd w:val="0"/>
              <w:snapToGrid w:val="0"/>
              <w:spacing w:line="360" w:lineRule="auto"/>
              <w:ind w:firstLine="520" w:firstLineChars="200"/>
              <w:rPr>
                <w:bCs/>
                <w:color w:val="auto"/>
                <w:spacing w:val="10"/>
                <w:sz w:val="24"/>
              </w:rPr>
            </w:pPr>
            <w:r>
              <w:rPr>
                <w:bCs/>
                <w:color w:val="auto"/>
                <w:spacing w:val="10"/>
                <w:sz w:val="24"/>
              </w:rPr>
              <w:t>塔基基础施工尽可能做到土石方平衡，同时减少塔基基础开挖。</w:t>
            </w:r>
          </w:p>
          <w:p w14:paraId="2CCE07DE">
            <w:pPr>
              <w:adjustRightInd w:val="0"/>
              <w:snapToGrid w:val="0"/>
              <w:spacing w:line="360" w:lineRule="auto"/>
              <w:rPr>
                <w:b/>
                <w:color w:val="auto"/>
                <w:sz w:val="24"/>
              </w:rPr>
            </w:pPr>
            <w:r>
              <w:rPr>
                <w:b/>
                <w:color w:val="auto"/>
                <w:sz w:val="24"/>
              </w:rPr>
              <w:t>6.2施工期</w:t>
            </w:r>
          </w:p>
          <w:p w14:paraId="04E6931C">
            <w:pPr>
              <w:adjustRightInd w:val="0"/>
              <w:snapToGrid w:val="0"/>
              <w:spacing w:line="360" w:lineRule="auto"/>
              <w:ind w:firstLine="480" w:firstLineChars="200"/>
              <w:rPr>
                <w:color w:val="auto"/>
                <w:sz w:val="24"/>
              </w:rPr>
            </w:pPr>
            <w:r>
              <w:rPr>
                <w:color w:val="auto"/>
                <w:sz w:val="24"/>
              </w:rPr>
              <w:t>①施工人员生活垃圾经收集后交由环卫部门定期清运；</w:t>
            </w:r>
          </w:p>
          <w:p w14:paraId="6270C92E">
            <w:pPr>
              <w:adjustRightInd w:val="0"/>
              <w:snapToGrid w:val="0"/>
              <w:spacing w:line="360" w:lineRule="auto"/>
              <w:ind w:firstLine="480" w:firstLineChars="200"/>
              <w:rPr>
                <w:color w:val="auto"/>
                <w:sz w:val="24"/>
              </w:rPr>
            </w:pPr>
            <w:r>
              <w:rPr>
                <w:color w:val="auto"/>
                <w:sz w:val="24"/>
              </w:rPr>
              <w:t>②线路</w:t>
            </w:r>
            <w:r>
              <w:rPr>
                <w:rFonts w:hint="eastAsia"/>
                <w:color w:val="auto"/>
                <w:sz w:val="24"/>
              </w:rPr>
              <w:t>回用方</w:t>
            </w:r>
            <w:r>
              <w:rPr>
                <w:color w:val="auto"/>
                <w:sz w:val="24"/>
              </w:rPr>
              <w:t>拟堆放回填在塔基周围低洼处，工程沿线不设弃渣场；</w:t>
            </w:r>
          </w:p>
          <w:p w14:paraId="7F963DAD">
            <w:pPr>
              <w:adjustRightInd w:val="0"/>
              <w:snapToGrid w:val="0"/>
              <w:spacing w:line="360" w:lineRule="auto"/>
              <w:ind w:firstLine="480" w:firstLineChars="200"/>
              <w:rPr>
                <w:color w:val="auto"/>
                <w:sz w:val="24"/>
              </w:rPr>
            </w:pPr>
            <w:r>
              <w:rPr>
                <w:color w:val="auto"/>
                <w:sz w:val="24"/>
              </w:rPr>
              <w:t>③工程临时开挖土石方临时堆砌时应尽量选择周边空地，工程结束后及时进行回填并压实；</w:t>
            </w:r>
          </w:p>
          <w:p w14:paraId="473BE68D">
            <w:pPr>
              <w:adjustRightInd w:val="0"/>
              <w:snapToGrid w:val="0"/>
              <w:spacing w:line="360" w:lineRule="auto"/>
              <w:ind w:firstLine="480" w:firstLineChars="200"/>
              <w:rPr>
                <w:color w:val="auto"/>
                <w:sz w:val="24"/>
              </w:rPr>
            </w:pPr>
            <w:r>
              <w:rPr>
                <w:color w:val="auto"/>
                <w:sz w:val="24"/>
              </w:rPr>
              <w:t>④工程拆除的5基角钢塔、导线、金具等交由电力物资部门回收，拆除的3基水泥杆需交由有运输资质单位清运至政府指定渣场，不随意倾倒。</w:t>
            </w:r>
          </w:p>
        </w:tc>
      </w:tr>
      <w:tr w14:paraId="2D69E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Mar>
              <w:left w:w="28" w:type="dxa"/>
              <w:right w:w="28" w:type="dxa"/>
            </w:tcMar>
            <w:vAlign w:val="center"/>
          </w:tcPr>
          <w:p w14:paraId="2947B4FA">
            <w:pPr>
              <w:adjustRightInd w:val="0"/>
              <w:snapToGrid w:val="0"/>
              <w:jc w:val="center"/>
              <w:rPr>
                <w:b/>
                <w:bCs/>
                <w:color w:val="auto"/>
                <w:spacing w:val="10"/>
                <w:szCs w:val="21"/>
              </w:rPr>
            </w:pPr>
            <w:r>
              <w:rPr>
                <w:b/>
                <w:color w:val="auto"/>
                <w:sz w:val="24"/>
              </w:rPr>
              <w:t>运营期生态环境保护措施</w:t>
            </w:r>
          </w:p>
        </w:tc>
        <w:tc>
          <w:tcPr>
            <w:tcW w:w="8955" w:type="dxa"/>
          </w:tcPr>
          <w:p w14:paraId="68AF5FC0">
            <w:pPr>
              <w:spacing w:line="360" w:lineRule="auto"/>
              <w:rPr>
                <w:b/>
                <w:color w:val="auto"/>
                <w:sz w:val="24"/>
                <w:szCs w:val="20"/>
              </w:rPr>
            </w:pPr>
            <w:r>
              <w:rPr>
                <w:b/>
                <w:color w:val="auto"/>
                <w:sz w:val="24"/>
                <w:szCs w:val="20"/>
              </w:rPr>
              <w:t>1、生态环境保护措施</w:t>
            </w:r>
          </w:p>
          <w:p w14:paraId="3FFCC2A5">
            <w:pPr>
              <w:spacing w:line="360" w:lineRule="auto"/>
              <w:ind w:firstLine="520" w:firstLineChars="200"/>
              <w:rPr>
                <w:b/>
                <w:color w:val="auto"/>
                <w:sz w:val="24"/>
                <w:szCs w:val="20"/>
              </w:rPr>
            </w:pPr>
            <w:r>
              <w:rPr>
                <w:bCs/>
                <w:color w:val="auto"/>
                <w:spacing w:val="10"/>
                <w:sz w:val="24"/>
              </w:rPr>
              <w:t>加强线路沿线巡视及管理，加强对塔基周边绿化的管护。</w:t>
            </w:r>
          </w:p>
          <w:p w14:paraId="1335191A">
            <w:pPr>
              <w:spacing w:line="360" w:lineRule="auto"/>
              <w:rPr>
                <w:b/>
                <w:color w:val="auto"/>
                <w:sz w:val="24"/>
                <w:szCs w:val="20"/>
              </w:rPr>
            </w:pPr>
            <w:r>
              <w:rPr>
                <w:b/>
                <w:color w:val="auto"/>
                <w:sz w:val="24"/>
                <w:szCs w:val="20"/>
              </w:rPr>
              <w:t>2、电磁环境保护措施</w:t>
            </w:r>
          </w:p>
          <w:p w14:paraId="041E4E10">
            <w:pPr>
              <w:spacing w:line="360" w:lineRule="auto"/>
              <w:ind w:firstLine="520" w:firstLineChars="200"/>
              <w:rPr>
                <w:bCs/>
                <w:color w:val="auto"/>
                <w:spacing w:val="10"/>
                <w:sz w:val="24"/>
              </w:rPr>
            </w:pPr>
            <w:r>
              <w:rPr>
                <w:rFonts w:hint="eastAsia"/>
                <w:bCs/>
                <w:color w:val="auto"/>
                <w:spacing w:val="10"/>
                <w:sz w:val="24"/>
                <w:lang w:eastAsia="zh-CN"/>
              </w:rPr>
              <w:t>（</w:t>
            </w:r>
            <w:r>
              <w:rPr>
                <w:rFonts w:hint="eastAsia"/>
                <w:bCs/>
                <w:color w:val="auto"/>
                <w:spacing w:val="10"/>
                <w:sz w:val="24"/>
                <w:lang w:val="en-US" w:eastAsia="zh-CN"/>
              </w:rPr>
              <w:t>1</w:t>
            </w:r>
            <w:r>
              <w:rPr>
                <w:rFonts w:hint="eastAsia"/>
                <w:bCs/>
                <w:color w:val="auto"/>
                <w:spacing w:val="10"/>
                <w:sz w:val="24"/>
                <w:lang w:eastAsia="zh-CN"/>
              </w:rPr>
              <w:t>）</w:t>
            </w:r>
            <w:r>
              <w:rPr>
                <w:bCs/>
                <w:color w:val="auto"/>
                <w:spacing w:val="10"/>
                <w:sz w:val="24"/>
              </w:rPr>
              <w:t>加强环境管理，定期进行环境监测工作，保证工频电磁场强度小于公众曝露限值。</w:t>
            </w:r>
          </w:p>
          <w:p w14:paraId="271B3D7B">
            <w:pPr>
              <w:spacing w:line="360" w:lineRule="auto"/>
              <w:ind w:firstLine="520" w:firstLineChars="200"/>
              <w:rPr>
                <w:color w:val="auto"/>
                <w:sz w:val="24"/>
              </w:rPr>
            </w:pPr>
            <w:r>
              <w:rPr>
                <w:bCs/>
                <w:color w:val="auto"/>
                <w:spacing w:val="10"/>
                <w:sz w:val="24"/>
              </w:rPr>
              <w:t>（</w:t>
            </w:r>
            <w:r>
              <w:rPr>
                <w:rFonts w:hint="eastAsia"/>
                <w:bCs/>
                <w:color w:val="auto"/>
                <w:spacing w:val="10"/>
                <w:sz w:val="24"/>
                <w:lang w:val="en-US" w:eastAsia="zh-CN"/>
              </w:rPr>
              <w:t>2</w:t>
            </w:r>
            <w:r>
              <w:rPr>
                <w:bCs/>
                <w:color w:val="auto"/>
                <w:spacing w:val="10"/>
                <w:sz w:val="24"/>
              </w:rPr>
              <w:t>）架空输电线路线下的耕地、园地、牧草地、畜禽饲养地、养殖水面、道路等场所，其频率50Hz电场强度控制限值为10kV/m，且应给出警示和防护指示标志。</w:t>
            </w:r>
          </w:p>
        </w:tc>
      </w:tr>
      <w:tr w14:paraId="0A0C9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5F4057FD">
            <w:pPr>
              <w:adjustRightInd w:val="0"/>
              <w:snapToGrid w:val="0"/>
              <w:jc w:val="center"/>
              <w:rPr>
                <w:b/>
                <w:bCs/>
                <w:color w:val="auto"/>
                <w:spacing w:val="10"/>
                <w:sz w:val="24"/>
              </w:rPr>
            </w:pPr>
            <w:r>
              <w:rPr>
                <w:b/>
                <w:bCs/>
                <w:color w:val="auto"/>
                <w:sz w:val="24"/>
              </w:rPr>
              <w:t>其他</w:t>
            </w:r>
          </w:p>
        </w:tc>
        <w:tc>
          <w:tcPr>
            <w:tcW w:w="8955" w:type="dxa"/>
            <w:vAlign w:val="center"/>
          </w:tcPr>
          <w:p w14:paraId="6F5EBBEA">
            <w:pPr>
              <w:adjustRightInd w:val="0"/>
              <w:snapToGrid w:val="0"/>
              <w:spacing w:line="360" w:lineRule="auto"/>
              <w:rPr>
                <w:color w:val="auto"/>
                <w:sz w:val="24"/>
              </w:rPr>
            </w:pPr>
            <w:r>
              <w:rPr>
                <w:rStyle w:val="39"/>
                <w:color w:val="auto"/>
                <w:sz w:val="24"/>
                <w:szCs w:val="24"/>
              </w:rPr>
              <w:t>1、环境保护管理与监控计划</w:t>
            </w:r>
          </w:p>
          <w:p w14:paraId="567FC289">
            <w:pPr>
              <w:adjustRightInd w:val="0"/>
              <w:snapToGrid w:val="0"/>
              <w:spacing w:line="360" w:lineRule="auto"/>
              <w:rPr>
                <w:b/>
                <w:color w:val="auto"/>
                <w:sz w:val="24"/>
                <w:szCs w:val="20"/>
              </w:rPr>
            </w:pPr>
            <w:r>
              <w:rPr>
                <w:b/>
                <w:color w:val="auto"/>
                <w:sz w:val="24"/>
                <w:szCs w:val="20"/>
              </w:rPr>
              <w:t>1.1环境保护管理机构</w:t>
            </w:r>
          </w:p>
          <w:p w14:paraId="683B6718">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本项目的环境保护主体责任单位是重庆涪陵聚龙电力有限公司，其主要职责是：</w:t>
            </w:r>
          </w:p>
          <w:p w14:paraId="277EFF00">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（1）贯彻执行国家、重庆市及所在辖区内各项环境保护方针、政策和法规；</w:t>
            </w:r>
          </w:p>
          <w:p w14:paraId="669947CB">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（2）制定本工程施工中的环境保护计划，负责工程施工过程中各项环境保护措施实施的监督和日常管理；</w:t>
            </w:r>
          </w:p>
          <w:p w14:paraId="766C7B57">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（3）组织制定污染事故处理计划，并对事故进行调查处理；</w:t>
            </w:r>
          </w:p>
          <w:p w14:paraId="2A1D6B5A">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（4）收集、整理、推广和实施工程建设中各项环境保护的先进工作经验和技术；</w:t>
            </w:r>
          </w:p>
          <w:p w14:paraId="2DE7A74C">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（5）组织和开展对施工人员进行施工活动中应遵循的环保法规、知识的培训，提高全体员工文明施工的认识；</w:t>
            </w:r>
          </w:p>
          <w:p w14:paraId="3A6AE3EC">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（6）负责日常施工活动中的环境监理工作，做好工程用地区域的环境特征调查，对于环境保护目标要做到心中有数；</w:t>
            </w:r>
          </w:p>
          <w:p w14:paraId="4538FDDB">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（7）做好施工中各种环境问题的收集、记录、建档和处理工作；</w:t>
            </w:r>
          </w:p>
          <w:p w14:paraId="420CB369">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（8）监督施工单位，使施工工作完成后的生态恢复和补偿，水保设施、环保设施等各项保护工程同时完成。</w:t>
            </w:r>
          </w:p>
          <w:p w14:paraId="08674388">
            <w:pPr>
              <w:adjustRightInd w:val="0"/>
              <w:snapToGrid w:val="0"/>
              <w:spacing w:line="360" w:lineRule="auto"/>
              <w:rPr>
                <w:b/>
                <w:color w:val="auto"/>
                <w:sz w:val="24"/>
                <w:szCs w:val="20"/>
              </w:rPr>
            </w:pPr>
            <w:r>
              <w:rPr>
                <w:b/>
                <w:color w:val="auto"/>
                <w:sz w:val="24"/>
                <w:szCs w:val="20"/>
              </w:rPr>
              <w:t>1.2环境保护管理要点</w:t>
            </w:r>
          </w:p>
          <w:p w14:paraId="4576FFB4">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（1）设计阶段：项目的设计应充分吸纳环境影响报告表提出的环保措施，建设单位应对环保工程设计方案进行审查；</w:t>
            </w:r>
          </w:p>
          <w:p w14:paraId="25C6856E">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（2）招标阶段：建设单位在投标中应有环境保护的内容，中标后的合同应有实施环境保护措施的条款；</w:t>
            </w:r>
          </w:p>
          <w:p w14:paraId="5520D109">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（3）建设单位在施工开始后应配1～2名专职人员负责施工期的环境管理与监督，关注施工废渣排放、扬尘污染和噪声扰民等。</w:t>
            </w:r>
          </w:p>
          <w:p w14:paraId="4FD364BA">
            <w:pPr>
              <w:adjustRightInd w:val="0"/>
              <w:snapToGrid w:val="0"/>
              <w:spacing w:line="360" w:lineRule="auto"/>
              <w:rPr>
                <w:b/>
                <w:color w:val="auto"/>
                <w:sz w:val="24"/>
              </w:rPr>
            </w:pPr>
            <w:r>
              <w:rPr>
                <w:b/>
                <w:color w:val="auto"/>
                <w:sz w:val="24"/>
              </w:rPr>
              <w:t>1.3环境监测计划</w:t>
            </w:r>
          </w:p>
          <w:p w14:paraId="56734D74">
            <w:pPr>
              <w:pStyle w:val="8"/>
              <w:snapToGrid w:val="0"/>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（1）制定的目的、原则</w:t>
            </w:r>
          </w:p>
          <w:p w14:paraId="0072A572">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制定环境监测计划是为了监督各项环保措施的落实，为环保措施的实施时间和实施方案提供依据，也为项目竣工后评估提供依据。制定的原则是根据预测各个时期的主要环境影响及可能超标的地段及超标指标而定，重点是各个环境敏感区。</w:t>
            </w:r>
          </w:p>
          <w:p w14:paraId="374D79FC">
            <w:pPr>
              <w:pStyle w:val="8"/>
              <w:snapToGrid w:val="0"/>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（2）监测机构</w:t>
            </w:r>
          </w:p>
          <w:p w14:paraId="460FC5A0">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本次环境监测计划为营运期。营运期的环境监测由业主委托有资质的单位按已制定的计划监测。为保证监测计划的执行，建设单位应在施工前与监测单位签订施工期的环境监测合同，在项目交付使用前与监测单位签订营运期的环境监测合同。</w:t>
            </w:r>
          </w:p>
          <w:p w14:paraId="4FA51487">
            <w:pPr>
              <w:pStyle w:val="8"/>
              <w:snapToGrid w:val="0"/>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（3）监测计划</w:t>
            </w:r>
          </w:p>
          <w:p w14:paraId="4F5F0ED5">
            <w:pPr>
              <w:pStyle w:val="8"/>
              <w:snapToGrid w:val="0"/>
              <w:spacing w:line="360" w:lineRule="auto"/>
              <w:rPr>
                <w:rFonts w:ascii="Times New Roman" w:hAnsi="Times New Roman" w:cs="Times New Roman"/>
                <w:b/>
                <w:color w:val="auto"/>
                <w:sz w:val="24"/>
                <w:szCs w:val="24"/>
              </w:rPr>
            </w:pPr>
            <w:r>
              <w:rPr>
                <w:rFonts w:ascii="Times New Roman" w:hAnsi="Times New Roman" w:cs="Times New Roman"/>
                <w:color w:val="auto"/>
                <w:sz w:val="24"/>
                <w:szCs w:val="24"/>
              </w:rPr>
              <w:t>由国网重庆市电力公司北碚供电分公司委托有相关资质的监测站进行监测。监测计划简表5-1。</w:t>
            </w:r>
          </w:p>
          <w:p w14:paraId="10815167">
            <w:pPr>
              <w:pStyle w:val="8"/>
              <w:snapToGrid w:val="0"/>
              <w:spacing w:line="360" w:lineRule="auto"/>
              <w:ind w:firstLine="482"/>
              <w:jc w:val="center"/>
              <w:rPr>
                <w:rStyle w:val="33"/>
                <w:rFonts w:ascii="Times New Roman" w:hAnsi="Times New Roman" w:cs="Times New Roman"/>
                <w:color w:val="auto"/>
                <w:kern w:val="0"/>
                <w:sz w:val="24"/>
                <w:szCs w:val="24"/>
              </w:rPr>
            </w:pPr>
            <w:r>
              <w:rPr>
                <w:rFonts w:ascii="Times New Roman" w:hAnsi="Times New Roman" w:cs="Times New Roman"/>
                <w:b/>
                <w:color w:val="auto"/>
                <w:sz w:val="24"/>
                <w:szCs w:val="24"/>
              </w:rPr>
              <w:t>表5-1  营运期环境监测计划</w:t>
            </w:r>
          </w:p>
          <w:tbl>
            <w:tblPr>
              <w:tblStyle w:val="27"/>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369"/>
              <w:gridCol w:w="3228"/>
              <w:gridCol w:w="968"/>
            </w:tblGrid>
            <w:tr w14:paraId="6F4F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4" w:type="dxa"/>
                  <w:vAlign w:val="center"/>
                </w:tcPr>
                <w:p w14:paraId="32D05CB4">
                  <w:pPr>
                    <w:pStyle w:val="8"/>
                    <w:snapToGrid w:val="0"/>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监测项目</w:t>
                  </w:r>
                </w:p>
              </w:tc>
              <w:tc>
                <w:tcPr>
                  <w:tcW w:w="3369" w:type="dxa"/>
                  <w:vAlign w:val="center"/>
                </w:tcPr>
                <w:p w14:paraId="0FA82D1B">
                  <w:pPr>
                    <w:pStyle w:val="8"/>
                    <w:snapToGrid w:val="0"/>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监测点位</w:t>
                  </w:r>
                </w:p>
              </w:tc>
              <w:tc>
                <w:tcPr>
                  <w:tcW w:w="3228" w:type="dxa"/>
                  <w:vAlign w:val="center"/>
                </w:tcPr>
                <w:p w14:paraId="6B7557B3">
                  <w:pPr>
                    <w:pStyle w:val="8"/>
                    <w:snapToGrid w:val="0"/>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监测频次及时间</w:t>
                  </w:r>
                </w:p>
              </w:tc>
              <w:tc>
                <w:tcPr>
                  <w:tcW w:w="968" w:type="dxa"/>
                  <w:vAlign w:val="center"/>
                </w:tcPr>
                <w:p w14:paraId="349CCE3E">
                  <w:pPr>
                    <w:pStyle w:val="8"/>
                    <w:snapToGrid w:val="0"/>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实施机构</w:t>
                  </w:r>
                </w:p>
              </w:tc>
            </w:tr>
            <w:tr w14:paraId="779F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4" w:type="dxa"/>
                  <w:vAlign w:val="center"/>
                </w:tcPr>
                <w:p w14:paraId="080CDC11">
                  <w:pPr>
                    <w:pStyle w:val="8"/>
                    <w:snapToGrid w:val="0"/>
                    <w:spacing w:line="240" w:lineRule="auto"/>
                    <w:ind w:firstLine="0"/>
                    <w:rPr>
                      <w:rFonts w:ascii="Times New Roman" w:hAnsi="Times New Roman" w:cs="Times New Roman"/>
                      <w:color w:val="auto"/>
                      <w:sz w:val="21"/>
                      <w:szCs w:val="21"/>
                    </w:rPr>
                  </w:pPr>
                  <w:r>
                    <w:rPr>
                      <w:rFonts w:ascii="Times New Roman" w:hAnsi="Times New Roman" w:cs="Times New Roman"/>
                      <w:color w:val="auto"/>
                      <w:sz w:val="21"/>
                      <w:szCs w:val="21"/>
                    </w:rPr>
                    <w:t>环境噪声</w:t>
                  </w:r>
                </w:p>
              </w:tc>
              <w:tc>
                <w:tcPr>
                  <w:tcW w:w="3369" w:type="dxa"/>
                  <w:vMerge w:val="restart"/>
                  <w:vAlign w:val="center"/>
                </w:tcPr>
                <w:p w14:paraId="5D577CC9">
                  <w:pPr>
                    <w:pStyle w:val="8"/>
                    <w:snapToGrid w:val="0"/>
                    <w:spacing w:line="240" w:lineRule="auto"/>
                    <w:ind w:firstLine="0"/>
                    <w:jc w:val="left"/>
                    <w:rPr>
                      <w:rFonts w:ascii="Times New Roman" w:hAnsi="Times New Roman" w:cs="Times New Roman"/>
                      <w:color w:val="auto"/>
                      <w:sz w:val="21"/>
                    </w:rPr>
                  </w:pPr>
                  <w:r>
                    <w:rPr>
                      <w:rFonts w:ascii="Times New Roman" w:hAnsi="Times New Roman" w:cs="Times New Roman"/>
                      <w:color w:val="auto"/>
                      <w:sz w:val="21"/>
                    </w:rPr>
                    <w:t>①本项目线路评价范围内典型环境保护目标处及评价范围内有环境问题投诉的环境保护目标处；</w:t>
                  </w:r>
                </w:p>
                <w:p w14:paraId="7F44074B">
                  <w:pPr>
                    <w:pStyle w:val="8"/>
                    <w:snapToGrid w:val="0"/>
                    <w:spacing w:line="240" w:lineRule="auto"/>
                    <w:ind w:firstLine="0"/>
                    <w:rPr>
                      <w:rFonts w:ascii="Times New Roman" w:hAnsi="Times New Roman" w:cs="Times New Roman"/>
                      <w:color w:val="auto"/>
                      <w:sz w:val="21"/>
                    </w:rPr>
                  </w:pPr>
                  <w:r>
                    <w:rPr>
                      <w:rFonts w:ascii="Times New Roman" w:hAnsi="Times New Roman" w:cs="Times New Roman"/>
                      <w:color w:val="auto"/>
                      <w:sz w:val="21"/>
                    </w:rPr>
                    <w:t>②有条件时需布设断面监测。</w:t>
                  </w:r>
                </w:p>
              </w:tc>
              <w:tc>
                <w:tcPr>
                  <w:tcW w:w="3228" w:type="dxa"/>
                  <w:vMerge w:val="restart"/>
                  <w:vAlign w:val="center"/>
                </w:tcPr>
                <w:p w14:paraId="79ABE04B">
                  <w:pPr>
                    <w:pStyle w:val="8"/>
                    <w:snapToGrid w:val="0"/>
                    <w:spacing w:line="240" w:lineRule="auto"/>
                    <w:ind w:firstLine="0"/>
                    <w:rPr>
                      <w:rFonts w:ascii="Times New Roman" w:hAnsi="Times New Roman" w:cs="Times New Roman"/>
                      <w:color w:val="auto"/>
                      <w:sz w:val="21"/>
                    </w:rPr>
                  </w:pPr>
                  <w:r>
                    <w:rPr>
                      <w:rFonts w:ascii="Times New Roman" w:hAnsi="Times New Roman" w:cs="Times New Roman"/>
                      <w:color w:val="auto"/>
                      <w:sz w:val="21"/>
                    </w:rPr>
                    <w:t>①竣工环境保护验收监测一次；</w:t>
                  </w:r>
                </w:p>
                <w:p w14:paraId="660E0287">
                  <w:pPr>
                    <w:pStyle w:val="8"/>
                    <w:snapToGrid w:val="0"/>
                    <w:spacing w:line="240" w:lineRule="auto"/>
                    <w:ind w:firstLine="0"/>
                    <w:rPr>
                      <w:rFonts w:ascii="Times New Roman" w:hAnsi="Times New Roman" w:cs="Times New Roman"/>
                      <w:color w:val="auto"/>
                      <w:sz w:val="21"/>
                    </w:rPr>
                  </w:pPr>
                  <w:r>
                    <w:rPr>
                      <w:rFonts w:ascii="Times New Roman" w:hAnsi="Times New Roman" w:cs="Times New Roman"/>
                      <w:color w:val="auto"/>
                      <w:sz w:val="21"/>
                    </w:rPr>
                    <w:t>②根据投诉情况或其他需求进行监测</w:t>
                  </w:r>
                </w:p>
              </w:tc>
              <w:tc>
                <w:tcPr>
                  <w:tcW w:w="968" w:type="dxa"/>
                  <w:vMerge w:val="restart"/>
                  <w:vAlign w:val="center"/>
                </w:tcPr>
                <w:p w14:paraId="6A3BFE98">
                  <w:pPr>
                    <w:pStyle w:val="8"/>
                    <w:snapToGrid w:val="0"/>
                    <w:spacing w:line="240" w:lineRule="auto"/>
                    <w:ind w:firstLine="0"/>
                    <w:rPr>
                      <w:rFonts w:ascii="Times New Roman" w:hAnsi="Times New Roman" w:cs="Times New Roman"/>
                      <w:color w:val="auto"/>
                      <w:sz w:val="21"/>
                      <w:szCs w:val="21"/>
                    </w:rPr>
                  </w:pPr>
                  <w:r>
                    <w:rPr>
                      <w:rFonts w:ascii="Times New Roman" w:hAnsi="Times New Roman" w:cs="Times New Roman"/>
                      <w:color w:val="auto"/>
                      <w:sz w:val="21"/>
                      <w:szCs w:val="21"/>
                    </w:rPr>
                    <w:t>受委托的有监测资质单位监测</w:t>
                  </w:r>
                </w:p>
              </w:tc>
            </w:tr>
            <w:tr w14:paraId="1B92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64" w:type="dxa"/>
                  <w:vAlign w:val="center"/>
                </w:tcPr>
                <w:p w14:paraId="53C9CDA1">
                  <w:pPr>
                    <w:pStyle w:val="8"/>
                    <w:snapToGrid w:val="0"/>
                    <w:spacing w:line="240" w:lineRule="auto"/>
                    <w:ind w:firstLine="0"/>
                    <w:rPr>
                      <w:rFonts w:ascii="Times New Roman" w:hAnsi="Times New Roman" w:cs="Times New Roman"/>
                      <w:color w:val="auto"/>
                      <w:sz w:val="21"/>
                      <w:szCs w:val="21"/>
                    </w:rPr>
                  </w:pPr>
                  <w:r>
                    <w:rPr>
                      <w:rFonts w:ascii="Times New Roman" w:hAnsi="Times New Roman" w:cs="Times New Roman"/>
                      <w:color w:val="auto"/>
                      <w:sz w:val="21"/>
                      <w:szCs w:val="21"/>
                    </w:rPr>
                    <w:t>工频电场、工频磁场</w:t>
                  </w:r>
                </w:p>
              </w:tc>
              <w:tc>
                <w:tcPr>
                  <w:tcW w:w="3369" w:type="dxa"/>
                  <w:vMerge w:val="continue"/>
                  <w:vAlign w:val="center"/>
                </w:tcPr>
                <w:p w14:paraId="380329BE">
                  <w:pPr>
                    <w:pStyle w:val="8"/>
                    <w:snapToGrid w:val="0"/>
                    <w:spacing w:line="240" w:lineRule="auto"/>
                    <w:ind w:firstLine="0"/>
                    <w:rPr>
                      <w:rFonts w:ascii="Times New Roman" w:hAnsi="Times New Roman" w:cs="Times New Roman"/>
                      <w:color w:val="auto"/>
                      <w:sz w:val="21"/>
                    </w:rPr>
                  </w:pPr>
                </w:p>
              </w:tc>
              <w:tc>
                <w:tcPr>
                  <w:tcW w:w="3228" w:type="dxa"/>
                  <w:vMerge w:val="continue"/>
                  <w:vAlign w:val="center"/>
                </w:tcPr>
                <w:p w14:paraId="262AD672">
                  <w:pPr>
                    <w:pStyle w:val="8"/>
                    <w:snapToGrid w:val="0"/>
                    <w:spacing w:line="240" w:lineRule="auto"/>
                    <w:ind w:firstLine="0"/>
                    <w:rPr>
                      <w:rFonts w:ascii="Times New Roman" w:hAnsi="Times New Roman" w:cs="Times New Roman"/>
                      <w:color w:val="auto"/>
                      <w:sz w:val="21"/>
                    </w:rPr>
                  </w:pPr>
                </w:p>
              </w:tc>
              <w:tc>
                <w:tcPr>
                  <w:tcW w:w="968" w:type="dxa"/>
                  <w:vMerge w:val="continue"/>
                  <w:vAlign w:val="center"/>
                </w:tcPr>
                <w:p w14:paraId="7462B125">
                  <w:pPr>
                    <w:pStyle w:val="8"/>
                    <w:snapToGrid w:val="0"/>
                    <w:spacing w:line="240" w:lineRule="auto"/>
                    <w:ind w:firstLine="0"/>
                    <w:rPr>
                      <w:rFonts w:ascii="Times New Roman" w:hAnsi="Times New Roman" w:cs="Times New Roman"/>
                      <w:color w:val="auto"/>
                      <w:sz w:val="21"/>
                      <w:szCs w:val="21"/>
                    </w:rPr>
                  </w:pPr>
                </w:p>
              </w:tc>
            </w:tr>
          </w:tbl>
          <w:p w14:paraId="1B853ED6">
            <w:pPr>
              <w:adjustRightInd w:val="0"/>
              <w:snapToGrid w:val="0"/>
              <w:spacing w:line="360" w:lineRule="auto"/>
              <w:rPr>
                <w:b/>
                <w:color w:val="auto"/>
                <w:sz w:val="24"/>
              </w:rPr>
            </w:pPr>
            <w:r>
              <w:rPr>
                <w:b/>
                <w:color w:val="auto"/>
                <w:sz w:val="24"/>
              </w:rPr>
              <w:t>1.4环境保护设施竣工验收</w:t>
            </w:r>
          </w:p>
          <w:p w14:paraId="61E19556">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本工程正式投产运行前需根据《建设项目环境保护管理条例》中相关要求进行建设项目竣工环境保护验收，主要内容应包括：</w:t>
            </w:r>
          </w:p>
          <w:p w14:paraId="46EF6BC2">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（1）建设期环境保护措施实施情况分析。</w:t>
            </w:r>
          </w:p>
          <w:p w14:paraId="5908E903">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（2）工程运行中的工频电场、工频磁场、噪声影响情况。</w:t>
            </w:r>
          </w:p>
          <w:p w14:paraId="7022D56B">
            <w:pPr>
              <w:pStyle w:val="8"/>
              <w:snapToGrid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（3）工程运行期间环境管理所涉及的内容。</w:t>
            </w:r>
          </w:p>
          <w:p w14:paraId="0B95D817">
            <w:pPr>
              <w:pStyle w:val="8"/>
              <w:spacing w:line="240" w:lineRule="auto"/>
              <w:ind w:firstLine="0"/>
              <w:rPr>
                <w:rFonts w:ascii="Times New Roman" w:hAnsi="Times New Roman" w:cs="Times New Roman"/>
                <w:color w:val="auto"/>
                <w:sz w:val="21"/>
                <w:szCs w:val="21"/>
              </w:rPr>
            </w:pPr>
          </w:p>
          <w:p w14:paraId="6849DDC5">
            <w:pPr>
              <w:pStyle w:val="8"/>
              <w:spacing w:line="240" w:lineRule="auto"/>
              <w:ind w:firstLine="0"/>
              <w:rPr>
                <w:rFonts w:ascii="Times New Roman" w:hAnsi="Times New Roman" w:cs="Times New Roman"/>
                <w:color w:val="auto"/>
                <w:sz w:val="21"/>
                <w:szCs w:val="21"/>
              </w:rPr>
            </w:pPr>
          </w:p>
          <w:p w14:paraId="5B4A8525">
            <w:pPr>
              <w:pStyle w:val="8"/>
              <w:spacing w:line="240" w:lineRule="auto"/>
              <w:ind w:firstLine="0"/>
              <w:rPr>
                <w:rFonts w:ascii="Times New Roman" w:hAnsi="Times New Roman" w:cs="Times New Roman"/>
                <w:color w:val="auto"/>
                <w:sz w:val="21"/>
                <w:szCs w:val="21"/>
              </w:rPr>
            </w:pPr>
          </w:p>
          <w:p w14:paraId="6C462BF5">
            <w:pPr>
              <w:pStyle w:val="8"/>
              <w:spacing w:line="240" w:lineRule="auto"/>
              <w:ind w:firstLine="0"/>
              <w:rPr>
                <w:rFonts w:ascii="Times New Roman" w:hAnsi="Times New Roman" w:cs="Times New Roman"/>
                <w:color w:val="auto"/>
                <w:sz w:val="21"/>
                <w:szCs w:val="21"/>
              </w:rPr>
            </w:pPr>
          </w:p>
          <w:p w14:paraId="35D9347C">
            <w:pPr>
              <w:pStyle w:val="8"/>
              <w:spacing w:line="240" w:lineRule="auto"/>
              <w:ind w:firstLine="0"/>
              <w:rPr>
                <w:rFonts w:ascii="Times New Roman" w:hAnsi="Times New Roman" w:cs="Times New Roman"/>
                <w:color w:val="auto"/>
                <w:sz w:val="21"/>
                <w:szCs w:val="21"/>
              </w:rPr>
            </w:pPr>
          </w:p>
        </w:tc>
      </w:tr>
      <w:tr w14:paraId="5F454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059E1163">
            <w:pPr>
              <w:adjustRightInd w:val="0"/>
              <w:snapToGrid w:val="0"/>
              <w:jc w:val="center"/>
              <w:rPr>
                <w:b/>
                <w:bCs/>
                <w:color w:val="auto"/>
                <w:spacing w:val="10"/>
                <w:sz w:val="24"/>
              </w:rPr>
            </w:pPr>
            <w:r>
              <w:rPr>
                <w:b/>
                <w:bCs/>
                <w:color w:val="auto"/>
                <w:sz w:val="24"/>
              </w:rPr>
              <w:t>环保投资</w:t>
            </w:r>
          </w:p>
        </w:tc>
        <w:tc>
          <w:tcPr>
            <w:tcW w:w="8955" w:type="dxa"/>
            <w:vAlign w:val="center"/>
          </w:tcPr>
          <w:p w14:paraId="12BF49AE">
            <w:pPr>
              <w:autoSpaceDN w:val="0"/>
              <w:snapToGrid w:val="0"/>
              <w:spacing w:line="360" w:lineRule="auto"/>
              <w:ind w:firstLine="480" w:firstLineChars="200"/>
              <w:rPr>
                <w:color w:val="auto"/>
                <w:sz w:val="24"/>
              </w:rPr>
            </w:pPr>
            <w:r>
              <w:rPr>
                <w:color w:val="auto"/>
                <w:sz w:val="24"/>
                <w:szCs w:val="20"/>
              </w:rPr>
              <w:t>本项目总投资为</w:t>
            </w:r>
            <w:r>
              <w:rPr>
                <w:rFonts w:hint="eastAsia"/>
                <w:color w:val="auto"/>
                <w:sz w:val="24"/>
                <w:lang w:val="en-US" w:eastAsia="zh-CN"/>
              </w:rPr>
              <w:t>****</w:t>
            </w:r>
            <w:r>
              <w:rPr>
                <w:color w:val="auto"/>
                <w:sz w:val="24"/>
                <w:szCs w:val="20"/>
              </w:rPr>
              <w:t>万元，其中环保投资</w:t>
            </w:r>
            <w:r>
              <w:rPr>
                <w:rFonts w:hint="eastAsia"/>
                <w:color w:val="auto"/>
                <w:sz w:val="24"/>
                <w:lang w:val="en-US" w:eastAsia="zh-CN"/>
              </w:rPr>
              <w:t>****</w:t>
            </w:r>
            <w:r>
              <w:rPr>
                <w:color w:val="auto"/>
                <w:sz w:val="24"/>
                <w:szCs w:val="20"/>
              </w:rPr>
              <w:t>万元，占项目总投资的</w:t>
            </w:r>
            <w:r>
              <w:rPr>
                <w:rFonts w:hint="eastAsia"/>
                <w:color w:val="auto"/>
                <w:sz w:val="24"/>
                <w:lang w:val="en-US" w:eastAsia="zh-CN"/>
              </w:rPr>
              <w:t>****</w:t>
            </w:r>
            <w:r>
              <w:rPr>
                <w:color w:val="auto"/>
                <w:sz w:val="24"/>
                <w:szCs w:val="20"/>
              </w:rPr>
              <w:t>。本项目环保投资情况见表5-2</w:t>
            </w:r>
            <w:r>
              <w:rPr>
                <w:color w:val="auto"/>
                <w:sz w:val="24"/>
              </w:rPr>
              <w:t>。</w:t>
            </w:r>
          </w:p>
          <w:p w14:paraId="39D7E5A3">
            <w:pPr>
              <w:pStyle w:val="8"/>
              <w:spacing w:line="360" w:lineRule="auto"/>
              <w:ind w:firstLine="0"/>
              <w:jc w:val="center"/>
              <w:rPr>
                <w:rFonts w:ascii="Times New Roman" w:hAnsi="Times New Roman" w:cs="Times New Roman"/>
                <w:b/>
                <w:color w:val="auto"/>
                <w:szCs w:val="24"/>
              </w:rPr>
            </w:pPr>
            <w:r>
              <w:rPr>
                <w:rFonts w:ascii="Times New Roman" w:hAnsi="Times New Roman" w:cs="Times New Roman"/>
                <w:b/>
                <w:color w:val="auto"/>
                <w:szCs w:val="24"/>
              </w:rPr>
              <w:t>表5-2 项目环保措施投资情况</w:t>
            </w:r>
          </w:p>
          <w:tbl>
            <w:tblPr>
              <w:tblStyle w:val="27"/>
              <w:tblW w:w="8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452"/>
              <w:gridCol w:w="3619"/>
              <w:gridCol w:w="1158"/>
            </w:tblGrid>
            <w:tr w14:paraId="779B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59" w:type="dxa"/>
                  <w:tcBorders>
                    <w:tl2br w:val="single" w:color="auto" w:sz="4" w:space="0"/>
                  </w:tcBorders>
                  <w:vAlign w:val="center"/>
                </w:tcPr>
                <w:p w14:paraId="129B80ED">
                  <w:pPr>
                    <w:adjustRightInd w:val="0"/>
                    <w:snapToGrid w:val="0"/>
                    <w:jc w:val="center"/>
                    <w:rPr>
                      <w:color w:val="auto"/>
                      <w:kern w:val="0"/>
                      <w:szCs w:val="21"/>
                      <w:lang w:bidi="en-US"/>
                    </w:rPr>
                  </w:pPr>
                  <w:r>
                    <w:rPr>
                      <w:color w:val="auto"/>
                      <w:kern w:val="0"/>
                      <w:szCs w:val="21"/>
                      <w:lang w:bidi="en-US"/>
                    </w:rPr>
                    <w:t xml:space="preserve">    内容</w:t>
                  </w:r>
                </w:p>
                <w:p w14:paraId="2C2C5981">
                  <w:pPr>
                    <w:adjustRightInd w:val="0"/>
                    <w:snapToGrid w:val="0"/>
                    <w:rPr>
                      <w:color w:val="auto"/>
                      <w:kern w:val="0"/>
                      <w:szCs w:val="21"/>
                      <w:lang w:bidi="en-US"/>
                    </w:rPr>
                  </w:pPr>
                  <w:r>
                    <w:rPr>
                      <w:color w:val="auto"/>
                      <w:kern w:val="0"/>
                      <w:szCs w:val="21"/>
                      <w:lang w:bidi="en-US"/>
                    </w:rPr>
                    <w:t>类型</w:t>
                  </w:r>
                </w:p>
              </w:tc>
              <w:tc>
                <w:tcPr>
                  <w:tcW w:w="2452" w:type="dxa"/>
                  <w:vAlign w:val="center"/>
                </w:tcPr>
                <w:p w14:paraId="7166ACD5">
                  <w:pPr>
                    <w:adjustRightInd w:val="0"/>
                    <w:snapToGrid w:val="0"/>
                    <w:jc w:val="center"/>
                    <w:rPr>
                      <w:color w:val="auto"/>
                      <w:kern w:val="0"/>
                      <w:szCs w:val="21"/>
                      <w:lang w:bidi="en-US"/>
                    </w:rPr>
                  </w:pPr>
                  <w:r>
                    <w:rPr>
                      <w:color w:val="auto"/>
                      <w:kern w:val="0"/>
                      <w:szCs w:val="21"/>
                      <w:lang w:bidi="en-US"/>
                    </w:rPr>
                    <w:t>污染物名称</w:t>
                  </w:r>
                </w:p>
              </w:tc>
              <w:tc>
                <w:tcPr>
                  <w:tcW w:w="3619" w:type="dxa"/>
                  <w:vAlign w:val="center"/>
                </w:tcPr>
                <w:p w14:paraId="3D01E589">
                  <w:pPr>
                    <w:adjustRightInd w:val="0"/>
                    <w:snapToGrid w:val="0"/>
                    <w:jc w:val="center"/>
                    <w:rPr>
                      <w:color w:val="auto"/>
                      <w:kern w:val="0"/>
                      <w:szCs w:val="21"/>
                      <w:lang w:bidi="en-US"/>
                    </w:rPr>
                  </w:pPr>
                  <w:r>
                    <w:rPr>
                      <w:color w:val="auto"/>
                      <w:kern w:val="0"/>
                      <w:szCs w:val="21"/>
                      <w:lang w:bidi="en-US"/>
                    </w:rPr>
                    <w:t>防治措施</w:t>
                  </w:r>
                </w:p>
              </w:tc>
              <w:tc>
                <w:tcPr>
                  <w:tcW w:w="1158" w:type="dxa"/>
                  <w:vAlign w:val="center"/>
                </w:tcPr>
                <w:p w14:paraId="5EE922F9">
                  <w:pPr>
                    <w:adjustRightInd w:val="0"/>
                    <w:snapToGrid w:val="0"/>
                    <w:jc w:val="center"/>
                    <w:rPr>
                      <w:color w:val="auto"/>
                      <w:kern w:val="0"/>
                      <w:szCs w:val="21"/>
                      <w:lang w:bidi="en-US"/>
                    </w:rPr>
                  </w:pPr>
                  <w:r>
                    <w:rPr>
                      <w:color w:val="auto"/>
                      <w:kern w:val="0"/>
                      <w:szCs w:val="21"/>
                      <w:lang w:bidi="en-US"/>
                    </w:rPr>
                    <w:t>环保投资（万元）</w:t>
                  </w:r>
                </w:p>
              </w:tc>
            </w:tr>
            <w:tr w14:paraId="69C3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vAlign w:val="center"/>
                </w:tcPr>
                <w:p w14:paraId="55CE14E0">
                  <w:pPr>
                    <w:adjustRightInd w:val="0"/>
                    <w:snapToGrid w:val="0"/>
                    <w:jc w:val="center"/>
                    <w:rPr>
                      <w:color w:val="auto"/>
                      <w:kern w:val="0"/>
                      <w:szCs w:val="21"/>
                      <w:lang w:bidi="en-US"/>
                    </w:rPr>
                  </w:pPr>
                  <w:r>
                    <w:rPr>
                      <w:color w:val="auto"/>
                      <w:kern w:val="0"/>
                      <w:szCs w:val="21"/>
                      <w:lang w:bidi="en-US"/>
                    </w:rPr>
                    <w:t>大气污染物</w:t>
                  </w:r>
                </w:p>
              </w:tc>
              <w:tc>
                <w:tcPr>
                  <w:tcW w:w="2452" w:type="dxa"/>
                  <w:vAlign w:val="center"/>
                </w:tcPr>
                <w:p w14:paraId="6159FDF6">
                  <w:pPr>
                    <w:adjustRightInd w:val="0"/>
                    <w:snapToGrid w:val="0"/>
                    <w:jc w:val="center"/>
                    <w:rPr>
                      <w:color w:val="auto"/>
                      <w:kern w:val="0"/>
                      <w:szCs w:val="21"/>
                      <w:lang w:bidi="en-US"/>
                    </w:rPr>
                  </w:pPr>
                  <w:r>
                    <w:rPr>
                      <w:color w:val="auto"/>
                      <w:kern w:val="0"/>
                      <w:szCs w:val="21"/>
                      <w:lang w:bidi="en-US"/>
                    </w:rPr>
                    <w:t>施工扬尘</w:t>
                  </w:r>
                </w:p>
              </w:tc>
              <w:tc>
                <w:tcPr>
                  <w:tcW w:w="3619" w:type="dxa"/>
                  <w:vAlign w:val="center"/>
                </w:tcPr>
                <w:p w14:paraId="799AF862">
                  <w:pPr>
                    <w:adjustRightInd w:val="0"/>
                    <w:snapToGrid w:val="0"/>
                    <w:jc w:val="center"/>
                    <w:rPr>
                      <w:color w:val="auto"/>
                      <w:kern w:val="0"/>
                      <w:szCs w:val="21"/>
                      <w:lang w:bidi="en-US"/>
                    </w:rPr>
                  </w:pPr>
                  <w:r>
                    <w:rPr>
                      <w:color w:val="auto"/>
                      <w:kern w:val="0"/>
                      <w:szCs w:val="21"/>
                      <w:lang w:bidi="en-US"/>
                    </w:rPr>
                    <w:t>设置围挡，定期定时洒水降尘等</w:t>
                  </w:r>
                </w:p>
              </w:tc>
              <w:tc>
                <w:tcPr>
                  <w:tcW w:w="1158" w:type="dxa"/>
                  <w:vAlign w:val="center"/>
                </w:tcPr>
                <w:p w14:paraId="7B456FB6">
                  <w:pPr>
                    <w:adjustRightInd w:val="0"/>
                    <w:snapToGrid w:val="0"/>
                    <w:jc w:val="center"/>
                    <w:rPr>
                      <w:color w:val="auto"/>
                      <w:kern w:val="0"/>
                      <w:szCs w:val="21"/>
                      <w:lang w:bidi="en-US"/>
                    </w:rPr>
                  </w:pPr>
                  <w:r>
                    <w:rPr>
                      <w:rFonts w:hint="eastAsia"/>
                      <w:color w:val="auto"/>
                      <w:sz w:val="24"/>
                      <w:lang w:val="en-US" w:eastAsia="zh-CN"/>
                    </w:rPr>
                    <w:t>****</w:t>
                  </w:r>
                </w:p>
              </w:tc>
            </w:tr>
            <w:tr w14:paraId="1DB8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08BA3844">
                  <w:pPr>
                    <w:adjustRightInd w:val="0"/>
                    <w:snapToGrid w:val="0"/>
                    <w:jc w:val="center"/>
                    <w:rPr>
                      <w:color w:val="auto"/>
                      <w:kern w:val="0"/>
                      <w:szCs w:val="21"/>
                      <w:lang w:bidi="en-US"/>
                    </w:rPr>
                  </w:pPr>
                  <w:r>
                    <w:rPr>
                      <w:color w:val="auto"/>
                      <w:kern w:val="0"/>
                      <w:szCs w:val="21"/>
                      <w:lang w:bidi="en-US"/>
                    </w:rPr>
                    <w:t>水环境</w:t>
                  </w:r>
                </w:p>
              </w:tc>
              <w:tc>
                <w:tcPr>
                  <w:tcW w:w="2452" w:type="dxa"/>
                  <w:vAlign w:val="center"/>
                </w:tcPr>
                <w:p w14:paraId="1264C450">
                  <w:pPr>
                    <w:adjustRightInd w:val="0"/>
                    <w:snapToGrid w:val="0"/>
                    <w:jc w:val="center"/>
                    <w:rPr>
                      <w:color w:val="auto"/>
                      <w:kern w:val="0"/>
                      <w:szCs w:val="21"/>
                      <w:lang w:bidi="en-US"/>
                    </w:rPr>
                  </w:pPr>
                  <w:r>
                    <w:rPr>
                      <w:color w:val="auto"/>
                      <w:kern w:val="0"/>
                      <w:szCs w:val="21"/>
                      <w:lang w:bidi="en-US"/>
                    </w:rPr>
                    <w:t>生活污水</w:t>
                  </w:r>
                </w:p>
              </w:tc>
              <w:tc>
                <w:tcPr>
                  <w:tcW w:w="3619" w:type="dxa"/>
                  <w:vAlign w:val="center"/>
                </w:tcPr>
                <w:p w14:paraId="513269AD">
                  <w:pPr>
                    <w:adjustRightInd w:val="0"/>
                    <w:snapToGrid w:val="0"/>
                    <w:jc w:val="center"/>
                    <w:rPr>
                      <w:color w:val="auto"/>
                      <w:kern w:val="0"/>
                      <w:szCs w:val="21"/>
                      <w:lang w:bidi="en-US"/>
                    </w:rPr>
                  </w:pPr>
                  <w:r>
                    <w:rPr>
                      <w:color w:val="auto"/>
                      <w:kern w:val="0"/>
                      <w:szCs w:val="21"/>
                      <w:lang w:bidi="en-US"/>
                    </w:rPr>
                    <w:t>施工人员就近租用周边民房，产生的生活污水纳入当地生活污水处理系统</w:t>
                  </w:r>
                </w:p>
              </w:tc>
              <w:tc>
                <w:tcPr>
                  <w:tcW w:w="1158" w:type="dxa"/>
                  <w:vAlign w:val="center"/>
                </w:tcPr>
                <w:p w14:paraId="4870E400">
                  <w:pPr>
                    <w:adjustRightInd w:val="0"/>
                    <w:snapToGrid w:val="0"/>
                    <w:jc w:val="center"/>
                    <w:rPr>
                      <w:color w:val="auto"/>
                      <w:kern w:val="0"/>
                      <w:szCs w:val="21"/>
                      <w:lang w:bidi="en-US"/>
                    </w:rPr>
                  </w:pPr>
                  <w:r>
                    <w:rPr>
                      <w:rFonts w:hint="eastAsia"/>
                      <w:color w:val="auto"/>
                      <w:sz w:val="24"/>
                      <w:lang w:val="en-US" w:eastAsia="zh-CN"/>
                    </w:rPr>
                    <w:t>****</w:t>
                  </w:r>
                </w:p>
              </w:tc>
            </w:tr>
            <w:tr w14:paraId="6EFC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restart"/>
                  <w:vAlign w:val="center"/>
                </w:tcPr>
                <w:p w14:paraId="48951170">
                  <w:pPr>
                    <w:adjustRightInd w:val="0"/>
                    <w:snapToGrid w:val="0"/>
                    <w:jc w:val="center"/>
                    <w:rPr>
                      <w:color w:val="auto"/>
                      <w:kern w:val="0"/>
                      <w:szCs w:val="21"/>
                      <w:lang w:bidi="en-US"/>
                    </w:rPr>
                  </w:pPr>
                  <w:r>
                    <w:rPr>
                      <w:color w:val="auto"/>
                      <w:kern w:val="0"/>
                      <w:szCs w:val="21"/>
                      <w:lang w:bidi="en-US"/>
                    </w:rPr>
                    <w:t>固体废物</w:t>
                  </w:r>
                </w:p>
              </w:tc>
              <w:tc>
                <w:tcPr>
                  <w:tcW w:w="2452" w:type="dxa"/>
                  <w:vAlign w:val="center"/>
                </w:tcPr>
                <w:p w14:paraId="44AC5B00">
                  <w:pPr>
                    <w:adjustRightInd w:val="0"/>
                    <w:snapToGrid w:val="0"/>
                    <w:jc w:val="center"/>
                    <w:rPr>
                      <w:color w:val="auto"/>
                      <w:kern w:val="0"/>
                      <w:szCs w:val="21"/>
                      <w:lang w:bidi="en-US"/>
                    </w:rPr>
                  </w:pPr>
                  <w:r>
                    <w:rPr>
                      <w:color w:val="auto"/>
                      <w:szCs w:val="21"/>
                    </w:rPr>
                    <w:t>生活垃圾</w:t>
                  </w:r>
                </w:p>
              </w:tc>
              <w:tc>
                <w:tcPr>
                  <w:tcW w:w="3619" w:type="dxa"/>
                  <w:vAlign w:val="center"/>
                </w:tcPr>
                <w:p w14:paraId="6F25DB7D">
                  <w:pPr>
                    <w:adjustRightInd w:val="0"/>
                    <w:snapToGrid w:val="0"/>
                    <w:jc w:val="center"/>
                    <w:rPr>
                      <w:color w:val="auto"/>
                      <w:kern w:val="0"/>
                      <w:szCs w:val="21"/>
                      <w:lang w:bidi="en-US"/>
                    </w:rPr>
                  </w:pPr>
                  <w:r>
                    <w:rPr>
                      <w:color w:val="auto"/>
                      <w:kern w:val="0"/>
                      <w:szCs w:val="21"/>
                      <w:lang w:bidi="en-US"/>
                    </w:rPr>
                    <w:t>交由环卫部门定期清运</w:t>
                  </w:r>
                </w:p>
              </w:tc>
              <w:tc>
                <w:tcPr>
                  <w:tcW w:w="1158" w:type="dxa"/>
                  <w:vMerge w:val="restart"/>
                  <w:vAlign w:val="center"/>
                </w:tcPr>
                <w:p w14:paraId="44FB053F">
                  <w:pPr>
                    <w:adjustRightInd w:val="0"/>
                    <w:snapToGrid w:val="0"/>
                    <w:jc w:val="center"/>
                    <w:rPr>
                      <w:color w:val="auto"/>
                      <w:kern w:val="0"/>
                      <w:szCs w:val="21"/>
                      <w:lang w:bidi="en-US"/>
                    </w:rPr>
                  </w:pPr>
                  <w:r>
                    <w:rPr>
                      <w:rFonts w:hint="eastAsia"/>
                      <w:color w:val="auto"/>
                      <w:sz w:val="24"/>
                      <w:lang w:val="en-US" w:eastAsia="zh-CN"/>
                    </w:rPr>
                    <w:t>****</w:t>
                  </w:r>
                </w:p>
              </w:tc>
            </w:tr>
            <w:tr w14:paraId="42F1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vAlign w:val="center"/>
                </w:tcPr>
                <w:p w14:paraId="4AFE591F">
                  <w:pPr>
                    <w:adjustRightInd w:val="0"/>
                    <w:snapToGrid w:val="0"/>
                    <w:jc w:val="center"/>
                    <w:rPr>
                      <w:color w:val="auto"/>
                      <w:kern w:val="0"/>
                      <w:szCs w:val="21"/>
                      <w:lang w:bidi="en-US"/>
                    </w:rPr>
                  </w:pPr>
                </w:p>
              </w:tc>
              <w:tc>
                <w:tcPr>
                  <w:tcW w:w="2452" w:type="dxa"/>
                  <w:vAlign w:val="center"/>
                </w:tcPr>
                <w:p w14:paraId="7E892E20">
                  <w:pPr>
                    <w:adjustRightInd w:val="0"/>
                    <w:snapToGrid w:val="0"/>
                    <w:jc w:val="center"/>
                    <w:rPr>
                      <w:color w:val="auto"/>
                      <w:szCs w:val="21"/>
                    </w:rPr>
                  </w:pPr>
                  <w:r>
                    <w:rPr>
                      <w:rFonts w:hint="eastAsia"/>
                      <w:color w:val="auto"/>
                      <w:szCs w:val="21"/>
                    </w:rPr>
                    <w:t>回用方</w:t>
                  </w:r>
                </w:p>
              </w:tc>
              <w:tc>
                <w:tcPr>
                  <w:tcW w:w="3619" w:type="dxa"/>
                  <w:vAlign w:val="center"/>
                </w:tcPr>
                <w:p w14:paraId="36FC7456">
                  <w:pPr>
                    <w:adjustRightInd w:val="0"/>
                    <w:snapToGrid w:val="0"/>
                    <w:jc w:val="center"/>
                    <w:rPr>
                      <w:color w:val="auto"/>
                      <w:kern w:val="0"/>
                      <w:szCs w:val="21"/>
                      <w:lang w:bidi="en-US"/>
                    </w:rPr>
                  </w:pPr>
                  <w:r>
                    <w:rPr>
                      <w:color w:val="auto"/>
                      <w:kern w:val="0"/>
                      <w:szCs w:val="21"/>
                      <w:lang w:bidi="en-US"/>
                    </w:rPr>
                    <w:t>回填在塔基周围低洼处</w:t>
                  </w:r>
                </w:p>
              </w:tc>
              <w:tc>
                <w:tcPr>
                  <w:tcW w:w="1158" w:type="dxa"/>
                  <w:vMerge w:val="continue"/>
                  <w:vAlign w:val="center"/>
                </w:tcPr>
                <w:p w14:paraId="71AD9DEB">
                  <w:pPr>
                    <w:adjustRightInd w:val="0"/>
                    <w:snapToGrid w:val="0"/>
                    <w:jc w:val="center"/>
                    <w:rPr>
                      <w:color w:val="auto"/>
                      <w:kern w:val="0"/>
                      <w:szCs w:val="21"/>
                      <w:lang w:bidi="en-US"/>
                    </w:rPr>
                  </w:pPr>
                  <w:r>
                    <w:rPr>
                      <w:rFonts w:hint="eastAsia"/>
                      <w:color w:val="auto"/>
                      <w:sz w:val="24"/>
                      <w:lang w:val="en-US" w:eastAsia="zh-CN"/>
                    </w:rPr>
                    <w:t>****</w:t>
                  </w:r>
                </w:p>
              </w:tc>
            </w:tr>
            <w:tr w14:paraId="2688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vAlign w:val="center"/>
                </w:tcPr>
                <w:p w14:paraId="4E361638">
                  <w:pPr>
                    <w:adjustRightInd w:val="0"/>
                    <w:snapToGrid w:val="0"/>
                    <w:jc w:val="center"/>
                    <w:rPr>
                      <w:color w:val="auto"/>
                      <w:kern w:val="0"/>
                      <w:szCs w:val="21"/>
                      <w:lang w:bidi="en-US"/>
                    </w:rPr>
                  </w:pPr>
                </w:p>
              </w:tc>
              <w:tc>
                <w:tcPr>
                  <w:tcW w:w="2452" w:type="dxa"/>
                  <w:vAlign w:val="center"/>
                </w:tcPr>
                <w:p w14:paraId="0C179C22">
                  <w:pPr>
                    <w:adjustRightInd w:val="0"/>
                    <w:snapToGrid w:val="0"/>
                    <w:jc w:val="center"/>
                    <w:rPr>
                      <w:color w:val="auto"/>
                    </w:rPr>
                  </w:pPr>
                  <w:r>
                    <w:rPr>
                      <w:color w:val="auto"/>
                    </w:rPr>
                    <w:t>拆除的水泥杆塔</w:t>
                  </w:r>
                </w:p>
              </w:tc>
              <w:tc>
                <w:tcPr>
                  <w:tcW w:w="3619" w:type="dxa"/>
                  <w:vAlign w:val="center"/>
                </w:tcPr>
                <w:p w14:paraId="1D0DAFFF">
                  <w:pPr>
                    <w:adjustRightInd w:val="0"/>
                    <w:snapToGrid w:val="0"/>
                    <w:jc w:val="center"/>
                    <w:rPr>
                      <w:color w:val="auto"/>
                      <w:kern w:val="0"/>
                      <w:szCs w:val="21"/>
                      <w:lang w:bidi="en-US"/>
                    </w:rPr>
                  </w:pPr>
                  <w:r>
                    <w:rPr>
                      <w:color w:val="auto"/>
                      <w:kern w:val="0"/>
                      <w:szCs w:val="21"/>
                      <w:lang w:bidi="en-US"/>
                    </w:rPr>
                    <w:t>清运至政府指定渣场</w:t>
                  </w:r>
                </w:p>
              </w:tc>
              <w:tc>
                <w:tcPr>
                  <w:tcW w:w="1158" w:type="dxa"/>
                  <w:vMerge w:val="continue"/>
                  <w:vAlign w:val="center"/>
                </w:tcPr>
                <w:p w14:paraId="2C9C112C">
                  <w:pPr>
                    <w:adjustRightInd w:val="0"/>
                    <w:snapToGrid w:val="0"/>
                    <w:jc w:val="center"/>
                    <w:rPr>
                      <w:color w:val="auto"/>
                      <w:kern w:val="0"/>
                      <w:szCs w:val="21"/>
                      <w:lang w:bidi="en-US"/>
                    </w:rPr>
                  </w:pPr>
                  <w:r>
                    <w:rPr>
                      <w:rFonts w:hint="eastAsia"/>
                      <w:color w:val="auto"/>
                      <w:sz w:val="24"/>
                      <w:lang w:val="en-US" w:eastAsia="zh-CN"/>
                    </w:rPr>
                    <w:t>****</w:t>
                  </w:r>
                </w:p>
              </w:tc>
            </w:tr>
            <w:tr w14:paraId="610A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vAlign w:val="center"/>
                </w:tcPr>
                <w:p w14:paraId="187A2471">
                  <w:pPr>
                    <w:adjustRightInd w:val="0"/>
                    <w:snapToGrid w:val="0"/>
                    <w:jc w:val="center"/>
                    <w:rPr>
                      <w:color w:val="auto"/>
                      <w:kern w:val="0"/>
                      <w:szCs w:val="21"/>
                      <w:lang w:bidi="en-US"/>
                    </w:rPr>
                  </w:pPr>
                </w:p>
              </w:tc>
              <w:tc>
                <w:tcPr>
                  <w:tcW w:w="2452" w:type="dxa"/>
                  <w:vAlign w:val="center"/>
                </w:tcPr>
                <w:p w14:paraId="4DE00AD4">
                  <w:pPr>
                    <w:adjustRightInd w:val="0"/>
                    <w:snapToGrid w:val="0"/>
                    <w:jc w:val="center"/>
                    <w:rPr>
                      <w:color w:val="auto"/>
                    </w:rPr>
                  </w:pPr>
                  <w:r>
                    <w:rPr>
                      <w:color w:val="auto"/>
                    </w:rPr>
                    <w:t>拆除的角钢塔、导线及金具等</w:t>
                  </w:r>
                </w:p>
              </w:tc>
              <w:tc>
                <w:tcPr>
                  <w:tcW w:w="3619" w:type="dxa"/>
                  <w:vAlign w:val="center"/>
                </w:tcPr>
                <w:p w14:paraId="2E8E2404">
                  <w:pPr>
                    <w:adjustRightInd w:val="0"/>
                    <w:snapToGrid w:val="0"/>
                    <w:jc w:val="center"/>
                    <w:rPr>
                      <w:color w:val="auto"/>
                      <w:kern w:val="0"/>
                      <w:szCs w:val="21"/>
                      <w:lang w:bidi="en-US"/>
                    </w:rPr>
                  </w:pPr>
                  <w:r>
                    <w:rPr>
                      <w:color w:val="auto"/>
                      <w:kern w:val="0"/>
                      <w:szCs w:val="21"/>
                      <w:lang w:bidi="en-US"/>
                    </w:rPr>
                    <w:t>交由电力物资部门回收</w:t>
                  </w:r>
                </w:p>
              </w:tc>
              <w:tc>
                <w:tcPr>
                  <w:tcW w:w="1158" w:type="dxa"/>
                  <w:vMerge w:val="continue"/>
                  <w:vAlign w:val="center"/>
                </w:tcPr>
                <w:p w14:paraId="71BE6955">
                  <w:pPr>
                    <w:adjustRightInd w:val="0"/>
                    <w:snapToGrid w:val="0"/>
                    <w:jc w:val="center"/>
                    <w:rPr>
                      <w:color w:val="auto"/>
                      <w:kern w:val="0"/>
                      <w:szCs w:val="21"/>
                      <w:lang w:bidi="en-US"/>
                    </w:rPr>
                  </w:pPr>
                  <w:r>
                    <w:rPr>
                      <w:rFonts w:hint="eastAsia"/>
                      <w:color w:val="auto"/>
                      <w:sz w:val="24"/>
                      <w:lang w:val="en-US" w:eastAsia="zh-CN"/>
                    </w:rPr>
                    <w:t>****</w:t>
                  </w:r>
                </w:p>
              </w:tc>
            </w:tr>
            <w:tr w14:paraId="7F91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37A29D38">
                  <w:pPr>
                    <w:adjustRightInd w:val="0"/>
                    <w:snapToGrid w:val="0"/>
                    <w:jc w:val="center"/>
                    <w:rPr>
                      <w:color w:val="auto"/>
                      <w:kern w:val="0"/>
                      <w:szCs w:val="21"/>
                      <w:lang w:bidi="en-US"/>
                    </w:rPr>
                  </w:pPr>
                  <w:r>
                    <w:rPr>
                      <w:color w:val="auto"/>
                      <w:kern w:val="0"/>
                      <w:szCs w:val="21"/>
                      <w:lang w:bidi="en-US"/>
                    </w:rPr>
                    <w:t>噪声</w:t>
                  </w:r>
                </w:p>
              </w:tc>
              <w:tc>
                <w:tcPr>
                  <w:tcW w:w="2452" w:type="dxa"/>
                  <w:vAlign w:val="center"/>
                </w:tcPr>
                <w:p w14:paraId="5FD7E62D">
                  <w:pPr>
                    <w:adjustRightInd w:val="0"/>
                    <w:snapToGrid w:val="0"/>
                    <w:jc w:val="center"/>
                    <w:rPr>
                      <w:color w:val="auto"/>
                      <w:kern w:val="0"/>
                      <w:szCs w:val="21"/>
                      <w:lang w:bidi="en-US"/>
                    </w:rPr>
                  </w:pPr>
                  <w:r>
                    <w:rPr>
                      <w:color w:val="auto"/>
                      <w:szCs w:val="21"/>
                    </w:rPr>
                    <w:t>电晕放电产生的噪声</w:t>
                  </w:r>
                </w:p>
              </w:tc>
              <w:tc>
                <w:tcPr>
                  <w:tcW w:w="3619" w:type="dxa"/>
                  <w:vAlign w:val="center"/>
                </w:tcPr>
                <w:p w14:paraId="585868B0">
                  <w:pPr>
                    <w:adjustRightInd w:val="0"/>
                    <w:snapToGrid w:val="0"/>
                    <w:jc w:val="center"/>
                    <w:rPr>
                      <w:color w:val="auto"/>
                      <w:kern w:val="0"/>
                      <w:szCs w:val="21"/>
                      <w:lang w:bidi="en-US"/>
                    </w:rPr>
                  </w:pPr>
                  <w:r>
                    <w:rPr>
                      <w:color w:val="auto"/>
                      <w:szCs w:val="21"/>
                    </w:rPr>
                    <w:t>适当抬高导线对地高度</w:t>
                  </w:r>
                </w:p>
              </w:tc>
              <w:tc>
                <w:tcPr>
                  <w:tcW w:w="1158" w:type="dxa"/>
                  <w:vAlign w:val="center"/>
                </w:tcPr>
                <w:p w14:paraId="3EE1593C">
                  <w:pPr>
                    <w:adjustRightInd w:val="0"/>
                    <w:snapToGrid w:val="0"/>
                    <w:jc w:val="center"/>
                    <w:rPr>
                      <w:color w:val="auto"/>
                      <w:kern w:val="0"/>
                      <w:szCs w:val="21"/>
                      <w:lang w:bidi="en-US"/>
                    </w:rPr>
                  </w:pPr>
                  <w:r>
                    <w:rPr>
                      <w:rFonts w:hint="eastAsia"/>
                      <w:color w:val="auto"/>
                      <w:sz w:val="24"/>
                      <w:lang w:val="en-US" w:eastAsia="zh-CN"/>
                    </w:rPr>
                    <w:t>****</w:t>
                  </w:r>
                </w:p>
              </w:tc>
            </w:tr>
            <w:tr w14:paraId="22BD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14A2751F">
                  <w:pPr>
                    <w:adjustRightInd w:val="0"/>
                    <w:snapToGrid w:val="0"/>
                    <w:jc w:val="center"/>
                    <w:rPr>
                      <w:color w:val="auto"/>
                      <w:kern w:val="0"/>
                      <w:szCs w:val="21"/>
                      <w:lang w:bidi="en-US"/>
                    </w:rPr>
                  </w:pPr>
                  <w:r>
                    <w:rPr>
                      <w:color w:val="auto"/>
                      <w:kern w:val="0"/>
                      <w:szCs w:val="21"/>
                      <w:lang w:bidi="en-US"/>
                    </w:rPr>
                    <w:t>电磁环境</w:t>
                  </w:r>
                </w:p>
              </w:tc>
              <w:tc>
                <w:tcPr>
                  <w:tcW w:w="2452" w:type="dxa"/>
                  <w:vAlign w:val="center"/>
                </w:tcPr>
                <w:p w14:paraId="5BBDA850">
                  <w:pPr>
                    <w:adjustRightInd w:val="0"/>
                    <w:snapToGrid w:val="0"/>
                    <w:jc w:val="center"/>
                    <w:rPr>
                      <w:color w:val="auto"/>
                      <w:kern w:val="0"/>
                      <w:szCs w:val="21"/>
                      <w:lang w:bidi="en-US"/>
                    </w:rPr>
                  </w:pPr>
                  <w:r>
                    <w:rPr>
                      <w:color w:val="auto"/>
                      <w:kern w:val="0"/>
                      <w:szCs w:val="21"/>
                      <w:lang w:bidi="en-US"/>
                    </w:rPr>
                    <w:t>工频电磁场</w:t>
                  </w:r>
                </w:p>
              </w:tc>
              <w:tc>
                <w:tcPr>
                  <w:tcW w:w="3619" w:type="dxa"/>
                  <w:vAlign w:val="center"/>
                </w:tcPr>
                <w:p w14:paraId="51BAEECA">
                  <w:pPr>
                    <w:adjustRightInd w:val="0"/>
                    <w:snapToGrid w:val="0"/>
                    <w:jc w:val="center"/>
                    <w:rPr>
                      <w:color w:val="auto"/>
                      <w:kern w:val="0"/>
                      <w:szCs w:val="21"/>
                      <w:lang w:bidi="en-US"/>
                    </w:rPr>
                  </w:pPr>
                  <w:r>
                    <w:rPr>
                      <w:color w:val="auto"/>
                      <w:szCs w:val="21"/>
                    </w:rPr>
                    <w:t>定期进行环境监测工作</w:t>
                  </w:r>
                </w:p>
              </w:tc>
              <w:tc>
                <w:tcPr>
                  <w:tcW w:w="1158" w:type="dxa"/>
                  <w:vAlign w:val="center"/>
                </w:tcPr>
                <w:p w14:paraId="2DC95B56">
                  <w:pPr>
                    <w:adjustRightInd w:val="0"/>
                    <w:snapToGrid w:val="0"/>
                    <w:jc w:val="center"/>
                    <w:rPr>
                      <w:color w:val="auto"/>
                      <w:kern w:val="0"/>
                      <w:szCs w:val="21"/>
                      <w:lang w:bidi="en-US"/>
                    </w:rPr>
                  </w:pPr>
                  <w:r>
                    <w:rPr>
                      <w:rFonts w:hint="eastAsia"/>
                      <w:color w:val="auto"/>
                      <w:sz w:val="24"/>
                      <w:lang w:val="en-US" w:eastAsia="zh-CN"/>
                    </w:rPr>
                    <w:t>****</w:t>
                  </w:r>
                </w:p>
              </w:tc>
            </w:tr>
            <w:tr w14:paraId="65E4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516D537D">
                  <w:pPr>
                    <w:adjustRightInd w:val="0"/>
                    <w:snapToGrid w:val="0"/>
                    <w:jc w:val="center"/>
                    <w:rPr>
                      <w:color w:val="auto"/>
                      <w:kern w:val="0"/>
                      <w:szCs w:val="21"/>
                      <w:lang w:bidi="en-US"/>
                    </w:rPr>
                  </w:pPr>
                  <w:r>
                    <w:rPr>
                      <w:color w:val="auto"/>
                      <w:kern w:val="0"/>
                      <w:szCs w:val="21"/>
                      <w:lang w:bidi="en-US"/>
                    </w:rPr>
                    <w:t>生态环境</w:t>
                  </w:r>
                </w:p>
              </w:tc>
              <w:tc>
                <w:tcPr>
                  <w:tcW w:w="2452" w:type="dxa"/>
                  <w:vAlign w:val="center"/>
                </w:tcPr>
                <w:p w14:paraId="30DCEBAF">
                  <w:pPr>
                    <w:adjustRightInd w:val="0"/>
                    <w:snapToGrid w:val="0"/>
                    <w:jc w:val="center"/>
                    <w:rPr>
                      <w:color w:val="auto"/>
                      <w:kern w:val="0"/>
                      <w:szCs w:val="21"/>
                      <w:lang w:bidi="en-US"/>
                    </w:rPr>
                  </w:pPr>
                  <w:r>
                    <w:rPr>
                      <w:color w:val="auto"/>
                      <w:kern w:val="0"/>
                      <w:szCs w:val="21"/>
                      <w:lang w:bidi="en-US"/>
                    </w:rPr>
                    <w:t>植被扰动、水土流失</w:t>
                  </w:r>
                </w:p>
              </w:tc>
              <w:tc>
                <w:tcPr>
                  <w:tcW w:w="3619" w:type="dxa"/>
                  <w:vAlign w:val="center"/>
                </w:tcPr>
                <w:p w14:paraId="603C838D">
                  <w:pPr>
                    <w:adjustRightInd w:val="0"/>
                    <w:snapToGrid w:val="0"/>
                    <w:jc w:val="center"/>
                    <w:rPr>
                      <w:color w:val="auto"/>
                      <w:kern w:val="0"/>
                      <w:szCs w:val="21"/>
                      <w:lang w:bidi="en-US"/>
                    </w:rPr>
                  </w:pPr>
                  <w:r>
                    <w:rPr>
                      <w:color w:val="auto"/>
                      <w:kern w:val="0"/>
                      <w:szCs w:val="21"/>
                      <w:lang w:bidi="en-US"/>
                    </w:rPr>
                    <w:t>施工结束后及时硬化或绿化</w:t>
                  </w:r>
                </w:p>
              </w:tc>
              <w:tc>
                <w:tcPr>
                  <w:tcW w:w="1158" w:type="dxa"/>
                  <w:vAlign w:val="center"/>
                </w:tcPr>
                <w:p w14:paraId="03BD811C">
                  <w:pPr>
                    <w:adjustRightInd w:val="0"/>
                    <w:snapToGrid w:val="0"/>
                    <w:jc w:val="center"/>
                    <w:rPr>
                      <w:color w:val="auto"/>
                      <w:kern w:val="0"/>
                      <w:szCs w:val="21"/>
                      <w:lang w:bidi="en-US"/>
                    </w:rPr>
                  </w:pPr>
                  <w:r>
                    <w:rPr>
                      <w:rFonts w:hint="eastAsia"/>
                      <w:color w:val="auto"/>
                      <w:sz w:val="24"/>
                      <w:lang w:val="en-US" w:eastAsia="zh-CN"/>
                    </w:rPr>
                    <w:t>****</w:t>
                  </w:r>
                </w:p>
              </w:tc>
            </w:tr>
            <w:tr w14:paraId="52DF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390C0BB2">
                  <w:pPr>
                    <w:adjustRightInd w:val="0"/>
                    <w:snapToGrid w:val="0"/>
                    <w:jc w:val="center"/>
                    <w:rPr>
                      <w:color w:val="auto"/>
                      <w:kern w:val="0"/>
                      <w:szCs w:val="21"/>
                      <w:lang w:bidi="en-US"/>
                    </w:rPr>
                  </w:pPr>
                  <w:r>
                    <w:rPr>
                      <w:color w:val="auto"/>
                      <w:kern w:val="0"/>
                      <w:szCs w:val="21"/>
                      <w:lang w:bidi="en-US"/>
                    </w:rPr>
                    <w:t>总计</w:t>
                  </w:r>
                </w:p>
              </w:tc>
              <w:tc>
                <w:tcPr>
                  <w:tcW w:w="2452" w:type="dxa"/>
                  <w:vAlign w:val="center"/>
                </w:tcPr>
                <w:p w14:paraId="07864DF9">
                  <w:pPr>
                    <w:adjustRightInd w:val="0"/>
                    <w:snapToGrid w:val="0"/>
                    <w:jc w:val="center"/>
                    <w:rPr>
                      <w:color w:val="auto"/>
                      <w:kern w:val="0"/>
                      <w:szCs w:val="21"/>
                      <w:lang w:bidi="en-US"/>
                    </w:rPr>
                  </w:pPr>
                  <w:r>
                    <w:rPr>
                      <w:color w:val="auto"/>
                      <w:kern w:val="0"/>
                      <w:szCs w:val="21"/>
                      <w:lang w:bidi="en-US"/>
                    </w:rPr>
                    <w:t>/</w:t>
                  </w:r>
                </w:p>
              </w:tc>
              <w:tc>
                <w:tcPr>
                  <w:tcW w:w="3619" w:type="dxa"/>
                  <w:vAlign w:val="center"/>
                </w:tcPr>
                <w:p w14:paraId="45CCBFF4">
                  <w:pPr>
                    <w:adjustRightInd w:val="0"/>
                    <w:snapToGrid w:val="0"/>
                    <w:jc w:val="center"/>
                    <w:rPr>
                      <w:color w:val="auto"/>
                      <w:kern w:val="0"/>
                      <w:szCs w:val="21"/>
                      <w:lang w:bidi="en-US"/>
                    </w:rPr>
                  </w:pPr>
                  <w:r>
                    <w:rPr>
                      <w:color w:val="auto"/>
                      <w:kern w:val="0"/>
                      <w:szCs w:val="21"/>
                      <w:lang w:bidi="en-US"/>
                    </w:rPr>
                    <w:t>/</w:t>
                  </w:r>
                </w:p>
              </w:tc>
              <w:tc>
                <w:tcPr>
                  <w:tcW w:w="1158" w:type="dxa"/>
                  <w:vAlign w:val="center"/>
                </w:tcPr>
                <w:p w14:paraId="0544A06E">
                  <w:pPr>
                    <w:adjustRightInd w:val="0"/>
                    <w:snapToGrid w:val="0"/>
                    <w:jc w:val="center"/>
                    <w:rPr>
                      <w:color w:val="auto"/>
                      <w:kern w:val="0"/>
                      <w:szCs w:val="21"/>
                      <w:lang w:bidi="en-US"/>
                    </w:rPr>
                  </w:pPr>
                  <w:r>
                    <w:rPr>
                      <w:rFonts w:hint="eastAsia"/>
                      <w:color w:val="auto"/>
                      <w:sz w:val="24"/>
                      <w:lang w:val="en-US" w:eastAsia="zh-CN"/>
                    </w:rPr>
                    <w:t>****</w:t>
                  </w:r>
                </w:p>
              </w:tc>
            </w:tr>
          </w:tbl>
          <w:p w14:paraId="50584C01">
            <w:pPr>
              <w:pStyle w:val="2"/>
              <w:rPr>
                <w:rFonts w:ascii="Times New Roman" w:hAnsi="Times New Roman" w:cs="Times New Roman"/>
                <w:b/>
                <w:color w:val="auto"/>
                <w:sz w:val="24"/>
                <w:szCs w:val="20"/>
              </w:rPr>
            </w:pPr>
          </w:p>
          <w:p w14:paraId="417044B5">
            <w:pPr>
              <w:pStyle w:val="2"/>
              <w:rPr>
                <w:rFonts w:ascii="Times New Roman" w:hAnsi="Times New Roman" w:cs="Times New Roman"/>
                <w:b/>
                <w:color w:val="auto"/>
                <w:sz w:val="24"/>
                <w:szCs w:val="20"/>
              </w:rPr>
            </w:pPr>
          </w:p>
          <w:p w14:paraId="1677357F">
            <w:pPr>
              <w:pStyle w:val="2"/>
              <w:rPr>
                <w:rFonts w:ascii="Times New Roman" w:hAnsi="Times New Roman" w:cs="Times New Roman"/>
                <w:b/>
                <w:color w:val="auto"/>
                <w:sz w:val="24"/>
                <w:szCs w:val="20"/>
              </w:rPr>
            </w:pPr>
          </w:p>
          <w:p w14:paraId="17664EEF">
            <w:pPr>
              <w:pStyle w:val="2"/>
              <w:rPr>
                <w:rFonts w:ascii="Times New Roman" w:hAnsi="Times New Roman" w:cs="Times New Roman"/>
                <w:b/>
                <w:color w:val="auto"/>
                <w:sz w:val="24"/>
                <w:szCs w:val="20"/>
              </w:rPr>
            </w:pPr>
          </w:p>
          <w:p w14:paraId="4CF08565">
            <w:pPr>
              <w:pStyle w:val="2"/>
              <w:rPr>
                <w:rFonts w:ascii="Times New Roman" w:hAnsi="Times New Roman" w:cs="Times New Roman"/>
                <w:b/>
                <w:color w:val="auto"/>
                <w:sz w:val="24"/>
                <w:szCs w:val="20"/>
              </w:rPr>
            </w:pPr>
          </w:p>
          <w:p w14:paraId="69D81B30">
            <w:pPr>
              <w:pStyle w:val="2"/>
              <w:rPr>
                <w:rFonts w:ascii="Times New Roman" w:hAnsi="Times New Roman" w:cs="Times New Roman"/>
                <w:b/>
                <w:color w:val="auto"/>
                <w:sz w:val="24"/>
                <w:szCs w:val="20"/>
              </w:rPr>
            </w:pPr>
          </w:p>
          <w:p w14:paraId="2E75F5C5">
            <w:pPr>
              <w:pStyle w:val="2"/>
              <w:rPr>
                <w:rFonts w:ascii="Times New Roman" w:hAnsi="Times New Roman" w:cs="Times New Roman"/>
                <w:b/>
                <w:color w:val="auto"/>
                <w:sz w:val="24"/>
                <w:szCs w:val="20"/>
              </w:rPr>
            </w:pPr>
          </w:p>
          <w:p w14:paraId="746F1115">
            <w:pPr>
              <w:pStyle w:val="2"/>
              <w:rPr>
                <w:rFonts w:ascii="Times New Roman" w:hAnsi="Times New Roman" w:cs="Times New Roman"/>
                <w:b/>
                <w:color w:val="auto"/>
                <w:sz w:val="24"/>
                <w:szCs w:val="20"/>
              </w:rPr>
            </w:pPr>
          </w:p>
          <w:p w14:paraId="75499504">
            <w:pPr>
              <w:pStyle w:val="2"/>
              <w:rPr>
                <w:rFonts w:ascii="Times New Roman" w:hAnsi="Times New Roman" w:cs="Times New Roman"/>
                <w:b/>
                <w:color w:val="auto"/>
                <w:sz w:val="24"/>
                <w:szCs w:val="20"/>
              </w:rPr>
            </w:pPr>
          </w:p>
          <w:p w14:paraId="28420533">
            <w:pPr>
              <w:pStyle w:val="2"/>
              <w:rPr>
                <w:rFonts w:ascii="Times New Roman" w:hAnsi="Times New Roman" w:cs="Times New Roman"/>
                <w:b/>
                <w:color w:val="auto"/>
                <w:sz w:val="24"/>
                <w:szCs w:val="20"/>
              </w:rPr>
            </w:pPr>
          </w:p>
          <w:p w14:paraId="07BA1B51">
            <w:pPr>
              <w:pStyle w:val="2"/>
              <w:rPr>
                <w:rFonts w:ascii="Times New Roman" w:hAnsi="Times New Roman" w:cs="Times New Roman"/>
                <w:b/>
                <w:color w:val="auto"/>
                <w:sz w:val="24"/>
                <w:szCs w:val="20"/>
              </w:rPr>
            </w:pPr>
          </w:p>
          <w:p w14:paraId="30D16BE9">
            <w:pPr>
              <w:pStyle w:val="2"/>
              <w:rPr>
                <w:rFonts w:ascii="Times New Roman" w:hAnsi="Times New Roman" w:cs="Times New Roman"/>
                <w:b/>
                <w:color w:val="auto"/>
                <w:sz w:val="24"/>
                <w:szCs w:val="20"/>
              </w:rPr>
            </w:pPr>
          </w:p>
          <w:p w14:paraId="11ECEFD3">
            <w:pPr>
              <w:pStyle w:val="2"/>
              <w:rPr>
                <w:rFonts w:ascii="Times New Roman" w:hAnsi="Times New Roman" w:cs="Times New Roman"/>
                <w:b/>
                <w:color w:val="auto"/>
                <w:sz w:val="24"/>
                <w:szCs w:val="20"/>
              </w:rPr>
            </w:pPr>
          </w:p>
          <w:p w14:paraId="778901FC">
            <w:pPr>
              <w:pStyle w:val="2"/>
              <w:rPr>
                <w:rFonts w:ascii="Times New Roman" w:hAnsi="Times New Roman" w:cs="Times New Roman"/>
                <w:b/>
                <w:color w:val="auto"/>
                <w:sz w:val="24"/>
                <w:szCs w:val="20"/>
              </w:rPr>
            </w:pPr>
          </w:p>
          <w:p w14:paraId="562E7452">
            <w:pPr>
              <w:pStyle w:val="2"/>
              <w:rPr>
                <w:rFonts w:ascii="Times New Roman" w:hAnsi="Times New Roman" w:cs="Times New Roman"/>
                <w:b/>
                <w:color w:val="auto"/>
                <w:sz w:val="24"/>
                <w:szCs w:val="20"/>
              </w:rPr>
            </w:pPr>
          </w:p>
          <w:p w14:paraId="04FEDE43">
            <w:pPr>
              <w:pStyle w:val="2"/>
              <w:rPr>
                <w:rFonts w:ascii="Times New Roman" w:hAnsi="Times New Roman" w:cs="Times New Roman"/>
                <w:b/>
                <w:color w:val="auto"/>
                <w:sz w:val="24"/>
                <w:szCs w:val="20"/>
              </w:rPr>
            </w:pPr>
          </w:p>
          <w:p w14:paraId="2F06DCF4">
            <w:pPr>
              <w:pStyle w:val="2"/>
              <w:rPr>
                <w:rFonts w:ascii="Times New Roman" w:hAnsi="Times New Roman" w:cs="Times New Roman"/>
                <w:b/>
                <w:color w:val="auto"/>
                <w:sz w:val="24"/>
                <w:szCs w:val="20"/>
              </w:rPr>
            </w:pPr>
          </w:p>
          <w:p w14:paraId="6F659C7A">
            <w:pPr>
              <w:pStyle w:val="2"/>
              <w:rPr>
                <w:rFonts w:ascii="Times New Roman" w:hAnsi="Times New Roman" w:cs="Times New Roman"/>
                <w:b/>
                <w:color w:val="auto"/>
                <w:sz w:val="24"/>
                <w:szCs w:val="20"/>
              </w:rPr>
            </w:pPr>
          </w:p>
          <w:p w14:paraId="26517552">
            <w:pPr>
              <w:pStyle w:val="2"/>
              <w:rPr>
                <w:rFonts w:ascii="Times New Roman" w:hAnsi="Times New Roman" w:cs="Times New Roman"/>
                <w:b/>
                <w:color w:val="auto"/>
                <w:sz w:val="24"/>
                <w:szCs w:val="20"/>
              </w:rPr>
            </w:pPr>
          </w:p>
          <w:p w14:paraId="064DB966">
            <w:pPr>
              <w:pStyle w:val="2"/>
              <w:rPr>
                <w:rFonts w:ascii="Times New Roman" w:hAnsi="Times New Roman" w:cs="Times New Roman"/>
                <w:b/>
                <w:color w:val="auto"/>
                <w:sz w:val="24"/>
                <w:szCs w:val="20"/>
              </w:rPr>
            </w:pPr>
          </w:p>
          <w:p w14:paraId="55DC125F">
            <w:pPr>
              <w:pStyle w:val="2"/>
              <w:rPr>
                <w:rFonts w:ascii="Times New Roman" w:hAnsi="Times New Roman" w:cs="Times New Roman"/>
                <w:b/>
                <w:color w:val="auto"/>
                <w:sz w:val="24"/>
                <w:szCs w:val="20"/>
              </w:rPr>
            </w:pPr>
          </w:p>
          <w:p w14:paraId="23FA6B7E">
            <w:pPr>
              <w:pStyle w:val="2"/>
              <w:rPr>
                <w:rFonts w:ascii="Times New Roman" w:hAnsi="Times New Roman" w:cs="Times New Roman"/>
                <w:b/>
                <w:color w:val="auto"/>
                <w:sz w:val="24"/>
                <w:szCs w:val="20"/>
              </w:rPr>
            </w:pPr>
          </w:p>
          <w:p w14:paraId="22C551D9">
            <w:pPr>
              <w:adjustRightInd w:val="0"/>
              <w:snapToGrid w:val="0"/>
              <w:rPr>
                <w:bCs/>
                <w:color w:val="auto"/>
                <w:spacing w:val="10"/>
                <w:szCs w:val="21"/>
              </w:rPr>
            </w:pPr>
          </w:p>
        </w:tc>
      </w:tr>
    </w:tbl>
    <w:p w14:paraId="548A5D01">
      <w:pPr>
        <w:rPr>
          <w:color w:val="auto"/>
        </w:rPr>
        <w:sectPr>
          <w:pgSz w:w="11906" w:h="16838"/>
          <w:pgMar w:top="1134" w:right="1134" w:bottom="1134" w:left="1134" w:header="851" w:footer="992" w:gutter="0"/>
          <w:cols w:space="425" w:num="1"/>
          <w:docGrid w:linePitch="312" w:charSpace="0"/>
        </w:sectPr>
      </w:pPr>
    </w:p>
    <w:p w14:paraId="0634ED51">
      <w:pPr>
        <w:pStyle w:val="24"/>
        <w:spacing w:before="0" w:beforeAutospacing="0" w:after="0" w:afterAutospacing="0" w:line="360" w:lineRule="auto"/>
        <w:jc w:val="center"/>
        <w:outlineLvl w:val="0"/>
        <w:rPr>
          <w:rFonts w:ascii="Times New Roman" w:hAnsi="Times New Roman"/>
          <w:b/>
          <w:snapToGrid w:val="0"/>
          <w:color w:val="auto"/>
          <w:sz w:val="30"/>
          <w:szCs w:val="30"/>
        </w:rPr>
      </w:pPr>
      <w:bookmarkStart w:id="14" w:name="_Toc63026909"/>
      <w:r>
        <w:rPr>
          <w:rFonts w:ascii="Times New Roman" w:hAnsi="Times New Roman"/>
          <w:b/>
          <w:snapToGrid w:val="0"/>
          <w:color w:val="auto"/>
          <w:sz w:val="30"/>
          <w:szCs w:val="30"/>
        </w:rPr>
        <w:t>六、主要环境保护措施监督检查清单</w:t>
      </w:r>
      <w:bookmarkEnd w:id="14"/>
    </w:p>
    <w:tbl>
      <w:tblPr>
        <w:tblStyle w:val="27"/>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38"/>
        <w:gridCol w:w="2592"/>
        <w:gridCol w:w="2516"/>
        <w:gridCol w:w="2159"/>
      </w:tblGrid>
      <w:tr w14:paraId="472FE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481" w:type="dxa"/>
            <w:vMerge w:val="restart"/>
            <w:tcBorders>
              <w:tl2br w:val="single" w:color="auto" w:sz="4" w:space="0"/>
            </w:tcBorders>
            <w:vAlign w:val="center"/>
          </w:tcPr>
          <w:p w14:paraId="049BD92C">
            <w:pPr>
              <w:jc w:val="center"/>
              <w:rPr>
                <w:b/>
                <w:color w:val="auto"/>
                <w:sz w:val="24"/>
              </w:rPr>
            </w:pPr>
            <w:bookmarkStart w:id="15" w:name="_Toc63026703"/>
            <w:r>
              <w:rPr>
                <w:b/>
                <w:color w:val="auto"/>
                <w:sz w:val="24"/>
              </w:rPr>
              <w:t>内容</w:t>
            </w:r>
            <w:bookmarkEnd w:id="15"/>
          </w:p>
          <w:p w14:paraId="0F1766DE">
            <w:pPr>
              <w:jc w:val="center"/>
              <w:rPr>
                <w:b/>
                <w:color w:val="auto"/>
                <w:sz w:val="24"/>
              </w:rPr>
            </w:pPr>
          </w:p>
          <w:p w14:paraId="0F2F4765">
            <w:pPr>
              <w:jc w:val="center"/>
              <w:rPr>
                <w:b/>
                <w:color w:val="auto"/>
                <w:sz w:val="24"/>
              </w:rPr>
            </w:pPr>
          </w:p>
          <w:p w14:paraId="5C8BFE82">
            <w:pPr>
              <w:jc w:val="center"/>
              <w:rPr>
                <w:b/>
                <w:color w:val="auto"/>
                <w:sz w:val="24"/>
              </w:rPr>
            </w:pPr>
            <w:bookmarkStart w:id="16" w:name="_Toc63026704"/>
            <w:r>
              <w:rPr>
                <w:b/>
                <w:color w:val="auto"/>
                <w:sz w:val="24"/>
              </w:rPr>
              <w:t>要素</w:t>
            </w:r>
            <w:bookmarkEnd w:id="16"/>
          </w:p>
        </w:tc>
        <w:tc>
          <w:tcPr>
            <w:tcW w:w="8630" w:type="dxa"/>
            <w:gridSpan w:val="2"/>
            <w:vAlign w:val="center"/>
          </w:tcPr>
          <w:p w14:paraId="7E5E5FFC">
            <w:pPr>
              <w:jc w:val="center"/>
              <w:rPr>
                <w:b/>
                <w:color w:val="auto"/>
                <w:sz w:val="24"/>
              </w:rPr>
            </w:pPr>
            <w:bookmarkStart w:id="17" w:name="_Toc63026705"/>
            <w:r>
              <w:rPr>
                <w:b/>
                <w:color w:val="auto"/>
                <w:sz w:val="24"/>
              </w:rPr>
              <w:t>施工期</w:t>
            </w:r>
            <w:bookmarkEnd w:id="17"/>
          </w:p>
        </w:tc>
        <w:tc>
          <w:tcPr>
            <w:tcW w:w="4675" w:type="dxa"/>
            <w:gridSpan w:val="2"/>
            <w:vAlign w:val="center"/>
          </w:tcPr>
          <w:p w14:paraId="22E86E8F">
            <w:pPr>
              <w:jc w:val="center"/>
              <w:rPr>
                <w:b/>
                <w:color w:val="auto"/>
                <w:sz w:val="24"/>
              </w:rPr>
            </w:pPr>
            <w:bookmarkStart w:id="18" w:name="_Toc63026706"/>
            <w:r>
              <w:rPr>
                <w:b/>
                <w:color w:val="auto"/>
                <w:sz w:val="24"/>
              </w:rPr>
              <w:t>运营期</w:t>
            </w:r>
            <w:bookmarkEnd w:id="18"/>
          </w:p>
        </w:tc>
      </w:tr>
      <w:tr w14:paraId="5D5A3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481" w:type="dxa"/>
            <w:vMerge w:val="continue"/>
            <w:vAlign w:val="center"/>
          </w:tcPr>
          <w:p w14:paraId="04D23B67">
            <w:pPr>
              <w:jc w:val="center"/>
              <w:rPr>
                <w:b/>
                <w:color w:val="auto"/>
                <w:sz w:val="24"/>
              </w:rPr>
            </w:pPr>
          </w:p>
        </w:tc>
        <w:tc>
          <w:tcPr>
            <w:tcW w:w="6038" w:type="dxa"/>
            <w:vAlign w:val="center"/>
          </w:tcPr>
          <w:p w14:paraId="31BA23F8">
            <w:pPr>
              <w:jc w:val="center"/>
              <w:rPr>
                <w:b/>
                <w:color w:val="auto"/>
                <w:sz w:val="24"/>
              </w:rPr>
            </w:pPr>
            <w:bookmarkStart w:id="19" w:name="_Toc63026707"/>
            <w:r>
              <w:rPr>
                <w:b/>
                <w:color w:val="auto"/>
                <w:sz w:val="24"/>
              </w:rPr>
              <w:t>环境保护措施</w:t>
            </w:r>
            <w:bookmarkEnd w:id="19"/>
          </w:p>
        </w:tc>
        <w:tc>
          <w:tcPr>
            <w:tcW w:w="2592" w:type="dxa"/>
            <w:vAlign w:val="center"/>
          </w:tcPr>
          <w:p w14:paraId="4A087791">
            <w:pPr>
              <w:jc w:val="center"/>
              <w:rPr>
                <w:b/>
                <w:color w:val="auto"/>
                <w:sz w:val="24"/>
              </w:rPr>
            </w:pPr>
            <w:bookmarkStart w:id="20" w:name="_Toc63026708"/>
            <w:r>
              <w:rPr>
                <w:b/>
                <w:color w:val="auto"/>
                <w:sz w:val="24"/>
              </w:rPr>
              <w:t>验收要求</w:t>
            </w:r>
            <w:bookmarkEnd w:id="20"/>
          </w:p>
        </w:tc>
        <w:tc>
          <w:tcPr>
            <w:tcW w:w="2516" w:type="dxa"/>
            <w:vAlign w:val="center"/>
          </w:tcPr>
          <w:p w14:paraId="485AA05F">
            <w:pPr>
              <w:jc w:val="center"/>
              <w:rPr>
                <w:b/>
                <w:color w:val="auto"/>
                <w:sz w:val="24"/>
              </w:rPr>
            </w:pPr>
            <w:bookmarkStart w:id="21" w:name="_Toc63026709"/>
            <w:r>
              <w:rPr>
                <w:b/>
                <w:color w:val="auto"/>
                <w:sz w:val="24"/>
              </w:rPr>
              <w:t>环境保护措施</w:t>
            </w:r>
            <w:bookmarkEnd w:id="21"/>
          </w:p>
        </w:tc>
        <w:tc>
          <w:tcPr>
            <w:tcW w:w="2159" w:type="dxa"/>
            <w:vAlign w:val="center"/>
          </w:tcPr>
          <w:p w14:paraId="35AB11A5">
            <w:pPr>
              <w:jc w:val="center"/>
              <w:rPr>
                <w:b/>
                <w:color w:val="auto"/>
                <w:sz w:val="24"/>
              </w:rPr>
            </w:pPr>
            <w:bookmarkStart w:id="22" w:name="_Toc63026710"/>
            <w:r>
              <w:rPr>
                <w:b/>
                <w:color w:val="auto"/>
                <w:sz w:val="24"/>
              </w:rPr>
              <w:t>验收要求</w:t>
            </w:r>
            <w:bookmarkEnd w:id="22"/>
          </w:p>
        </w:tc>
      </w:tr>
      <w:tr w14:paraId="6FB06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652E13C9">
            <w:pPr>
              <w:adjustRightInd w:val="0"/>
              <w:snapToGrid w:val="0"/>
              <w:jc w:val="center"/>
              <w:rPr>
                <w:color w:val="auto"/>
                <w:sz w:val="24"/>
              </w:rPr>
            </w:pPr>
            <w:r>
              <w:rPr>
                <w:color w:val="auto"/>
                <w:sz w:val="24"/>
              </w:rPr>
              <w:t>陆生生态</w:t>
            </w:r>
          </w:p>
        </w:tc>
        <w:tc>
          <w:tcPr>
            <w:tcW w:w="6038" w:type="dxa"/>
            <w:vAlign w:val="center"/>
          </w:tcPr>
          <w:p w14:paraId="6DE926AE">
            <w:pPr>
              <w:adjustRightInd w:val="0"/>
              <w:snapToGrid w:val="0"/>
              <w:rPr>
                <w:b/>
                <w:color w:val="auto"/>
                <w:sz w:val="24"/>
              </w:rPr>
            </w:pPr>
            <w:r>
              <w:rPr>
                <w:b/>
                <w:color w:val="auto"/>
                <w:sz w:val="24"/>
              </w:rPr>
              <w:t>设计阶段：</w:t>
            </w:r>
          </w:p>
          <w:p w14:paraId="2000EBA4">
            <w:pPr>
              <w:adjustRightInd w:val="0"/>
              <w:snapToGrid w:val="0"/>
              <w:rPr>
                <w:color w:val="auto"/>
                <w:sz w:val="24"/>
              </w:rPr>
            </w:pPr>
            <w:r>
              <w:rPr>
                <w:color w:val="auto"/>
                <w:sz w:val="24"/>
              </w:rPr>
              <w:t>①在初步设计阶段，结合最新勘探资料，尽量减少塔基数量；</w:t>
            </w:r>
          </w:p>
          <w:p w14:paraId="39D317B7">
            <w:pPr>
              <w:adjustRightInd w:val="0"/>
              <w:snapToGrid w:val="0"/>
              <w:rPr>
                <w:color w:val="auto"/>
                <w:sz w:val="24"/>
              </w:rPr>
            </w:pPr>
            <w:r>
              <w:rPr>
                <w:color w:val="auto"/>
                <w:sz w:val="24"/>
              </w:rPr>
              <w:t>②塔基工程设计需因地制宜，采用高低腿基础，尽可能减少开挖或不开挖施工基面，尽量减少对塔位区域自然地貌及植被的破坏，保护边坡稳定；</w:t>
            </w:r>
          </w:p>
          <w:p w14:paraId="3685DE81">
            <w:pPr>
              <w:adjustRightInd w:val="0"/>
              <w:snapToGrid w:val="0"/>
              <w:rPr>
                <w:bCs/>
                <w:color w:val="auto"/>
                <w:sz w:val="24"/>
              </w:rPr>
            </w:pPr>
            <w:r>
              <w:rPr>
                <w:bCs/>
                <w:color w:val="auto"/>
                <w:sz w:val="24"/>
              </w:rPr>
              <w:t>③在塔基定位时，根据周边地形、地势等条件，塔基尽量避开植被密集区；在经过成片林地时适当抬高导线对地高度，采取高跨通过，减少线下林木的砍伐；</w:t>
            </w:r>
          </w:p>
          <w:p w14:paraId="3447A431">
            <w:pPr>
              <w:pStyle w:val="8"/>
              <w:snapToGrid w:val="0"/>
              <w:spacing w:line="240" w:lineRule="auto"/>
              <w:ind w:firstLine="0"/>
              <w:rPr>
                <w:rFonts w:ascii="Times New Roman" w:hAnsi="Times New Roman" w:cs="Times New Roman"/>
                <w:color w:val="auto"/>
                <w:sz w:val="24"/>
                <w:szCs w:val="24"/>
              </w:rPr>
            </w:pPr>
            <w:r>
              <w:rPr>
                <w:rFonts w:ascii="Times New Roman" w:hAnsi="Times New Roman" w:cs="Times New Roman"/>
                <w:color w:val="auto"/>
                <w:sz w:val="24"/>
                <w:szCs w:val="24"/>
              </w:rPr>
              <w:t>④合理选择路径、塔位：在选线和定位时，应尽量避开陡坡和易发生塌方、滑坡、冲沟或其它地质灾害的不良地质段。</w:t>
            </w:r>
          </w:p>
          <w:p w14:paraId="0FC5D23B">
            <w:pPr>
              <w:adjustRightInd w:val="0"/>
              <w:snapToGrid w:val="0"/>
              <w:rPr>
                <w:b/>
                <w:color w:val="auto"/>
                <w:sz w:val="24"/>
              </w:rPr>
            </w:pPr>
            <w:r>
              <w:rPr>
                <w:b/>
                <w:color w:val="auto"/>
                <w:sz w:val="24"/>
              </w:rPr>
              <w:t>施工期：</w:t>
            </w:r>
          </w:p>
          <w:p w14:paraId="4C9D66E1">
            <w:pPr>
              <w:adjustRightInd w:val="0"/>
              <w:snapToGrid w:val="0"/>
              <w:rPr>
                <w:color w:val="auto"/>
                <w:sz w:val="24"/>
              </w:rPr>
            </w:pPr>
            <w:r>
              <w:rPr>
                <w:color w:val="auto"/>
                <w:sz w:val="24"/>
              </w:rPr>
              <w:t>①施工期对工程进行合理设计，做到分期和分区施工；</w:t>
            </w:r>
          </w:p>
          <w:p w14:paraId="5DA77A62">
            <w:pPr>
              <w:adjustRightInd w:val="0"/>
              <w:snapToGrid w:val="0"/>
              <w:rPr>
                <w:color w:val="auto"/>
                <w:sz w:val="24"/>
              </w:rPr>
            </w:pPr>
            <w:r>
              <w:rPr>
                <w:color w:val="auto"/>
                <w:sz w:val="24"/>
              </w:rPr>
              <w:t>②</w:t>
            </w:r>
            <w:r>
              <w:rPr>
                <w:bCs/>
                <w:color w:val="auto"/>
                <w:sz w:val="24"/>
              </w:rPr>
              <w:t>施工牵张场、料场应尽量选择线路沿线现有空地，施工道路应充分利用线路周边现有道路，</w:t>
            </w:r>
            <w:r>
              <w:rPr>
                <w:color w:val="auto"/>
                <w:sz w:val="24"/>
              </w:rPr>
              <w:t>在交通不便区域采用人背马驮方式，本项目施工期不开辟施工便道</w:t>
            </w:r>
            <w:r>
              <w:rPr>
                <w:bCs/>
                <w:color w:val="auto"/>
                <w:sz w:val="24"/>
              </w:rPr>
              <w:t>；</w:t>
            </w:r>
          </w:p>
          <w:p w14:paraId="4512F48B">
            <w:pPr>
              <w:adjustRightInd w:val="0"/>
              <w:snapToGrid w:val="0"/>
              <w:rPr>
                <w:color w:val="auto"/>
                <w:sz w:val="24"/>
              </w:rPr>
            </w:pPr>
            <w:r>
              <w:rPr>
                <w:color w:val="auto"/>
                <w:sz w:val="24"/>
              </w:rPr>
              <w:t>③塔基采取原土回填的方式，除塔基四个角的永久占地外，其余部分在施工结束后采取绿化恢复为原有用地性质；</w:t>
            </w:r>
          </w:p>
          <w:p w14:paraId="36193AAE">
            <w:pPr>
              <w:adjustRightInd w:val="0"/>
              <w:snapToGrid w:val="0"/>
              <w:rPr>
                <w:color w:val="auto"/>
                <w:sz w:val="24"/>
              </w:rPr>
            </w:pPr>
            <w:r>
              <w:rPr>
                <w:color w:val="auto"/>
                <w:sz w:val="24"/>
              </w:rPr>
              <w:t>④</w:t>
            </w:r>
            <w:r>
              <w:rPr>
                <w:bCs/>
                <w:color w:val="auto"/>
                <w:sz w:val="24"/>
              </w:rPr>
              <w:t>将</w:t>
            </w:r>
            <w:r>
              <w:rPr>
                <w:color w:val="auto"/>
                <w:sz w:val="24"/>
              </w:rPr>
              <w:t>拆除下的杆塔及导线等材料临时堆放在周边现有空地内，</w:t>
            </w:r>
            <w:r>
              <w:rPr>
                <w:color w:val="auto"/>
                <w:kern w:val="0"/>
                <w:sz w:val="24"/>
                <w:lang w:bidi="en-US"/>
              </w:rPr>
              <w:t>杆塔拆除后塔基占地需根据周边用地性质进行生态恢复</w:t>
            </w:r>
            <w:r>
              <w:rPr>
                <w:color w:val="auto"/>
                <w:sz w:val="24"/>
              </w:rPr>
              <w:t>；</w:t>
            </w:r>
          </w:p>
          <w:p w14:paraId="0B35426B">
            <w:pPr>
              <w:adjustRightInd w:val="0"/>
              <w:snapToGrid w:val="0"/>
              <w:rPr>
                <w:color w:val="auto"/>
                <w:sz w:val="24"/>
              </w:rPr>
            </w:pPr>
            <w:r>
              <w:rPr>
                <w:color w:val="auto"/>
                <w:sz w:val="24"/>
              </w:rPr>
              <w:t>⑤尽量缩短施工周期，减少疏松地面的裸露时间；考虑天气因素安排施工时间，地质不良地段的路基施工尽量避开雨季；无法避开时，应选择防雨布；对开挖裸露面和填方区可选用编织袋、塑料布进行覆盖，防止雨水冲刷产生水土流失；</w:t>
            </w:r>
          </w:p>
          <w:p w14:paraId="5207741E">
            <w:pPr>
              <w:adjustRightInd w:val="0"/>
              <w:snapToGrid w:val="0"/>
              <w:jc w:val="left"/>
              <w:rPr>
                <w:color w:val="auto"/>
                <w:sz w:val="24"/>
              </w:rPr>
            </w:pPr>
            <w:r>
              <w:rPr>
                <w:color w:val="auto"/>
                <w:sz w:val="24"/>
              </w:rPr>
              <w:t>⑥项目不设施工营地，施工人员租住工程周边民房</w:t>
            </w:r>
            <w:r>
              <w:rPr>
                <w:bCs/>
                <w:color w:val="auto"/>
                <w:sz w:val="24"/>
              </w:rPr>
              <w:t>。</w:t>
            </w:r>
          </w:p>
        </w:tc>
        <w:tc>
          <w:tcPr>
            <w:tcW w:w="2592" w:type="dxa"/>
            <w:vAlign w:val="center"/>
          </w:tcPr>
          <w:p w14:paraId="19346168">
            <w:pPr>
              <w:adjustRightInd w:val="0"/>
              <w:snapToGrid w:val="0"/>
              <w:jc w:val="center"/>
              <w:rPr>
                <w:color w:val="auto"/>
                <w:sz w:val="24"/>
              </w:rPr>
            </w:pPr>
            <w:r>
              <w:rPr>
                <w:color w:val="auto"/>
                <w:sz w:val="24"/>
              </w:rPr>
              <w:t>施工期生态环境保护措施均得到落实，施工结束后塔基周围、临时占地恢复原有用地性质，未对陆生生态产生明显影响。</w:t>
            </w:r>
          </w:p>
        </w:tc>
        <w:tc>
          <w:tcPr>
            <w:tcW w:w="2516" w:type="dxa"/>
            <w:vAlign w:val="center"/>
          </w:tcPr>
          <w:p w14:paraId="3838AC91">
            <w:pPr>
              <w:adjustRightInd w:val="0"/>
              <w:snapToGrid w:val="0"/>
              <w:jc w:val="center"/>
              <w:rPr>
                <w:color w:val="auto"/>
                <w:sz w:val="24"/>
              </w:rPr>
            </w:pPr>
            <w:r>
              <w:rPr>
                <w:color w:val="auto"/>
                <w:sz w:val="24"/>
              </w:rPr>
              <w:t>加强线路沿线巡视及管理，加强对塔基周边绿化的管护。</w:t>
            </w:r>
          </w:p>
        </w:tc>
        <w:tc>
          <w:tcPr>
            <w:tcW w:w="2159" w:type="dxa"/>
            <w:vAlign w:val="center"/>
          </w:tcPr>
          <w:p w14:paraId="21CDD4F4">
            <w:pPr>
              <w:adjustRightInd w:val="0"/>
              <w:snapToGrid w:val="0"/>
              <w:jc w:val="center"/>
              <w:rPr>
                <w:color w:val="auto"/>
                <w:sz w:val="24"/>
              </w:rPr>
            </w:pPr>
            <w:r>
              <w:rPr>
                <w:color w:val="auto"/>
                <w:sz w:val="24"/>
              </w:rPr>
              <w:t>施工期裸露地表需完全恢复，塔基周围、临时占地恢复原有用地性质。</w:t>
            </w:r>
          </w:p>
        </w:tc>
      </w:tr>
      <w:tr w14:paraId="2A49D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1574351B">
            <w:pPr>
              <w:adjustRightInd w:val="0"/>
              <w:snapToGrid w:val="0"/>
              <w:jc w:val="center"/>
              <w:rPr>
                <w:color w:val="auto"/>
                <w:sz w:val="24"/>
              </w:rPr>
            </w:pPr>
            <w:r>
              <w:rPr>
                <w:color w:val="auto"/>
                <w:sz w:val="24"/>
              </w:rPr>
              <w:t>水生生态</w:t>
            </w:r>
          </w:p>
        </w:tc>
        <w:tc>
          <w:tcPr>
            <w:tcW w:w="6038" w:type="dxa"/>
            <w:vAlign w:val="center"/>
          </w:tcPr>
          <w:p w14:paraId="0DBA0B5F">
            <w:pPr>
              <w:adjustRightInd w:val="0"/>
              <w:snapToGrid w:val="0"/>
              <w:jc w:val="center"/>
              <w:rPr>
                <w:color w:val="auto"/>
                <w:sz w:val="24"/>
              </w:rPr>
            </w:pPr>
            <w:r>
              <w:rPr>
                <w:color w:val="auto"/>
                <w:sz w:val="24"/>
              </w:rPr>
              <w:t>无</w:t>
            </w:r>
          </w:p>
        </w:tc>
        <w:tc>
          <w:tcPr>
            <w:tcW w:w="2592" w:type="dxa"/>
            <w:vAlign w:val="center"/>
          </w:tcPr>
          <w:p w14:paraId="34F5C108">
            <w:pPr>
              <w:jc w:val="center"/>
              <w:rPr>
                <w:color w:val="auto"/>
                <w:sz w:val="24"/>
              </w:rPr>
            </w:pPr>
            <w:r>
              <w:rPr>
                <w:color w:val="auto"/>
                <w:sz w:val="24"/>
              </w:rPr>
              <w:t>无</w:t>
            </w:r>
          </w:p>
        </w:tc>
        <w:tc>
          <w:tcPr>
            <w:tcW w:w="2516" w:type="dxa"/>
            <w:vAlign w:val="center"/>
          </w:tcPr>
          <w:p w14:paraId="29DFCDBF">
            <w:pPr>
              <w:adjustRightInd w:val="0"/>
              <w:snapToGrid w:val="0"/>
              <w:jc w:val="center"/>
              <w:rPr>
                <w:color w:val="auto"/>
                <w:sz w:val="24"/>
              </w:rPr>
            </w:pPr>
            <w:r>
              <w:rPr>
                <w:color w:val="auto"/>
                <w:sz w:val="24"/>
              </w:rPr>
              <w:t>无</w:t>
            </w:r>
          </w:p>
        </w:tc>
        <w:tc>
          <w:tcPr>
            <w:tcW w:w="2159" w:type="dxa"/>
            <w:vAlign w:val="center"/>
          </w:tcPr>
          <w:p w14:paraId="3465045B">
            <w:pPr>
              <w:adjustRightInd w:val="0"/>
              <w:snapToGrid w:val="0"/>
              <w:jc w:val="center"/>
              <w:rPr>
                <w:color w:val="auto"/>
                <w:sz w:val="24"/>
              </w:rPr>
            </w:pPr>
            <w:r>
              <w:rPr>
                <w:color w:val="auto"/>
                <w:sz w:val="24"/>
              </w:rPr>
              <w:t>无</w:t>
            </w:r>
          </w:p>
        </w:tc>
      </w:tr>
      <w:tr w14:paraId="3F1BE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07260595">
            <w:pPr>
              <w:adjustRightInd w:val="0"/>
              <w:snapToGrid w:val="0"/>
              <w:jc w:val="center"/>
              <w:rPr>
                <w:color w:val="auto"/>
                <w:sz w:val="24"/>
              </w:rPr>
            </w:pPr>
            <w:r>
              <w:rPr>
                <w:color w:val="auto"/>
                <w:sz w:val="24"/>
              </w:rPr>
              <w:t>地表水环境</w:t>
            </w:r>
          </w:p>
        </w:tc>
        <w:tc>
          <w:tcPr>
            <w:tcW w:w="6038" w:type="dxa"/>
            <w:vAlign w:val="center"/>
          </w:tcPr>
          <w:p w14:paraId="2A163B4C">
            <w:pPr>
              <w:adjustRightInd w:val="0"/>
              <w:snapToGrid w:val="0"/>
              <w:rPr>
                <w:b/>
                <w:color w:val="auto"/>
                <w:sz w:val="24"/>
              </w:rPr>
            </w:pPr>
            <w:r>
              <w:rPr>
                <w:b/>
                <w:color w:val="auto"/>
                <w:sz w:val="24"/>
              </w:rPr>
              <w:t>设计阶段：</w:t>
            </w:r>
          </w:p>
          <w:p w14:paraId="01AC291F">
            <w:pPr>
              <w:adjustRightInd w:val="0"/>
              <w:snapToGrid w:val="0"/>
              <w:rPr>
                <w:color w:val="auto"/>
                <w:sz w:val="24"/>
              </w:rPr>
            </w:pPr>
            <w:r>
              <w:rPr>
                <w:color w:val="auto"/>
                <w:sz w:val="24"/>
              </w:rPr>
              <w:t>①</w:t>
            </w:r>
            <w:r>
              <w:rPr>
                <w:color w:val="auto"/>
                <w:kern w:val="0"/>
                <w:sz w:val="24"/>
                <w:lang w:bidi="en-US"/>
              </w:rPr>
              <w:t>线路塔基施工所用河沙、石子、水泥等施工材料均外购，所采用的砂石料清洗均由供货方清洗完毕后再运输至塔基附近，现场不进行砂石料清洗。</w:t>
            </w:r>
          </w:p>
          <w:p w14:paraId="138C06DB">
            <w:pPr>
              <w:adjustRightInd w:val="0"/>
              <w:snapToGrid w:val="0"/>
              <w:rPr>
                <w:b/>
                <w:color w:val="auto"/>
                <w:sz w:val="24"/>
              </w:rPr>
            </w:pPr>
            <w:r>
              <w:rPr>
                <w:b/>
                <w:color w:val="auto"/>
                <w:sz w:val="24"/>
              </w:rPr>
              <w:t>施工期：</w:t>
            </w:r>
          </w:p>
          <w:p w14:paraId="06A686BF">
            <w:pPr>
              <w:adjustRightInd w:val="0"/>
              <w:snapToGrid w:val="0"/>
              <w:rPr>
                <w:color w:val="auto"/>
                <w:sz w:val="24"/>
              </w:rPr>
            </w:pPr>
            <w:r>
              <w:rPr>
                <w:color w:val="auto"/>
                <w:sz w:val="24"/>
              </w:rPr>
              <w:t>①施工人员就近租用周边民房，产生的生活污水纳入当地生活污水处理系统；</w:t>
            </w:r>
          </w:p>
          <w:p w14:paraId="7AF9E5F2">
            <w:pPr>
              <w:adjustRightInd w:val="0"/>
              <w:snapToGrid w:val="0"/>
              <w:rPr>
                <w:color w:val="auto"/>
                <w:sz w:val="24"/>
              </w:rPr>
            </w:pPr>
            <w:r>
              <w:rPr>
                <w:color w:val="auto"/>
                <w:sz w:val="24"/>
              </w:rPr>
              <w:t>②项目施工期间废水主要来自于工程施工期间混凝土养护需要少量洒水，经自然蒸发，不对外排放。</w:t>
            </w:r>
          </w:p>
          <w:p w14:paraId="5F83E330">
            <w:pPr>
              <w:adjustRightInd w:val="0"/>
              <w:snapToGrid w:val="0"/>
              <w:jc w:val="left"/>
              <w:rPr>
                <w:color w:val="auto"/>
                <w:sz w:val="24"/>
              </w:rPr>
            </w:pPr>
            <w:r>
              <w:rPr>
                <w:color w:val="auto"/>
                <w:sz w:val="24"/>
              </w:rPr>
              <w:t>③施工期禁止向水体排放、倾倒垃圾、弃土、弃渣等废弃物。</w:t>
            </w:r>
          </w:p>
        </w:tc>
        <w:tc>
          <w:tcPr>
            <w:tcW w:w="2592" w:type="dxa"/>
            <w:vAlign w:val="center"/>
          </w:tcPr>
          <w:p w14:paraId="10C2A67C">
            <w:pPr>
              <w:adjustRightInd w:val="0"/>
              <w:snapToGrid w:val="0"/>
              <w:jc w:val="center"/>
              <w:rPr>
                <w:color w:val="auto"/>
                <w:sz w:val="24"/>
              </w:rPr>
            </w:pPr>
            <w:r>
              <w:rPr>
                <w:color w:val="auto"/>
                <w:sz w:val="24"/>
              </w:rPr>
              <w:t>施工期水环境保护措施均得到落实，施工期未对周边水体造成影响</w:t>
            </w:r>
          </w:p>
        </w:tc>
        <w:tc>
          <w:tcPr>
            <w:tcW w:w="2516" w:type="dxa"/>
            <w:vAlign w:val="center"/>
          </w:tcPr>
          <w:p w14:paraId="3CFB66F2">
            <w:pPr>
              <w:jc w:val="center"/>
              <w:rPr>
                <w:color w:val="auto"/>
                <w:sz w:val="24"/>
              </w:rPr>
            </w:pPr>
            <w:r>
              <w:rPr>
                <w:color w:val="auto"/>
                <w:sz w:val="24"/>
              </w:rPr>
              <w:t>无</w:t>
            </w:r>
          </w:p>
        </w:tc>
        <w:tc>
          <w:tcPr>
            <w:tcW w:w="2159" w:type="dxa"/>
            <w:vAlign w:val="center"/>
          </w:tcPr>
          <w:p w14:paraId="5001862E">
            <w:pPr>
              <w:adjustRightInd w:val="0"/>
              <w:snapToGrid w:val="0"/>
              <w:jc w:val="center"/>
              <w:rPr>
                <w:color w:val="auto"/>
                <w:sz w:val="24"/>
              </w:rPr>
            </w:pPr>
            <w:r>
              <w:rPr>
                <w:color w:val="auto"/>
                <w:sz w:val="24"/>
              </w:rPr>
              <w:t>无</w:t>
            </w:r>
          </w:p>
        </w:tc>
      </w:tr>
      <w:tr w14:paraId="1CE83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727D6CD2">
            <w:pPr>
              <w:adjustRightInd w:val="0"/>
              <w:snapToGrid w:val="0"/>
              <w:jc w:val="center"/>
              <w:rPr>
                <w:color w:val="auto"/>
                <w:sz w:val="24"/>
              </w:rPr>
            </w:pPr>
            <w:r>
              <w:rPr>
                <w:color w:val="auto"/>
                <w:sz w:val="24"/>
              </w:rPr>
              <w:t>地下水及土壤环境</w:t>
            </w:r>
          </w:p>
        </w:tc>
        <w:tc>
          <w:tcPr>
            <w:tcW w:w="6038" w:type="dxa"/>
            <w:vAlign w:val="center"/>
          </w:tcPr>
          <w:p w14:paraId="3782413F">
            <w:pPr>
              <w:adjustRightInd w:val="0"/>
              <w:snapToGrid w:val="0"/>
              <w:jc w:val="left"/>
              <w:rPr>
                <w:color w:val="auto"/>
                <w:sz w:val="24"/>
              </w:rPr>
            </w:pPr>
            <w:r>
              <w:rPr>
                <w:color w:val="auto"/>
                <w:sz w:val="24"/>
              </w:rPr>
              <w:t>无</w:t>
            </w:r>
          </w:p>
        </w:tc>
        <w:tc>
          <w:tcPr>
            <w:tcW w:w="2592" w:type="dxa"/>
            <w:vAlign w:val="center"/>
          </w:tcPr>
          <w:p w14:paraId="06E89B85">
            <w:pPr>
              <w:adjustRightInd w:val="0"/>
              <w:snapToGrid w:val="0"/>
              <w:jc w:val="center"/>
              <w:rPr>
                <w:color w:val="auto"/>
                <w:sz w:val="24"/>
              </w:rPr>
            </w:pPr>
            <w:r>
              <w:rPr>
                <w:color w:val="auto"/>
                <w:sz w:val="24"/>
              </w:rPr>
              <w:t>无</w:t>
            </w:r>
          </w:p>
        </w:tc>
        <w:tc>
          <w:tcPr>
            <w:tcW w:w="2516" w:type="dxa"/>
            <w:vAlign w:val="center"/>
          </w:tcPr>
          <w:p w14:paraId="37719C82">
            <w:pPr>
              <w:adjustRightInd w:val="0"/>
              <w:snapToGrid w:val="0"/>
              <w:jc w:val="center"/>
              <w:rPr>
                <w:color w:val="auto"/>
                <w:sz w:val="24"/>
              </w:rPr>
            </w:pPr>
            <w:r>
              <w:rPr>
                <w:color w:val="auto"/>
                <w:sz w:val="24"/>
              </w:rPr>
              <w:t>无</w:t>
            </w:r>
          </w:p>
        </w:tc>
        <w:tc>
          <w:tcPr>
            <w:tcW w:w="2159" w:type="dxa"/>
            <w:vAlign w:val="center"/>
          </w:tcPr>
          <w:p w14:paraId="5EAC0752">
            <w:pPr>
              <w:adjustRightInd w:val="0"/>
              <w:snapToGrid w:val="0"/>
              <w:jc w:val="center"/>
              <w:rPr>
                <w:color w:val="auto"/>
                <w:sz w:val="24"/>
              </w:rPr>
            </w:pPr>
            <w:r>
              <w:rPr>
                <w:color w:val="auto"/>
                <w:sz w:val="24"/>
              </w:rPr>
              <w:t>无</w:t>
            </w:r>
          </w:p>
        </w:tc>
      </w:tr>
      <w:tr w14:paraId="369CB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4EF0033C">
            <w:pPr>
              <w:adjustRightInd w:val="0"/>
              <w:snapToGrid w:val="0"/>
              <w:jc w:val="center"/>
              <w:rPr>
                <w:color w:val="auto"/>
                <w:sz w:val="24"/>
              </w:rPr>
            </w:pPr>
            <w:r>
              <w:rPr>
                <w:color w:val="auto"/>
                <w:sz w:val="24"/>
              </w:rPr>
              <w:t>声环境</w:t>
            </w:r>
          </w:p>
        </w:tc>
        <w:tc>
          <w:tcPr>
            <w:tcW w:w="6038" w:type="dxa"/>
            <w:vAlign w:val="center"/>
          </w:tcPr>
          <w:p w14:paraId="3C9631F8">
            <w:pPr>
              <w:autoSpaceDN w:val="0"/>
              <w:adjustRightInd w:val="0"/>
              <w:snapToGrid w:val="0"/>
              <w:rPr>
                <w:b/>
                <w:color w:val="auto"/>
                <w:sz w:val="24"/>
              </w:rPr>
            </w:pPr>
            <w:r>
              <w:rPr>
                <w:b/>
                <w:color w:val="auto"/>
                <w:sz w:val="24"/>
              </w:rPr>
              <w:t>设计阶段</w:t>
            </w:r>
          </w:p>
          <w:p w14:paraId="13332BDE">
            <w:pPr>
              <w:autoSpaceDN w:val="0"/>
              <w:adjustRightInd w:val="0"/>
              <w:snapToGrid w:val="0"/>
              <w:rPr>
                <w:color w:val="auto"/>
                <w:sz w:val="24"/>
              </w:rPr>
            </w:pPr>
            <w:r>
              <w:rPr>
                <w:color w:val="auto"/>
                <w:sz w:val="24"/>
              </w:rPr>
              <w:t>①施工期适当抬高导线对地高度。</w:t>
            </w:r>
          </w:p>
          <w:p w14:paraId="3247B8EE">
            <w:pPr>
              <w:autoSpaceDN w:val="0"/>
              <w:adjustRightInd w:val="0"/>
              <w:snapToGrid w:val="0"/>
              <w:rPr>
                <w:color w:val="auto"/>
                <w:sz w:val="24"/>
              </w:rPr>
            </w:pPr>
            <w:r>
              <w:rPr>
                <w:b/>
                <w:color w:val="auto"/>
                <w:sz w:val="24"/>
              </w:rPr>
              <w:t>施工期</w:t>
            </w:r>
          </w:p>
          <w:p w14:paraId="167F0F85">
            <w:pPr>
              <w:autoSpaceDN w:val="0"/>
              <w:adjustRightInd w:val="0"/>
              <w:snapToGrid w:val="0"/>
              <w:rPr>
                <w:color w:val="auto"/>
                <w:sz w:val="24"/>
              </w:rPr>
            </w:pPr>
            <w:r>
              <w:rPr>
                <w:color w:val="auto"/>
                <w:sz w:val="24"/>
              </w:rPr>
              <w:t>①杆塔基础开挖过程中，优选低噪声施工作业方式，严禁进行爆破作业；</w:t>
            </w:r>
          </w:p>
          <w:p w14:paraId="4FE23CC7">
            <w:pPr>
              <w:adjustRightInd w:val="0"/>
              <w:snapToGrid w:val="0"/>
              <w:jc w:val="left"/>
              <w:rPr>
                <w:color w:val="auto"/>
                <w:sz w:val="24"/>
              </w:rPr>
            </w:pPr>
            <w:r>
              <w:rPr>
                <w:color w:val="auto"/>
                <w:sz w:val="24"/>
              </w:rPr>
              <w:t>②在拆除杆塔过程中，优先低噪声拆除设备，文明施工，尽量减少拆除施工过程中的金属摩擦。</w:t>
            </w:r>
          </w:p>
        </w:tc>
        <w:tc>
          <w:tcPr>
            <w:tcW w:w="2592" w:type="dxa"/>
            <w:vAlign w:val="center"/>
          </w:tcPr>
          <w:p w14:paraId="6D58F671">
            <w:pPr>
              <w:adjustRightInd w:val="0"/>
              <w:snapToGrid w:val="0"/>
              <w:jc w:val="center"/>
              <w:rPr>
                <w:color w:val="auto"/>
                <w:sz w:val="24"/>
              </w:rPr>
            </w:pPr>
            <w:r>
              <w:rPr>
                <w:color w:val="auto"/>
                <w:sz w:val="24"/>
              </w:rPr>
              <w:t>施工期声环境保护措施均得到落实。</w:t>
            </w:r>
          </w:p>
        </w:tc>
        <w:tc>
          <w:tcPr>
            <w:tcW w:w="2516" w:type="dxa"/>
            <w:vAlign w:val="center"/>
          </w:tcPr>
          <w:p w14:paraId="7EE5FC6D">
            <w:pPr>
              <w:jc w:val="center"/>
              <w:rPr>
                <w:color w:val="auto"/>
                <w:sz w:val="24"/>
              </w:rPr>
            </w:pPr>
            <w:r>
              <w:rPr>
                <w:color w:val="auto"/>
                <w:sz w:val="24"/>
              </w:rPr>
              <w:t>无</w:t>
            </w:r>
          </w:p>
        </w:tc>
        <w:tc>
          <w:tcPr>
            <w:tcW w:w="2159" w:type="dxa"/>
            <w:vAlign w:val="center"/>
          </w:tcPr>
          <w:p w14:paraId="4040ABA1">
            <w:pPr>
              <w:adjustRightInd w:val="0"/>
              <w:snapToGrid w:val="0"/>
              <w:jc w:val="center"/>
              <w:rPr>
                <w:color w:val="auto"/>
                <w:sz w:val="24"/>
              </w:rPr>
            </w:pPr>
            <w:r>
              <w:rPr>
                <w:color w:val="auto"/>
                <w:sz w:val="24"/>
              </w:rPr>
              <w:t>无</w:t>
            </w:r>
          </w:p>
        </w:tc>
      </w:tr>
      <w:tr w14:paraId="78BEF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11309F7F">
            <w:pPr>
              <w:adjustRightInd w:val="0"/>
              <w:snapToGrid w:val="0"/>
              <w:jc w:val="center"/>
              <w:rPr>
                <w:color w:val="auto"/>
                <w:sz w:val="24"/>
              </w:rPr>
            </w:pPr>
            <w:r>
              <w:rPr>
                <w:color w:val="auto"/>
                <w:sz w:val="24"/>
              </w:rPr>
              <w:t>振动</w:t>
            </w:r>
          </w:p>
        </w:tc>
        <w:tc>
          <w:tcPr>
            <w:tcW w:w="6038" w:type="dxa"/>
            <w:vAlign w:val="center"/>
          </w:tcPr>
          <w:p w14:paraId="6146A105">
            <w:pPr>
              <w:adjustRightInd w:val="0"/>
              <w:snapToGrid w:val="0"/>
              <w:jc w:val="left"/>
              <w:rPr>
                <w:color w:val="auto"/>
                <w:sz w:val="24"/>
              </w:rPr>
            </w:pPr>
            <w:r>
              <w:rPr>
                <w:color w:val="auto"/>
                <w:sz w:val="24"/>
              </w:rPr>
              <w:t>无</w:t>
            </w:r>
          </w:p>
        </w:tc>
        <w:tc>
          <w:tcPr>
            <w:tcW w:w="2592" w:type="dxa"/>
            <w:vAlign w:val="center"/>
          </w:tcPr>
          <w:p w14:paraId="1B20BD97">
            <w:pPr>
              <w:adjustRightInd w:val="0"/>
              <w:snapToGrid w:val="0"/>
              <w:jc w:val="center"/>
              <w:rPr>
                <w:color w:val="auto"/>
                <w:sz w:val="24"/>
              </w:rPr>
            </w:pPr>
            <w:r>
              <w:rPr>
                <w:color w:val="auto"/>
                <w:sz w:val="24"/>
              </w:rPr>
              <w:t>无</w:t>
            </w:r>
          </w:p>
        </w:tc>
        <w:tc>
          <w:tcPr>
            <w:tcW w:w="2516" w:type="dxa"/>
            <w:vAlign w:val="center"/>
          </w:tcPr>
          <w:p w14:paraId="4E275A26">
            <w:pPr>
              <w:adjustRightInd w:val="0"/>
              <w:snapToGrid w:val="0"/>
              <w:jc w:val="center"/>
              <w:rPr>
                <w:color w:val="auto"/>
                <w:sz w:val="24"/>
              </w:rPr>
            </w:pPr>
            <w:r>
              <w:rPr>
                <w:color w:val="auto"/>
                <w:sz w:val="24"/>
              </w:rPr>
              <w:t>无</w:t>
            </w:r>
          </w:p>
        </w:tc>
        <w:tc>
          <w:tcPr>
            <w:tcW w:w="2159" w:type="dxa"/>
            <w:vAlign w:val="center"/>
          </w:tcPr>
          <w:p w14:paraId="65F91259">
            <w:pPr>
              <w:adjustRightInd w:val="0"/>
              <w:snapToGrid w:val="0"/>
              <w:jc w:val="center"/>
              <w:rPr>
                <w:color w:val="auto"/>
                <w:sz w:val="24"/>
              </w:rPr>
            </w:pPr>
            <w:r>
              <w:rPr>
                <w:color w:val="auto"/>
                <w:sz w:val="24"/>
              </w:rPr>
              <w:t>无</w:t>
            </w:r>
          </w:p>
        </w:tc>
      </w:tr>
      <w:tr w14:paraId="399DD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06891CBB">
            <w:pPr>
              <w:adjustRightInd w:val="0"/>
              <w:snapToGrid w:val="0"/>
              <w:jc w:val="center"/>
              <w:rPr>
                <w:color w:val="auto"/>
                <w:sz w:val="24"/>
              </w:rPr>
            </w:pPr>
            <w:r>
              <w:rPr>
                <w:color w:val="auto"/>
                <w:sz w:val="24"/>
              </w:rPr>
              <w:t>大气环境</w:t>
            </w:r>
          </w:p>
        </w:tc>
        <w:tc>
          <w:tcPr>
            <w:tcW w:w="6038" w:type="dxa"/>
            <w:vAlign w:val="center"/>
          </w:tcPr>
          <w:p w14:paraId="6C3A86BC">
            <w:pPr>
              <w:adjustRightInd w:val="0"/>
              <w:snapToGrid w:val="0"/>
              <w:rPr>
                <w:b/>
                <w:color w:val="auto"/>
                <w:spacing w:val="10"/>
                <w:sz w:val="24"/>
              </w:rPr>
            </w:pPr>
            <w:r>
              <w:rPr>
                <w:b/>
                <w:color w:val="auto"/>
                <w:spacing w:val="10"/>
                <w:sz w:val="24"/>
              </w:rPr>
              <w:t>设计阶段：</w:t>
            </w:r>
          </w:p>
          <w:p w14:paraId="3D1D52F6">
            <w:pPr>
              <w:adjustRightInd w:val="0"/>
              <w:snapToGrid w:val="0"/>
              <w:rPr>
                <w:bCs/>
                <w:color w:val="auto"/>
                <w:spacing w:val="10"/>
                <w:sz w:val="24"/>
              </w:rPr>
            </w:pPr>
            <w:r>
              <w:rPr>
                <w:bCs/>
                <w:color w:val="auto"/>
                <w:spacing w:val="10"/>
                <w:sz w:val="24"/>
              </w:rPr>
              <w:t>①塔基基础均采用人工挖孔桩基础和高低腿设计，尽可能减少土石方开挖量和工程占地；</w:t>
            </w:r>
          </w:p>
          <w:p w14:paraId="1073792D">
            <w:pPr>
              <w:adjustRightInd w:val="0"/>
              <w:snapToGrid w:val="0"/>
              <w:rPr>
                <w:color w:val="auto"/>
                <w:sz w:val="24"/>
              </w:rPr>
            </w:pPr>
            <w:r>
              <w:rPr>
                <w:bCs/>
                <w:color w:val="auto"/>
                <w:spacing w:val="10"/>
                <w:sz w:val="24"/>
              </w:rPr>
              <w:t>②针对施工任务和施工场地环境状况，制定合理的施工计划，缩短施工周期，减少施工现场的作业面，减轻施工扬尘对环境的影响。</w:t>
            </w:r>
          </w:p>
          <w:p w14:paraId="34149D3E">
            <w:pPr>
              <w:adjustRightInd w:val="0"/>
              <w:snapToGrid w:val="0"/>
              <w:rPr>
                <w:b/>
                <w:color w:val="auto"/>
                <w:sz w:val="24"/>
              </w:rPr>
            </w:pPr>
            <w:r>
              <w:rPr>
                <w:b/>
                <w:color w:val="auto"/>
                <w:sz w:val="24"/>
              </w:rPr>
              <w:t>施工期：</w:t>
            </w:r>
          </w:p>
          <w:p w14:paraId="07288BD7">
            <w:pPr>
              <w:pStyle w:val="54"/>
              <w:snapToGrid w:val="0"/>
              <w:spacing w:line="240" w:lineRule="auto"/>
              <w:jc w:val="left"/>
              <w:textAlignment w:val="auto"/>
              <w:rPr>
                <w:rFonts w:eastAsia="宋体"/>
                <w:color w:val="auto"/>
                <w:sz w:val="24"/>
                <w:szCs w:val="24"/>
              </w:rPr>
            </w:pPr>
            <w:r>
              <w:rPr>
                <w:rFonts w:eastAsia="宋体"/>
                <w:color w:val="auto"/>
                <w:sz w:val="24"/>
                <w:szCs w:val="24"/>
              </w:rPr>
              <w:t>①工程施工场地设置帆布围栏；</w:t>
            </w:r>
          </w:p>
          <w:p w14:paraId="26728C27">
            <w:pPr>
              <w:pStyle w:val="54"/>
              <w:snapToGrid w:val="0"/>
              <w:spacing w:line="240" w:lineRule="auto"/>
              <w:jc w:val="left"/>
              <w:textAlignment w:val="auto"/>
              <w:rPr>
                <w:rFonts w:eastAsia="宋体"/>
                <w:color w:val="auto"/>
                <w:sz w:val="24"/>
                <w:szCs w:val="24"/>
              </w:rPr>
            </w:pPr>
            <w:r>
              <w:rPr>
                <w:rFonts w:eastAsia="宋体"/>
                <w:color w:val="auto"/>
                <w:sz w:val="24"/>
                <w:szCs w:val="24"/>
              </w:rPr>
              <w:t>②对施工料场和临时开挖土石方进行遮盖；</w:t>
            </w:r>
          </w:p>
          <w:p w14:paraId="2B6E982A">
            <w:pPr>
              <w:pStyle w:val="54"/>
              <w:snapToGrid w:val="0"/>
              <w:spacing w:line="240" w:lineRule="auto"/>
              <w:jc w:val="left"/>
              <w:textAlignment w:val="auto"/>
              <w:rPr>
                <w:rFonts w:eastAsia="宋体"/>
                <w:color w:val="auto"/>
                <w:sz w:val="24"/>
                <w:szCs w:val="24"/>
              </w:rPr>
            </w:pPr>
            <w:r>
              <w:rPr>
                <w:rFonts w:eastAsia="宋体"/>
                <w:color w:val="auto"/>
                <w:sz w:val="24"/>
                <w:szCs w:val="24"/>
              </w:rPr>
              <w:t>③加强运输车辆的管理，运输粉质材料需采取遮盖措施；</w:t>
            </w:r>
          </w:p>
          <w:p w14:paraId="2D63BDA4">
            <w:pPr>
              <w:adjustRightInd w:val="0"/>
              <w:snapToGrid w:val="0"/>
              <w:jc w:val="left"/>
              <w:rPr>
                <w:color w:val="auto"/>
                <w:sz w:val="24"/>
              </w:rPr>
            </w:pPr>
            <w:r>
              <w:rPr>
                <w:color w:val="auto"/>
                <w:sz w:val="24"/>
              </w:rPr>
              <w:t>④保持对干燥作业面进行洒水处理。</w:t>
            </w:r>
          </w:p>
        </w:tc>
        <w:tc>
          <w:tcPr>
            <w:tcW w:w="2592" w:type="dxa"/>
            <w:vAlign w:val="center"/>
          </w:tcPr>
          <w:p w14:paraId="1F1CFAB5">
            <w:pPr>
              <w:pStyle w:val="10"/>
              <w:rPr>
                <w:rFonts w:ascii="Times New Roman" w:hAnsi="Times New Roman" w:cs="Times New Roman"/>
                <w:color w:val="auto"/>
                <w:sz w:val="24"/>
                <w:szCs w:val="24"/>
              </w:rPr>
            </w:pPr>
            <w:r>
              <w:rPr>
                <w:rFonts w:ascii="Times New Roman" w:hAnsi="Times New Roman" w:cs="Times New Roman"/>
                <w:color w:val="auto"/>
                <w:sz w:val="24"/>
                <w:szCs w:val="24"/>
              </w:rPr>
              <w:t>施工期大气环境保护措施均得到落实，施工扬尘得到有效控制。</w:t>
            </w:r>
          </w:p>
        </w:tc>
        <w:tc>
          <w:tcPr>
            <w:tcW w:w="2516" w:type="dxa"/>
            <w:vAlign w:val="center"/>
          </w:tcPr>
          <w:p w14:paraId="47CADAA4">
            <w:pPr>
              <w:adjustRightInd w:val="0"/>
              <w:snapToGrid w:val="0"/>
              <w:jc w:val="center"/>
              <w:rPr>
                <w:color w:val="auto"/>
                <w:sz w:val="24"/>
              </w:rPr>
            </w:pPr>
            <w:r>
              <w:rPr>
                <w:color w:val="auto"/>
                <w:sz w:val="24"/>
              </w:rPr>
              <w:t>无</w:t>
            </w:r>
          </w:p>
        </w:tc>
        <w:tc>
          <w:tcPr>
            <w:tcW w:w="2159" w:type="dxa"/>
            <w:vAlign w:val="center"/>
          </w:tcPr>
          <w:p w14:paraId="5066B7C7">
            <w:pPr>
              <w:adjustRightInd w:val="0"/>
              <w:snapToGrid w:val="0"/>
              <w:jc w:val="center"/>
              <w:rPr>
                <w:color w:val="auto"/>
                <w:sz w:val="24"/>
              </w:rPr>
            </w:pPr>
            <w:r>
              <w:rPr>
                <w:color w:val="auto"/>
                <w:sz w:val="24"/>
              </w:rPr>
              <w:t>无</w:t>
            </w:r>
          </w:p>
        </w:tc>
      </w:tr>
      <w:tr w14:paraId="7DD51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51AB70E6">
            <w:pPr>
              <w:adjustRightInd w:val="0"/>
              <w:snapToGrid w:val="0"/>
              <w:jc w:val="center"/>
              <w:rPr>
                <w:color w:val="auto"/>
                <w:sz w:val="24"/>
              </w:rPr>
            </w:pPr>
            <w:r>
              <w:rPr>
                <w:color w:val="auto"/>
                <w:sz w:val="24"/>
              </w:rPr>
              <w:t>固体废物</w:t>
            </w:r>
          </w:p>
        </w:tc>
        <w:tc>
          <w:tcPr>
            <w:tcW w:w="6038" w:type="dxa"/>
            <w:vAlign w:val="center"/>
          </w:tcPr>
          <w:p w14:paraId="1A003E09">
            <w:pPr>
              <w:adjustRightInd w:val="0"/>
              <w:snapToGrid w:val="0"/>
              <w:rPr>
                <w:b/>
                <w:color w:val="auto"/>
                <w:spacing w:val="10"/>
                <w:sz w:val="24"/>
              </w:rPr>
            </w:pPr>
            <w:r>
              <w:rPr>
                <w:b/>
                <w:color w:val="auto"/>
                <w:spacing w:val="10"/>
                <w:sz w:val="24"/>
              </w:rPr>
              <w:t>设计阶段：</w:t>
            </w:r>
          </w:p>
          <w:p w14:paraId="64A51825">
            <w:pPr>
              <w:adjustRightInd w:val="0"/>
              <w:snapToGrid w:val="0"/>
              <w:rPr>
                <w:bCs/>
                <w:color w:val="auto"/>
                <w:spacing w:val="10"/>
                <w:sz w:val="24"/>
              </w:rPr>
            </w:pPr>
            <w:r>
              <w:rPr>
                <w:bCs/>
                <w:color w:val="auto"/>
                <w:spacing w:val="10"/>
                <w:sz w:val="24"/>
              </w:rPr>
              <w:t>塔基基础施工尽可能做到土石方平衡，同时减少塔基基础开挖。</w:t>
            </w:r>
          </w:p>
          <w:p w14:paraId="0F30D7BA">
            <w:pPr>
              <w:adjustRightInd w:val="0"/>
              <w:snapToGrid w:val="0"/>
              <w:rPr>
                <w:b/>
                <w:color w:val="auto"/>
                <w:sz w:val="24"/>
              </w:rPr>
            </w:pPr>
            <w:r>
              <w:rPr>
                <w:b/>
                <w:color w:val="auto"/>
                <w:sz w:val="24"/>
              </w:rPr>
              <w:t>施工期：</w:t>
            </w:r>
          </w:p>
          <w:p w14:paraId="040D8054">
            <w:pPr>
              <w:adjustRightInd w:val="0"/>
              <w:snapToGrid w:val="0"/>
              <w:rPr>
                <w:color w:val="auto"/>
                <w:sz w:val="24"/>
              </w:rPr>
            </w:pPr>
            <w:r>
              <w:rPr>
                <w:color w:val="auto"/>
                <w:sz w:val="24"/>
              </w:rPr>
              <w:t>①施工人员生活垃圾经收集后交由环卫部门定期清运；</w:t>
            </w:r>
          </w:p>
          <w:p w14:paraId="364F4944">
            <w:pPr>
              <w:adjustRightInd w:val="0"/>
              <w:snapToGrid w:val="0"/>
              <w:rPr>
                <w:color w:val="auto"/>
                <w:sz w:val="24"/>
              </w:rPr>
            </w:pPr>
            <w:r>
              <w:rPr>
                <w:color w:val="auto"/>
                <w:sz w:val="24"/>
              </w:rPr>
              <w:t>②线路</w:t>
            </w:r>
            <w:r>
              <w:rPr>
                <w:rFonts w:hint="eastAsia"/>
                <w:color w:val="auto"/>
                <w:sz w:val="24"/>
              </w:rPr>
              <w:t>回用方</w:t>
            </w:r>
            <w:r>
              <w:rPr>
                <w:color w:val="auto"/>
                <w:sz w:val="24"/>
              </w:rPr>
              <w:t>拟堆放回填在塔基周围低洼处，工程沿线不设弃渣场；</w:t>
            </w:r>
          </w:p>
          <w:p w14:paraId="194D5A70">
            <w:pPr>
              <w:adjustRightInd w:val="0"/>
              <w:snapToGrid w:val="0"/>
              <w:rPr>
                <w:color w:val="auto"/>
                <w:sz w:val="24"/>
              </w:rPr>
            </w:pPr>
            <w:r>
              <w:rPr>
                <w:color w:val="auto"/>
                <w:sz w:val="24"/>
              </w:rPr>
              <w:t>③工程临时开挖土石方临时堆砌时应尽量选择周边空地，工程结束后及时进行回填并压实；</w:t>
            </w:r>
          </w:p>
          <w:p w14:paraId="2B3D8B11">
            <w:pPr>
              <w:adjustRightInd w:val="0"/>
              <w:snapToGrid w:val="0"/>
              <w:jc w:val="left"/>
              <w:rPr>
                <w:color w:val="auto"/>
                <w:sz w:val="24"/>
              </w:rPr>
            </w:pPr>
            <w:r>
              <w:rPr>
                <w:color w:val="auto"/>
                <w:sz w:val="24"/>
              </w:rPr>
              <w:t>④工程拆除的5基角钢塔、导线、金具等交由电力物资部门回收，拆除的3基水泥杆需交由有运输资质单位清运至政府指定渣场，不随意倾倒。</w:t>
            </w:r>
          </w:p>
        </w:tc>
        <w:tc>
          <w:tcPr>
            <w:tcW w:w="2592" w:type="dxa"/>
            <w:vAlign w:val="center"/>
          </w:tcPr>
          <w:p w14:paraId="4EB836D7">
            <w:pPr>
              <w:adjustRightInd w:val="0"/>
              <w:snapToGrid w:val="0"/>
              <w:jc w:val="center"/>
              <w:rPr>
                <w:color w:val="auto"/>
                <w:sz w:val="24"/>
              </w:rPr>
            </w:pPr>
            <w:r>
              <w:rPr>
                <w:color w:val="auto"/>
                <w:sz w:val="24"/>
              </w:rPr>
              <w:t>施工期固体废物环境保护措施均得到落实。</w:t>
            </w:r>
          </w:p>
        </w:tc>
        <w:tc>
          <w:tcPr>
            <w:tcW w:w="2516" w:type="dxa"/>
            <w:vAlign w:val="center"/>
          </w:tcPr>
          <w:p w14:paraId="3A1E5F4D">
            <w:pPr>
              <w:adjustRightInd w:val="0"/>
              <w:snapToGrid w:val="0"/>
              <w:jc w:val="center"/>
              <w:rPr>
                <w:color w:val="auto"/>
                <w:sz w:val="24"/>
              </w:rPr>
            </w:pPr>
            <w:r>
              <w:rPr>
                <w:color w:val="auto"/>
                <w:sz w:val="24"/>
              </w:rPr>
              <w:t>无</w:t>
            </w:r>
          </w:p>
        </w:tc>
        <w:tc>
          <w:tcPr>
            <w:tcW w:w="2159" w:type="dxa"/>
            <w:vAlign w:val="center"/>
          </w:tcPr>
          <w:p w14:paraId="20257E92">
            <w:pPr>
              <w:adjustRightInd w:val="0"/>
              <w:snapToGrid w:val="0"/>
              <w:jc w:val="center"/>
              <w:rPr>
                <w:color w:val="auto"/>
                <w:sz w:val="24"/>
              </w:rPr>
            </w:pPr>
            <w:r>
              <w:rPr>
                <w:color w:val="auto"/>
                <w:sz w:val="24"/>
              </w:rPr>
              <w:t>无</w:t>
            </w:r>
          </w:p>
        </w:tc>
      </w:tr>
      <w:tr w14:paraId="50A69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3F780044">
            <w:pPr>
              <w:adjustRightInd w:val="0"/>
              <w:snapToGrid w:val="0"/>
              <w:jc w:val="center"/>
              <w:rPr>
                <w:color w:val="auto"/>
                <w:sz w:val="24"/>
              </w:rPr>
            </w:pPr>
            <w:r>
              <w:rPr>
                <w:color w:val="auto"/>
                <w:sz w:val="24"/>
              </w:rPr>
              <w:t>电磁环境</w:t>
            </w:r>
          </w:p>
        </w:tc>
        <w:tc>
          <w:tcPr>
            <w:tcW w:w="6038" w:type="dxa"/>
            <w:vAlign w:val="center"/>
          </w:tcPr>
          <w:p w14:paraId="4CA43A5C">
            <w:pPr>
              <w:adjustRightInd w:val="0"/>
              <w:snapToGrid w:val="0"/>
              <w:rPr>
                <w:b/>
                <w:color w:val="auto"/>
                <w:spacing w:val="10"/>
                <w:sz w:val="24"/>
              </w:rPr>
            </w:pPr>
            <w:r>
              <w:rPr>
                <w:b/>
                <w:color w:val="auto"/>
                <w:spacing w:val="10"/>
                <w:sz w:val="24"/>
              </w:rPr>
              <w:t>设计阶段：</w:t>
            </w:r>
          </w:p>
          <w:p w14:paraId="5680A562">
            <w:pPr>
              <w:adjustRightInd w:val="0"/>
              <w:snapToGrid w:val="0"/>
              <w:jc w:val="left"/>
              <w:rPr>
                <w:color w:val="auto"/>
                <w:sz w:val="24"/>
              </w:rPr>
            </w:pPr>
            <w:r>
              <w:rPr>
                <w:color w:val="auto"/>
                <w:sz w:val="24"/>
              </w:rPr>
              <w:t>在施工期进一步优化本项目线路路径，在不考虑风偏的情况下，</w:t>
            </w:r>
            <w:r>
              <w:rPr>
                <w:rFonts w:hint="eastAsia"/>
                <w:color w:val="auto"/>
                <w:sz w:val="24"/>
                <w:lang w:eastAsia="zh-CN"/>
              </w:rPr>
              <w:t>在现有设计高度前提下，</w:t>
            </w:r>
            <w:r>
              <w:rPr>
                <w:color w:val="auto"/>
                <w:sz w:val="24"/>
              </w:rPr>
              <w:t>本项目线路需与沿线环境保护目标建筑保持以下距离：与边导线的水平距离至少为3m，或与下相导线线下垂直距离至少为5m（满足二者条件之一即可）</w:t>
            </w:r>
          </w:p>
        </w:tc>
        <w:tc>
          <w:tcPr>
            <w:tcW w:w="2592" w:type="dxa"/>
            <w:vAlign w:val="center"/>
          </w:tcPr>
          <w:p w14:paraId="190A37CB">
            <w:pPr>
              <w:adjustRightInd w:val="0"/>
              <w:snapToGrid w:val="0"/>
              <w:jc w:val="center"/>
              <w:rPr>
                <w:color w:val="auto"/>
                <w:sz w:val="24"/>
              </w:rPr>
            </w:pPr>
            <w:r>
              <w:rPr>
                <w:color w:val="auto"/>
                <w:sz w:val="24"/>
              </w:rPr>
              <w:t>导线对地高度和与环境保护目标间的距离满足设计规定的要求</w:t>
            </w:r>
          </w:p>
        </w:tc>
        <w:tc>
          <w:tcPr>
            <w:tcW w:w="2516" w:type="dxa"/>
            <w:vAlign w:val="center"/>
          </w:tcPr>
          <w:p w14:paraId="748FC0CC">
            <w:pPr>
              <w:jc w:val="center"/>
              <w:rPr>
                <w:color w:val="auto"/>
                <w:sz w:val="24"/>
              </w:rPr>
            </w:pPr>
            <w:r>
              <w:rPr>
                <w:color w:val="auto"/>
                <w:sz w:val="24"/>
              </w:rPr>
              <w:t>加强环境管理，定期进行环境监测工作，保证工频电磁场强度小于公众曝露限值。</w:t>
            </w:r>
          </w:p>
          <w:p w14:paraId="1361A6A9">
            <w:pPr>
              <w:jc w:val="center"/>
              <w:rPr>
                <w:color w:val="auto"/>
                <w:sz w:val="24"/>
              </w:rPr>
            </w:pPr>
          </w:p>
        </w:tc>
        <w:tc>
          <w:tcPr>
            <w:tcW w:w="2159" w:type="dxa"/>
            <w:vAlign w:val="center"/>
          </w:tcPr>
          <w:p w14:paraId="776B4CB3">
            <w:pPr>
              <w:adjustRightInd w:val="0"/>
              <w:snapToGrid w:val="0"/>
              <w:jc w:val="center"/>
              <w:rPr>
                <w:color w:val="auto"/>
                <w:sz w:val="24"/>
              </w:rPr>
            </w:pPr>
            <w:r>
              <w:rPr>
                <w:color w:val="auto"/>
                <w:sz w:val="24"/>
              </w:rPr>
              <w:t>评价范围内线路沿线工频电场强度≤4000V/m，工频磁感应强度≤100μT</w:t>
            </w:r>
          </w:p>
        </w:tc>
      </w:tr>
      <w:tr w14:paraId="5166E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vAlign w:val="center"/>
          </w:tcPr>
          <w:p w14:paraId="4A15F6D5">
            <w:pPr>
              <w:adjustRightInd w:val="0"/>
              <w:snapToGrid w:val="0"/>
              <w:jc w:val="center"/>
              <w:rPr>
                <w:color w:val="auto"/>
                <w:sz w:val="24"/>
              </w:rPr>
            </w:pPr>
            <w:r>
              <w:rPr>
                <w:color w:val="auto"/>
                <w:sz w:val="24"/>
              </w:rPr>
              <w:t>环境风险</w:t>
            </w:r>
          </w:p>
        </w:tc>
        <w:tc>
          <w:tcPr>
            <w:tcW w:w="6038" w:type="dxa"/>
            <w:vAlign w:val="center"/>
          </w:tcPr>
          <w:p w14:paraId="1C30DCB6">
            <w:pPr>
              <w:adjustRightInd w:val="0"/>
              <w:snapToGrid w:val="0"/>
              <w:jc w:val="center"/>
              <w:rPr>
                <w:color w:val="auto"/>
                <w:sz w:val="24"/>
              </w:rPr>
            </w:pPr>
            <w:r>
              <w:rPr>
                <w:color w:val="auto"/>
                <w:sz w:val="24"/>
              </w:rPr>
              <w:t>无</w:t>
            </w:r>
          </w:p>
        </w:tc>
        <w:tc>
          <w:tcPr>
            <w:tcW w:w="2592" w:type="dxa"/>
            <w:vAlign w:val="center"/>
          </w:tcPr>
          <w:p w14:paraId="6CC7D9B6">
            <w:pPr>
              <w:adjustRightInd w:val="0"/>
              <w:snapToGrid w:val="0"/>
              <w:jc w:val="center"/>
              <w:rPr>
                <w:color w:val="auto"/>
                <w:sz w:val="24"/>
              </w:rPr>
            </w:pPr>
            <w:r>
              <w:rPr>
                <w:color w:val="auto"/>
                <w:sz w:val="24"/>
              </w:rPr>
              <w:t>无</w:t>
            </w:r>
          </w:p>
        </w:tc>
        <w:tc>
          <w:tcPr>
            <w:tcW w:w="2516" w:type="dxa"/>
            <w:vAlign w:val="center"/>
          </w:tcPr>
          <w:p w14:paraId="244CCB3D">
            <w:pPr>
              <w:adjustRightInd w:val="0"/>
              <w:snapToGrid w:val="0"/>
              <w:jc w:val="center"/>
              <w:rPr>
                <w:color w:val="auto"/>
                <w:sz w:val="24"/>
              </w:rPr>
            </w:pPr>
            <w:r>
              <w:rPr>
                <w:color w:val="auto"/>
                <w:sz w:val="24"/>
              </w:rPr>
              <w:t>无</w:t>
            </w:r>
          </w:p>
        </w:tc>
        <w:tc>
          <w:tcPr>
            <w:tcW w:w="2159" w:type="dxa"/>
            <w:vAlign w:val="center"/>
          </w:tcPr>
          <w:p w14:paraId="2919456C">
            <w:pPr>
              <w:adjustRightInd w:val="0"/>
              <w:snapToGrid w:val="0"/>
              <w:jc w:val="center"/>
              <w:rPr>
                <w:color w:val="auto"/>
                <w:sz w:val="24"/>
              </w:rPr>
            </w:pPr>
            <w:r>
              <w:rPr>
                <w:color w:val="auto"/>
                <w:sz w:val="24"/>
              </w:rPr>
              <w:t>无</w:t>
            </w:r>
          </w:p>
        </w:tc>
      </w:tr>
      <w:tr w14:paraId="7AF8C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1481" w:type="dxa"/>
            <w:vAlign w:val="center"/>
          </w:tcPr>
          <w:p w14:paraId="47A619B5">
            <w:pPr>
              <w:adjustRightInd w:val="0"/>
              <w:snapToGrid w:val="0"/>
              <w:jc w:val="center"/>
              <w:rPr>
                <w:color w:val="auto"/>
                <w:sz w:val="24"/>
              </w:rPr>
            </w:pPr>
            <w:r>
              <w:rPr>
                <w:color w:val="auto"/>
                <w:sz w:val="24"/>
              </w:rPr>
              <w:t>环境监测</w:t>
            </w:r>
          </w:p>
        </w:tc>
        <w:tc>
          <w:tcPr>
            <w:tcW w:w="6038" w:type="dxa"/>
            <w:vAlign w:val="center"/>
          </w:tcPr>
          <w:p w14:paraId="3E5706B7">
            <w:pPr>
              <w:adjustRightInd w:val="0"/>
              <w:snapToGrid w:val="0"/>
              <w:jc w:val="center"/>
              <w:rPr>
                <w:color w:val="auto"/>
                <w:sz w:val="24"/>
              </w:rPr>
            </w:pPr>
            <w:r>
              <w:rPr>
                <w:color w:val="auto"/>
                <w:sz w:val="24"/>
              </w:rPr>
              <w:t>无</w:t>
            </w:r>
          </w:p>
        </w:tc>
        <w:tc>
          <w:tcPr>
            <w:tcW w:w="2592" w:type="dxa"/>
            <w:vAlign w:val="center"/>
          </w:tcPr>
          <w:p w14:paraId="06136DC8">
            <w:pPr>
              <w:adjustRightInd w:val="0"/>
              <w:snapToGrid w:val="0"/>
              <w:jc w:val="center"/>
              <w:rPr>
                <w:color w:val="auto"/>
                <w:sz w:val="24"/>
              </w:rPr>
            </w:pPr>
            <w:r>
              <w:rPr>
                <w:color w:val="auto"/>
                <w:sz w:val="24"/>
              </w:rPr>
              <w:t>无</w:t>
            </w:r>
          </w:p>
        </w:tc>
        <w:tc>
          <w:tcPr>
            <w:tcW w:w="2516" w:type="dxa"/>
            <w:vAlign w:val="center"/>
          </w:tcPr>
          <w:p w14:paraId="6E0AD6DF">
            <w:pPr>
              <w:adjustRightInd w:val="0"/>
              <w:snapToGrid w:val="0"/>
              <w:rPr>
                <w:color w:val="auto"/>
                <w:sz w:val="24"/>
              </w:rPr>
            </w:pPr>
            <w:r>
              <w:rPr>
                <w:color w:val="auto"/>
                <w:sz w:val="24"/>
              </w:rPr>
              <w:t>项目竣工验收时在正常运行工况下的电磁场和噪声的监测：①本项目线路评价范围内典型环境保护目标及评价范围内有环保问题投诉的环境保护目标；②有条件时需布设断面监测</w:t>
            </w:r>
          </w:p>
        </w:tc>
        <w:tc>
          <w:tcPr>
            <w:tcW w:w="2159" w:type="dxa"/>
            <w:vAlign w:val="center"/>
          </w:tcPr>
          <w:p w14:paraId="7C34C148">
            <w:pPr>
              <w:adjustRightInd w:val="0"/>
              <w:snapToGrid w:val="0"/>
              <w:rPr>
                <w:color w:val="auto"/>
                <w:sz w:val="24"/>
              </w:rPr>
            </w:pPr>
            <w:r>
              <w:rPr>
                <w:color w:val="auto"/>
                <w:sz w:val="24"/>
              </w:rPr>
              <w:t>工频电场强度≤4000V/m，工频磁感应强度≤100μT；</w:t>
            </w:r>
          </w:p>
          <w:p w14:paraId="04B0990C">
            <w:pPr>
              <w:adjustRightInd w:val="0"/>
              <w:snapToGrid w:val="0"/>
              <w:rPr>
                <w:color w:val="auto"/>
                <w:sz w:val="24"/>
              </w:rPr>
            </w:pPr>
            <w:r>
              <w:rPr>
                <w:color w:val="auto"/>
                <w:sz w:val="24"/>
              </w:rPr>
              <w:t>线路沿线环境保护目标处的声环境质量满足《声环境质量标准》（GB3096-2008）相应标准要求。</w:t>
            </w:r>
          </w:p>
        </w:tc>
      </w:tr>
      <w:tr w14:paraId="6C122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81" w:type="dxa"/>
            <w:vAlign w:val="center"/>
          </w:tcPr>
          <w:p w14:paraId="6420E719">
            <w:pPr>
              <w:adjustRightInd w:val="0"/>
              <w:snapToGrid w:val="0"/>
              <w:jc w:val="center"/>
              <w:rPr>
                <w:color w:val="auto"/>
                <w:sz w:val="24"/>
              </w:rPr>
            </w:pPr>
            <w:r>
              <w:rPr>
                <w:color w:val="auto"/>
                <w:sz w:val="24"/>
              </w:rPr>
              <w:t>其他</w:t>
            </w:r>
          </w:p>
        </w:tc>
        <w:tc>
          <w:tcPr>
            <w:tcW w:w="6038" w:type="dxa"/>
            <w:vAlign w:val="center"/>
          </w:tcPr>
          <w:p w14:paraId="3582DD83">
            <w:pPr>
              <w:adjustRightInd w:val="0"/>
              <w:snapToGrid w:val="0"/>
              <w:jc w:val="center"/>
              <w:rPr>
                <w:color w:val="auto"/>
                <w:sz w:val="24"/>
              </w:rPr>
            </w:pPr>
            <w:r>
              <w:rPr>
                <w:color w:val="auto"/>
                <w:sz w:val="24"/>
              </w:rPr>
              <w:t>无</w:t>
            </w:r>
          </w:p>
        </w:tc>
        <w:tc>
          <w:tcPr>
            <w:tcW w:w="2592" w:type="dxa"/>
            <w:vAlign w:val="center"/>
          </w:tcPr>
          <w:p w14:paraId="4B67D193">
            <w:pPr>
              <w:adjustRightInd w:val="0"/>
              <w:snapToGrid w:val="0"/>
              <w:jc w:val="center"/>
              <w:rPr>
                <w:color w:val="auto"/>
                <w:sz w:val="24"/>
              </w:rPr>
            </w:pPr>
            <w:r>
              <w:rPr>
                <w:color w:val="auto"/>
                <w:sz w:val="24"/>
              </w:rPr>
              <w:t>无</w:t>
            </w:r>
          </w:p>
        </w:tc>
        <w:tc>
          <w:tcPr>
            <w:tcW w:w="2516" w:type="dxa"/>
            <w:vAlign w:val="center"/>
          </w:tcPr>
          <w:p w14:paraId="25D8950E">
            <w:pPr>
              <w:adjustRightInd w:val="0"/>
              <w:snapToGrid w:val="0"/>
              <w:jc w:val="center"/>
              <w:rPr>
                <w:color w:val="auto"/>
                <w:sz w:val="24"/>
              </w:rPr>
            </w:pPr>
            <w:r>
              <w:rPr>
                <w:color w:val="auto"/>
                <w:sz w:val="24"/>
              </w:rPr>
              <w:t>无</w:t>
            </w:r>
          </w:p>
        </w:tc>
        <w:tc>
          <w:tcPr>
            <w:tcW w:w="2159" w:type="dxa"/>
            <w:vAlign w:val="center"/>
          </w:tcPr>
          <w:p w14:paraId="698C078D">
            <w:pPr>
              <w:adjustRightInd w:val="0"/>
              <w:snapToGrid w:val="0"/>
              <w:jc w:val="center"/>
              <w:rPr>
                <w:color w:val="auto"/>
                <w:sz w:val="24"/>
              </w:rPr>
            </w:pPr>
            <w:r>
              <w:rPr>
                <w:color w:val="auto"/>
                <w:sz w:val="24"/>
              </w:rPr>
              <w:t>无</w:t>
            </w:r>
          </w:p>
        </w:tc>
      </w:tr>
    </w:tbl>
    <w:p w14:paraId="04ED8C7F">
      <w:pPr>
        <w:rPr>
          <w:color w:val="auto"/>
        </w:rPr>
        <w:sectPr>
          <w:pgSz w:w="16838" w:h="11906" w:orient="landscape"/>
          <w:pgMar w:top="1134" w:right="1134" w:bottom="1134" w:left="1134" w:header="851" w:footer="992" w:gutter="0"/>
          <w:cols w:space="0" w:num="1"/>
          <w:docGrid w:linePitch="312" w:charSpace="0"/>
        </w:sectPr>
      </w:pPr>
    </w:p>
    <w:p w14:paraId="4B4680C5">
      <w:pPr>
        <w:pStyle w:val="24"/>
        <w:spacing w:before="0" w:beforeAutospacing="0" w:after="0" w:afterAutospacing="0" w:line="360" w:lineRule="auto"/>
        <w:jc w:val="center"/>
        <w:outlineLvl w:val="0"/>
        <w:rPr>
          <w:rFonts w:ascii="Times New Roman" w:hAnsi="Times New Roman"/>
          <w:b/>
          <w:snapToGrid w:val="0"/>
          <w:color w:val="auto"/>
          <w:sz w:val="30"/>
          <w:szCs w:val="30"/>
        </w:rPr>
      </w:pPr>
      <w:bookmarkStart w:id="23" w:name="_Toc63026910"/>
      <w:r>
        <w:rPr>
          <w:rFonts w:ascii="Times New Roman" w:hAnsi="Times New Roman"/>
          <w:b/>
          <w:snapToGrid w:val="0"/>
          <w:color w:val="auto"/>
          <w:sz w:val="30"/>
          <w:szCs w:val="30"/>
        </w:rPr>
        <w:t>七、结论</w:t>
      </w:r>
      <w:bookmarkEnd w:id="23"/>
    </w:p>
    <w:tbl>
      <w:tblPr>
        <w:tblStyle w:val="2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802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7C2D4EB4">
            <w:pPr>
              <w:autoSpaceDN w:val="0"/>
              <w:adjustRightInd w:val="0"/>
              <w:snapToGrid w:val="0"/>
              <w:spacing w:line="360" w:lineRule="auto"/>
              <w:rPr>
                <w:b/>
                <w:color w:val="auto"/>
                <w:sz w:val="24"/>
              </w:rPr>
            </w:pPr>
            <w:r>
              <w:rPr>
                <w:b/>
                <w:color w:val="auto"/>
                <w:sz w:val="24"/>
              </w:rPr>
              <w:t>7.1公众沟通工作结论</w:t>
            </w:r>
          </w:p>
          <w:p w14:paraId="21DDB14C">
            <w:pPr>
              <w:adjustRightInd w:val="0"/>
              <w:snapToGrid w:val="0"/>
              <w:spacing w:line="360" w:lineRule="auto"/>
              <w:ind w:firstLine="480" w:firstLineChars="200"/>
              <w:rPr>
                <w:color w:val="auto"/>
                <w:sz w:val="24"/>
              </w:rPr>
            </w:pPr>
            <w:r>
              <w:rPr>
                <w:color w:val="auto"/>
                <w:sz w:val="24"/>
              </w:rPr>
              <w:t>根据建设单位提供的公众</w:t>
            </w:r>
            <w:r>
              <w:rPr>
                <w:bCs/>
                <w:color w:val="auto"/>
                <w:sz w:val="24"/>
              </w:rPr>
              <w:t>沟通工</w:t>
            </w:r>
            <w:r>
              <w:rPr>
                <w:color w:val="auto"/>
                <w:sz w:val="24"/>
              </w:rPr>
              <w:t>作总结报告，</w:t>
            </w:r>
            <w:r>
              <w:rPr>
                <w:bCs/>
                <w:color w:val="auto"/>
                <w:sz w:val="24"/>
              </w:rPr>
              <w:t>重庆涪陵聚龙电力有限公司</w:t>
            </w:r>
            <w:r>
              <w:rPr>
                <w:color w:val="auto"/>
                <w:sz w:val="24"/>
              </w:rPr>
              <w:t>在本次公众沟通工作中采取了</w:t>
            </w:r>
            <w:r>
              <w:rPr>
                <w:rFonts w:hint="eastAsia"/>
                <w:color w:val="auto"/>
                <w:sz w:val="24"/>
                <w:lang w:eastAsia="zh-CN"/>
              </w:rPr>
              <w:t>现场公示及</w:t>
            </w:r>
            <w:r>
              <w:rPr>
                <w:color w:val="auto"/>
                <w:sz w:val="24"/>
              </w:rPr>
              <w:t>网上公示方式进行。在</w:t>
            </w:r>
            <w:r>
              <w:rPr>
                <w:rFonts w:hint="eastAsia"/>
                <w:color w:val="auto"/>
                <w:sz w:val="24"/>
                <w:lang w:eastAsia="zh-CN"/>
              </w:rPr>
              <w:t>现场及</w:t>
            </w:r>
            <w:r>
              <w:rPr>
                <w:color w:val="auto"/>
                <w:sz w:val="24"/>
              </w:rPr>
              <w:t>网上公示期间，未有群众反映环保相关意见。</w:t>
            </w:r>
          </w:p>
          <w:p w14:paraId="567A16B4">
            <w:pPr>
              <w:autoSpaceDN w:val="0"/>
              <w:adjustRightInd w:val="0"/>
              <w:snapToGrid w:val="0"/>
              <w:spacing w:line="360" w:lineRule="auto"/>
              <w:rPr>
                <w:b/>
                <w:color w:val="auto"/>
                <w:sz w:val="24"/>
              </w:rPr>
            </w:pPr>
            <w:r>
              <w:rPr>
                <w:b/>
                <w:color w:val="auto"/>
                <w:sz w:val="24"/>
              </w:rPr>
              <w:t>7.2结论</w:t>
            </w:r>
          </w:p>
          <w:p w14:paraId="3633342B">
            <w:pPr>
              <w:autoSpaceDN w:val="0"/>
              <w:adjustRightInd w:val="0"/>
              <w:snapToGrid w:val="0"/>
              <w:spacing w:line="360" w:lineRule="auto"/>
              <w:ind w:firstLine="480" w:firstLineChars="200"/>
              <w:rPr>
                <w:color w:val="auto"/>
                <w:sz w:val="24"/>
              </w:rPr>
            </w:pPr>
            <w:r>
              <w:rPr>
                <w:bCs/>
                <w:color w:val="auto"/>
                <w:sz w:val="24"/>
              </w:rPr>
              <w:t>白涛钛白粉场平电力线路迁改工程（110kV油华线）</w:t>
            </w:r>
            <w:r>
              <w:rPr>
                <w:color w:val="auto"/>
                <w:sz w:val="24"/>
              </w:rPr>
              <w:t>的建设符合相关规划、符合重庆市“三线一单”及涪陵区重点管控单元</w:t>
            </w:r>
            <w:r>
              <w:rPr>
                <w:color w:val="auto"/>
                <w:sz w:val="24"/>
                <w:shd w:val="clear" w:color="auto" w:fill="FFFFFF"/>
              </w:rPr>
              <w:t>的管控要求</w:t>
            </w:r>
            <w:r>
              <w:rPr>
                <w:color w:val="auto"/>
                <w:sz w:val="24"/>
                <w:lang w:val="sq-AL"/>
              </w:rPr>
              <w:t>。</w:t>
            </w:r>
            <w:r>
              <w:rPr>
                <w:rStyle w:val="33"/>
                <w:color w:val="auto"/>
                <w:sz w:val="24"/>
              </w:rPr>
              <w:t>项目未涉及</w:t>
            </w:r>
            <w:r>
              <w:rPr>
                <w:color w:val="auto"/>
                <w:sz w:val="24"/>
              </w:rPr>
              <w:t>涪陵区</w:t>
            </w:r>
            <w:r>
              <w:rPr>
                <w:rStyle w:val="33"/>
                <w:color w:val="auto"/>
                <w:sz w:val="24"/>
              </w:rPr>
              <w:t>生态保护红线</w:t>
            </w:r>
            <w:r>
              <w:rPr>
                <w:color w:val="auto"/>
                <w:sz w:val="24"/>
              </w:rPr>
              <w:t>。项目在切实落实本评价提出的环境保护措施后，污染物能够达标排放，项目对周围环境的影响均可控制在国家标准允许的范围内。本评价认为，该项目的建设从环境保护角度是可行的。</w:t>
            </w:r>
          </w:p>
          <w:p w14:paraId="68AB59A2">
            <w:pPr>
              <w:rPr>
                <w:color w:val="auto"/>
              </w:rPr>
            </w:pPr>
          </w:p>
          <w:p w14:paraId="395D8F3B">
            <w:pPr>
              <w:rPr>
                <w:color w:val="auto"/>
              </w:rPr>
            </w:pPr>
          </w:p>
          <w:p w14:paraId="14BD023E">
            <w:pPr>
              <w:rPr>
                <w:color w:val="auto"/>
              </w:rPr>
            </w:pPr>
          </w:p>
          <w:p w14:paraId="75600EC2">
            <w:pPr>
              <w:rPr>
                <w:color w:val="auto"/>
              </w:rPr>
            </w:pPr>
          </w:p>
          <w:p w14:paraId="59F10A23">
            <w:pPr>
              <w:rPr>
                <w:color w:val="auto"/>
              </w:rPr>
            </w:pPr>
          </w:p>
          <w:p w14:paraId="6EA78048">
            <w:pPr>
              <w:rPr>
                <w:color w:val="auto"/>
              </w:rPr>
            </w:pPr>
          </w:p>
          <w:p w14:paraId="75864B76">
            <w:pPr>
              <w:rPr>
                <w:color w:val="auto"/>
              </w:rPr>
            </w:pPr>
          </w:p>
          <w:p w14:paraId="4A9DED12">
            <w:pPr>
              <w:pStyle w:val="2"/>
              <w:rPr>
                <w:rFonts w:ascii="Times New Roman" w:hAnsi="Times New Roman" w:cs="Times New Roman"/>
                <w:color w:val="auto"/>
              </w:rPr>
            </w:pPr>
          </w:p>
          <w:p w14:paraId="412535D3">
            <w:pPr>
              <w:pStyle w:val="2"/>
              <w:rPr>
                <w:rFonts w:ascii="Times New Roman" w:hAnsi="Times New Roman" w:cs="Times New Roman"/>
                <w:color w:val="auto"/>
              </w:rPr>
            </w:pPr>
          </w:p>
          <w:p w14:paraId="5097652D">
            <w:pPr>
              <w:pStyle w:val="2"/>
              <w:rPr>
                <w:rFonts w:ascii="Times New Roman" w:hAnsi="Times New Roman" w:cs="Times New Roman"/>
                <w:color w:val="auto"/>
              </w:rPr>
            </w:pPr>
          </w:p>
          <w:p w14:paraId="729A7222">
            <w:pPr>
              <w:pStyle w:val="2"/>
              <w:rPr>
                <w:rFonts w:ascii="Times New Roman" w:hAnsi="Times New Roman" w:cs="Times New Roman"/>
                <w:color w:val="auto"/>
              </w:rPr>
            </w:pPr>
          </w:p>
          <w:p w14:paraId="4CD78837">
            <w:pPr>
              <w:pStyle w:val="2"/>
              <w:rPr>
                <w:rFonts w:ascii="Times New Roman" w:hAnsi="Times New Roman" w:cs="Times New Roman"/>
                <w:color w:val="auto"/>
              </w:rPr>
            </w:pPr>
          </w:p>
          <w:p w14:paraId="290D0F49">
            <w:pPr>
              <w:pStyle w:val="2"/>
              <w:rPr>
                <w:rFonts w:ascii="Times New Roman" w:hAnsi="Times New Roman" w:cs="Times New Roman"/>
                <w:color w:val="auto"/>
              </w:rPr>
            </w:pPr>
          </w:p>
          <w:p w14:paraId="7323699E">
            <w:pPr>
              <w:pStyle w:val="2"/>
              <w:rPr>
                <w:rFonts w:ascii="Times New Roman" w:hAnsi="Times New Roman" w:cs="Times New Roman"/>
                <w:color w:val="auto"/>
              </w:rPr>
            </w:pPr>
          </w:p>
          <w:p w14:paraId="0C976D1A">
            <w:pPr>
              <w:pStyle w:val="2"/>
              <w:rPr>
                <w:rFonts w:ascii="Times New Roman" w:hAnsi="Times New Roman" w:cs="Times New Roman"/>
                <w:color w:val="auto"/>
              </w:rPr>
            </w:pPr>
          </w:p>
          <w:p w14:paraId="168DF802">
            <w:pPr>
              <w:pStyle w:val="2"/>
              <w:rPr>
                <w:rFonts w:ascii="Times New Roman" w:hAnsi="Times New Roman" w:cs="Times New Roman"/>
                <w:color w:val="auto"/>
              </w:rPr>
            </w:pPr>
          </w:p>
          <w:p w14:paraId="23C73EE1">
            <w:pPr>
              <w:pStyle w:val="2"/>
              <w:rPr>
                <w:rFonts w:ascii="Times New Roman" w:hAnsi="Times New Roman" w:cs="Times New Roman"/>
                <w:color w:val="auto"/>
              </w:rPr>
            </w:pPr>
          </w:p>
          <w:p w14:paraId="747CEF57">
            <w:pPr>
              <w:rPr>
                <w:color w:val="auto"/>
              </w:rPr>
            </w:pPr>
          </w:p>
          <w:p w14:paraId="4067EA4B">
            <w:pPr>
              <w:rPr>
                <w:color w:val="auto"/>
              </w:rPr>
            </w:pPr>
          </w:p>
          <w:p w14:paraId="0748E56E">
            <w:pPr>
              <w:rPr>
                <w:color w:val="auto"/>
              </w:rPr>
            </w:pPr>
          </w:p>
          <w:p w14:paraId="1655AF9C">
            <w:pPr>
              <w:rPr>
                <w:color w:val="auto"/>
              </w:rPr>
            </w:pPr>
          </w:p>
          <w:p w14:paraId="383A0CC1">
            <w:pPr>
              <w:rPr>
                <w:color w:val="auto"/>
              </w:rPr>
            </w:pPr>
          </w:p>
          <w:p w14:paraId="492CCE36">
            <w:pPr>
              <w:rPr>
                <w:color w:val="auto"/>
              </w:rPr>
            </w:pPr>
          </w:p>
          <w:p w14:paraId="2D160F11">
            <w:pPr>
              <w:rPr>
                <w:color w:val="auto"/>
              </w:rPr>
            </w:pPr>
          </w:p>
          <w:p w14:paraId="6E122113">
            <w:pPr>
              <w:rPr>
                <w:color w:val="auto"/>
              </w:rPr>
            </w:pPr>
          </w:p>
          <w:p w14:paraId="3F6A7C1A">
            <w:pPr>
              <w:rPr>
                <w:color w:val="auto"/>
              </w:rPr>
            </w:pPr>
          </w:p>
          <w:p w14:paraId="321C3D37">
            <w:pPr>
              <w:rPr>
                <w:color w:val="auto"/>
              </w:rPr>
            </w:pPr>
          </w:p>
          <w:p w14:paraId="78B61857">
            <w:pPr>
              <w:rPr>
                <w:color w:val="auto"/>
              </w:rPr>
            </w:pPr>
          </w:p>
          <w:p w14:paraId="73061116">
            <w:pPr>
              <w:rPr>
                <w:color w:val="auto"/>
              </w:rPr>
            </w:pPr>
          </w:p>
          <w:p w14:paraId="70337034">
            <w:pPr>
              <w:rPr>
                <w:color w:val="auto"/>
              </w:rPr>
            </w:pPr>
          </w:p>
          <w:p w14:paraId="691838DE">
            <w:pPr>
              <w:rPr>
                <w:color w:val="auto"/>
              </w:rPr>
            </w:pPr>
          </w:p>
          <w:p w14:paraId="0479FF73">
            <w:pPr>
              <w:rPr>
                <w:color w:val="auto"/>
              </w:rPr>
            </w:pPr>
          </w:p>
        </w:tc>
      </w:tr>
    </w:tbl>
    <w:p w14:paraId="68FF2BD7">
      <w:pPr>
        <w:adjustRightInd w:val="0"/>
        <w:snapToGrid w:val="0"/>
        <w:rPr>
          <w:color w:val="auto"/>
        </w:rPr>
      </w:pPr>
    </w:p>
    <w:sectPr>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RomanS">
    <w:altName w:val="Vrinda"/>
    <w:panose1 w:val="02000400000000000000"/>
    <w:charset w:val="00"/>
    <w:family w:val="auto"/>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B255">
    <w:pPr>
      <w:pStyle w:val="17"/>
      <w:framePr w:wrap="around" w:vAnchor="text" w:hAnchor="margin" w:xAlign="center" w:y="1"/>
      <w:rPr>
        <w:rStyle w:val="30"/>
      </w:rPr>
    </w:pPr>
    <w:r>
      <w:fldChar w:fldCharType="begin"/>
    </w:r>
    <w:r>
      <w:rPr>
        <w:rStyle w:val="30"/>
      </w:rPr>
      <w:instrText xml:space="preserve">PAGE  </w:instrText>
    </w:r>
    <w:r>
      <w:fldChar w:fldCharType="end"/>
    </w:r>
  </w:p>
  <w:p w14:paraId="67D4B82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C526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DDB4">
    <w:pPr>
      <w:pStyle w:val="1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7FA1D79">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5E93">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986"/>
    <w:rsid w:val="00006637"/>
    <w:rsid w:val="00006B66"/>
    <w:rsid w:val="000163C8"/>
    <w:rsid w:val="00020309"/>
    <w:rsid w:val="000236EE"/>
    <w:rsid w:val="00023DDD"/>
    <w:rsid w:val="0002703E"/>
    <w:rsid w:val="00042D98"/>
    <w:rsid w:val="000445F2"/>
    <w:rsid w:val="000453F8"/>
    <w:rsid w:val="000507FA"/>
    <w:rsid w:val="00051C1B"/>
    <w:rsid w:val="00052012"/>
    <w:rsid w:val="00052CC7"/>
    <w:rsid w:val="00053010"/>
    <w:rsid w:val="000535A9"/>
    <w:rsid w:val="00055B18"/>
    <w:rsid w:val="000566CC"/>
    <w:rsid w:val="00062C5A"/>
    <w:rsid w:val="0006558F"/>
    <w:rsid w:val="00067517"/>
    <w:rsid w:val="00067857"/>
    <w:rsid w:val="00070C81"/>
    <w:rsid w:val="00071769"/>
    <w:rsid w:val="000727CB"/>
    <w:rsid w:val="00073AFE"/>
    <w:rsid w:val="0007670B"/>
    <w:rsid w:val="0007722D"/>
    <w:rsid w:val="00086A50"/>
    <w:rsid w:val="00091755"/>
    <w:rsid w:val="00091EFD"/>
    <w:rsid w:val="000930B2"/>
    <w:rsid w:val="00095E7F"/>
    <w:rsid w:val="000A00D8"/>
    <w:rsid w:val="000A10BE"/>
    <w:rsid w:val="000A7A1A"/>
    <w:rsid w:val="000B1824"/>
    <w:rsid w:val="000B184B"/>
    <w:rsid w:val="000B1B85"/>
    <w:rsid w:val="000B40B9"/>
    <w:rsid w:val="000B42EE"/>
    <w:rsid w:val="000B46EE"/>
    <w:rsid w:val="000B4D63"/>
    <w:rsid w:val="000B7580"/>
    <w:rsid w:val="000C0212"/>
    <w:rsid w:val="000C120C"/>
    <w:rsid w:val="000C230E"/>
    <w:rsid w:val="000C4C3F"/>
    <w:rsid w:val="000C5505"/>
    <w:rsid w:val="000D09EA"/>
    <w:rsid w:val="000D44D0"/>
    <w:rsid w:val="000E0981"/>
    <w:rsid w:val="000F0FCF"/>
    <w:rsid w:val="000F200D"/>
    <w:rsid w:val="000F5CDE"/>
    <w:rsid w:val="000F60EA"/>
    <w:rsid w:val="000F6385"/>
    <w:rsid w:val="0010027A"/>
    <w:rsid w:val="00100D29"/>
    <w:rsid w:val="001067B2"/>
    <w:rsid w:val="00110816"/>
    <w:rsid w:val="0012441F"/>
    <w:rsid w:val="00125271"/>
    <w:rsid w:val="00125454"/>
    <w:rsid w:val="00126730"/>
    <w:rsid w:val="00134AD1"/>
    <w:rsid w:val="001372C6"/>
    <w:rsid w:val="00140866"/>
    <w:rsid w:val="00141292"/>
    <w:rsid w:val="00143DCF"/>
    <w:rsid w:val="0014436E"/>
    <w:rsid w:val="00146D12"/>
    <w:rsid w:val="001471C3"/>
    <w:rsid w:val="00147350"/>
    <w:rsid w:val="00147FB1"/>
    <w:rsid w:val="0015353F"/>
    <w:rsid w:val="00153C36"/>
    <w:rsid w:val="00154F77"/>
    <w:rsid w:val="00172A27"/>
    <w:rsid w:val="001753B8"/>
    <w:rsid w:val="0018058F"/>
    <w:rsid w:val="00180E1A"/>
    <w:rsid w:val="00184225"/>
    <w:rsid w:val="0018423B"/>
    <w:rsid w:val="001845C3"/>
    <w:rsid w:val="0018714B"/>
    <w:rsid w:val="00191770"/>
    <w:rsid w:val="00193F0F"/>
    <w:rsid w:val="001A04F1"/>
    <w:rsid w:val="001A1315"/>
    <w:rsid w:val="001A609C"/>
    <w:rsid w:val="001A65BF"/>
    <w:rsid w:val="001A66D0"/>
    <w:rsid w:val="001B23E4"/>
    <w:rsid w:val="001B2520"/>
    <w:rsid w:val="001C0708"/>
    <w:rsid w:val="001C36A1"/>
    <w:rsid w:val="001C6519"/>
    <w:rsid w:val="001C6957"/>
    <w:rsid w:val="001C75E9"/>
    <w:rsid w:val="001D116E"/>
    <w:rsid w:val="001D2804"/>
    <w:rsid w:val="001D31E7"/>
    <w:rsid w:val="001D42D9"/>
    <w:rsid w:val="001D61E0"/>
    <w:rsid w:val="001D77BA"/>
    <w:rsid w:val="001E406F"/>
    <w:rsid w:val="001E7867"/>
    <w:rsid w:val="001F088F"/>
    <w:rsid w:val="001F10A2"/>
    <w:rsid w:val="001F5B9F"/>
    <w:rsid w:val="001F6567"/>
    <w:rsid w:val="001F6B31"/>
    <w:rsid w:val="001F6B42"/>
    <w:rsid w:val="00204B62"/>
    <w:rsid w:val="00212952"/>
    <w:rsid w:val="002139F1"/>
    <w:rsid w:val="00215E3C"/>
    <w:rsid w:val="00216C31"/>
    <w:rsid w:val="002210C3"/>
    <w:rsid w:val="002212DA"/>
    <w:rsid w:val="00221F77"/>
    <w:rsid w:val="002255FF"/>
    <w:rsid w:val="00231808"/>
    <w:rsid w:val="00233A18"/>
    <w:rsid w:val="00233C07"/>
    <w:rsid w:val="00235C93"/>
    <w:rsid w:val="00236E29"/>
    <w:rsid w:val="0024361F"/>
    <w:rsid w:val="002456F1"/>
    <w:rsid w:val="00255329"/>
    <w:rsid w:val="00260B6F"/>
    <w:rsid w:val="002611C7"/>
    <w:rsid w:val="002658B2"/>
    <w:rsid w:val="002658EB"/>
    <w:rsid w:val="00266880"/>
    <w:rsid w:val="00266BC7"/>
    <w:rsid w:val="00267DC0"/>
    <w:rsid w:val="002701A8"/>
    <w:rsid w:val="002801C5"/>
    <w:rsid w:val="002839DF"/>
    <w:rsid w:val="00285054"/>
    <w:rsid w:val="0029178D"/>
    <w:rsid w:val="00293152"/>
    <w:rsid w:val="00295883"/>
    <w:rsid w:val="00296909"/>
    <w:rsid w:val="00296EA6"/>
    <w:rsid w:val="002A374E"/>
    <w:rsid w:val="002A3F83"/>
    <w:rsid w:val="002A66A0"/>
    <w:rsid w:val="002A6A38"/>
    <w:rsid w:val="002A76AF"/>
    <w:rsid w:val="002B4D22"/>
    <w:rsid w:val="002B69AA"/>
    <w:rsid w:val="002C0A53"/>
    <w:rsid w:val="002C77F1"/>
    <w:rsid w:val="002C7F73"/>
    <w:rsid w:val="002D3A46"/>
    <w:rsid w:val="002D58F2"/>
    <w:rsid w:val="002D7FA2"/>
    <w:rsid w:val="002E3EA2"/>
    <w:rsid w:val="002F2D04"/>
    <w:rsid w:val="002F6DA4"/>
    <w:rsid w:val="002F7D9A"/>
    <w:rsid w:val="003022D6"/>
    <w:rsid w:val="003032D8"/>
    <w:rsid w:val="00314B3D"/>
    <w:rsid w:val="00315F95"/>
    <w:rsid w:val="0031750B"/>
    <w:rsid w:val="003210D1"/>
    <w:rsid w:val="00323F11"/>
    <w:rsid w:val="00331225"/>
    <w:rsid w:val="0033528D"/>
    <w:rsid w:val="00335A92"/>
    <w:rsid w:val="00336C4E"/>
    <w:rsid w:val="00340E52"/>
    <w:rsid w:val="00341581"/>
    <w:rsid w:val="0034706E"/>
    <w:rsid w:val="00347174"/>
    <w:rsid w:val="00347977"/>
    <w:rsid w:val="003500B9"/>
    <w:rsid w:val="00363C80"/>
    <w:rsid w:val="00373549"/>
    <w:rsid w:val="00380C4B"/>
    <w:rsid w:val="00381069"/>
    <w:rsid w:val="00382A6B"/>
    <w:rsid w:val="00383C36"/>
    <w:rsid w:val="00383CD3"/>
    <w:rsid w:val="00385AC7"/>
    <w:rsid w:val="00385C62"/>
    <w:rsid w:val="00387145"/>
    <w:rsid w:val="00387FEF"/>
    <w:rsid w:val="00391B0B"/>
    <w:rsid w:val="00392883"/>
    <w:rsid w:val="00397A94"/>
    <w:rsid w:val="003A030D"/>
    <w:rsid w:val="003A7497"/>
    <w:rsid w:val="003B1EDC"/>
    <w:rsid w:val="003B399F"/>
    <w:rsid w:val="003B7064"/>
    <w:rsid w:val="003B71B0"/>
    <w:rsid w:val="003B764D"/>
    <w:rsid w:val="003C0E2E"/>
    <w:rsid w:val="003C1C7D"/>
    <w:rsid w:val="003C2765"/>
    <w:rsid w:val="003C3773"/>
    <w:rsid w:val="003C6CF2"/>
    <w:rsid w:val="003C6F9D"/>
    <w:rsid w:val="003C7077"/>
    <w:rsid w:val="003D0898"/>
    <w:rsid w:val="003D0FAA"/>
    <w:rsid w:val="003D4012"/>
    <w:rsid w:val="003D44CB"/>
    <w:rsid w:val="003D68C5"/>
    <w:rsid w:val="003D72CC"/>
    <w:rsid w:val="003E19C7"/>
    <w:rsid w:val="003E1CD6"/>
    <w:rsid w:val="003E6DCE"/>
    <w:rsid w:val="003F6673"/>
    <w:rsid w:val="003F66CE"/>
    <w:rsid w:val="00401134"/>
    <w:rsid w:val="004015C4"/>
    <w:rsid w:val="00405FA9"/>
    <w:rsid w:val="00406C63"/>
    <w:rsid w:val="0040721F"/>
    <w:rsid w:val="004075E2"/>
    <w:rsid w:val="00413A77"/>
    <w:rsid w:val="00413AE4"/>
    <w:rsid w:val="00415088"/>
    <w:rsid w:val="004211BA"/>
    <w:rsid w:val="0042673C"/>
    <w:rsid w:val="00440C3F"/>
    <w:rsid w:val="00441BF4"/>
    <w:rsid w:val="00442B7D"/>
    <w:rsid w:val="00446FFD"/>
    <w:rsid w:val="00447203"/>
    <w:rsid w:val="00450A42"/>
    <w:rsid w:val="0045712B"/>
    <w:rsid w:val="004573C9"/>
    <w:rsid w:val="00460826"/>
    <w:rsid w:val="004612DD"/>
    <w:rsid w:val="004614B2"/>
    <w:rsid w:val="00473128"/>
    <w:rsid w:val="00473DB6"/>
    <w:rsid w:val="00474FAC"/>
    <w:rsid w:val="00476A00"/>
    <w:rsid w:val="0047736E"/>
    <w:rsid w:val="004819F6"/>
    <w:rsid w:val="00482B9E"/>
    <w:rsid w:val="00482D8E"/>
    <w:rsid w:val="00484FAC"/>
    <w:rsid w:val="00485CB3"/>
    <w:rsid w:val="00493227"/>
    <w:rsid w:val="004A3D97"/>
    <w:rsid w:val="004B0F68"/>
    <w:rsid w:val="004B1F2C"/>
    <w:rsid w:val="004B2C1E"/>
    <w:rsid w:val="004B4DFD"/>
    <w:rsid w:val="004B52A4"/>
    <w:rsid w:val="004C15AB"/>
    <w:rsid w:val="004C2DAD"/>
    <w:rsid w:val="004C3633"/>
    <w:rsid w:val="004C455F"/>
    <w:rsid w:val="004C4B8E"/>
    <w:rsid w:val="004D142A"/>
    <w:rsid w:val="004D6908"/>
    <w:rsid w:val="004E23E2"/>
    <w:rsid w:val="004E4323"/>
    <w:rsid w:val="004E5DF5"/>
    <w:rsid w:val="004E5E7F"/>
    <w:rsid w:val="004E690A"/>
    <w:rsid w:val="004E6CA2"/>
    <w:rsid w:val="004F0E89"/>
    <w:rsid w:val="004F3D6D"/>
    <w:rsid w:val="004F6303"/>
    <w:rsid w:val="00500E65"/>
    <w:rsid w:val="00505898"/>
    <w:rsid w:val="005065E2"/>
    <w:rsid w:val="00513561"/>
    <w:rsid w:val="005159C1"/>
    <w:rsid w:val="00515E45"/>
    <w:rsid w:val="00520E13"/>
    <w:rsid w:val="005214FF"/>
    <w:rsid w:val="0052505E"/>
    <w:rsid w:val="0052587B"/>
    <w:rsid w:val="005260DB"/>
    <w:rsid w:val="005261EC"/>
    <w:rsid w:val="005320D7"/>
    <w:rsid w:val="005332BA"/>
    <w:rsid w:val="00533F82"/>
    <w:rsid w:val="00540C4A"/>
    <w:rsid w:val="00541D8D"/>
    <w:rsid w:val="00542629"/>
    <w:rsid w:val="005438B0"/>
    <w:rsid w:val="0054585C"/>
    <w:rsid w:val="00552848"/>
    <w:rsid w:val="0055437C"/>
    <w:rsid w:val="0055797C"/>
    <w:rsid w:val="00565680"/>
    <w:rsid w:val="00566E28"/>
    <w:rsid w:val="005674AA"/>
    <w:rsid w:val="0057004D"/>
    <w:rsid w:val="005730AA"/>
    <w:rsid w:val="00580E0C"/>
    <w:rsid w:val="00583268"/>
    <w:rsid w:val="0058588A"/>
    <w:rsid w:val="00587B25"/>
    <w:rsid w:val="00590872"/>
    <w:rsid w:val="00590DCF"/>
    <w:rsid w:val="005A48F9"/>
    <w:rsid w:val="005A51EA"/>
    <w:rsid w:val="005A7693"/>
    <w:rsid w:val="005B7458"/>
    <w:rsid w:val="005B7B04"/>
    <w:rsid w:val="005C25D6"/>
    <w:rsid w:val="005C587D"/>
    <w:rsid w:val="005C6D51"/>
    <w:rsid w:val="005C735F"/>
    <w:rsid w:val="005C743B"/>
    <w:rsid w:val="005C7891"/>
    <w:rsid w:val="005D2B75"/>
    <w:rsid w:val="005D7C65"/>
    <w:rsid w:val="005E2051"/>
    <w:rsid w:val="005E417C"/>
    <w:rsid w:val="005E791F"/>
    <w:rsid w:val="005F036F"/>
    <w:rsid w:val="005F1E9A"/>
    <w:rsid w:val="005F21B8"/>
    <w:rsid w:val="005F43E6"/>
    <w:rsid w:val="005F4D88"/>
    <w:rsid w:val="005F4E3C"/>
    <w:rsid w:val="005F7FF8"/>
    <w:rsid w:val="0060017C"/>
    <w:rsid w:val="00600B01"/>
    <w:rsid w:val="00603C5A"/>
    <w:rsid w:val="0061190D"/>
    <w:rsid w:val="00611AEA"/>
    <w:rsid w:val="00614143"/>
    <w:rsid w:val="00617B99"/>
    <w:rsid w:val="00617BD9"/>
    <w:rsid w:val="00617D10"/>
    <w:rsid w:val="00625AA2"/>
    <w:rsid w:val="006351EE"/>
    <w:rsid w:val="006362CC"/>
    <w:rsid w:val="00640B17"/>
    <w:rsid w:val="0064101C"/>
    <w:rsid w:val="00641898"/>
    <w:rsid w:val="00642F27"/>
    <w:rsid w:val="0064310C"/>
    <w:rsid w:val="0064501B"/>
    <w:rsid w:val="00645B97"/>
    <w:rsid w:val="00645BBD"/>
    <w:rsid w:val="006476FD"/>
    <w:rsid w:val="006478EE"/>
    <w:rsid w:val="0065054E"/>
    <w:rsid w:val="00651C9F"/>
    <w:rsid w:val="00653717"/>
    <w:rsid w:val="00653988"/>
    <w:rsid w:val="00663564"/>
    <w:rsid w:val="00664B41"/>
    <w:rsid w:val="00665681"/>
    <w:rsid w:val="00667B4E"/>
    <w:rsid w:val="006749CE"/>
    <w:rsid w:val="00674B10"/>
    <w:rsid w:val="00675A90"/>
    <w:rsid w:val="006772C5"/>
    <w:rsid w:val="0067775C"/>
    <w:rsid w:val="00687DD8"/>
    <w:rsid w:val="006908F8"/>
    <w:rsid w:val="00693542"/>
    <w:rsid w:val="0069519C"/>
    <w:rsid w:val="006A58E6"/>
    <w:rsid w:val="006A79B7"/>
    <w:rsid w:val="006B087F"/>
    <w:rsid w:val="006B7FC2"/>
    <w:rsid w:val="006C3412"/>
    <w:rsid w:val="006C4B28"/>
    <w:rsid w:val="006C67A9"/>
    <w:rsid w:val="006D35A3"/>
    <w:rsid w:val="006D47D2"/>
    <w:rsid w:val="006D4A7F"/>
    <w:rsid w:val="006D59BF"/>
    <w:rsid w:val="006D7327"/>
    <w:rsid w:val="006E064F"/>
    <w:rsid w:val="006E191D"/>
    <w:rsid w:val="006E2DA9"/>
    <w:rsid w:val="006E328F"/>
    <w:rsid w:val="006E7970"/>
    <w:rsid w:val="006F0F5A"/>
    <w:rsid w:val="006F3069"/>
    <w:rsid w:val="006F3839"/>
    <w:rsid w:val="007014D1"/>
    <w:rsid w:val="00703B7F"/>
    <w:rsid w:val="0070557A"/>
    <w:rsid w:val="00711E9D"/>
    <w:rsid w:val="0071215E"/>
    <w:rsid w:val="007140F6"/>
    <w:rsid w:val="007141BB"/>
    <w:rsid w:val="00716DFB"/>
    <w:rsid w:val="00717EF4"/>
    <w:rsid w:val="007228BF"/>
    <w:rsid w:val="00722AA9"/>
    <w:rsid w:val="00725306"/>
    <w:rsid w:val="007311EF"/>
    <w:rsid w:val="0073348C"/>
    <w:rsid w:val="007340F6"/>
    <w:rsid w:val="00734D5C"/>
    <w:rsid w:val="00734F57"/>
    <w:rsid w:val="00735990"/>
    <w:rsid w:val="00735FFD"/>
    <w:rsid w:val="00740B4F"/>
    <w:rsid w:val="00743E5B"/>
    <w:rsid w:val="007442BA"/>
    <w:rsid w:val="00744346"/>
    <w:rsid w:val="00746D3F"/>
    <w:rsid w:val="00752ACC"/>
    <w:rsid w:val="00752B94"/>
    <w:rsid w:val="0075458E"/>
    <w:rsid w:val="007545D2"/>
    <w:rsid w:val="00755BC9"/>
    <w:rsid w:val="00757AB9"/>
    <w:rsid w:val="00760449"/>
    <w:rsid w:val="007609F7"/>
    <w:rsid w:val="00761D52"/>
    <w:rsid w:val="00765C82"/>
    <w:rsid w:val="007712B1"/>
    <w:rsid w:val="00774171"/>
    <w:rsid w:val="00776C0D"/>
    <w:rsid w:val="00781FDF"/>
    <w:rsid w:val="00784071"/>
    <w:rsid w:val="00784D0C"/>
    <w:rsid w:val="00785840"/>
    <w:rsid w:val="00785DB6"/>
    <w:rsid w:val="00787C97"/>
    <w:rsid w:val="00791BB2"/>
    <w:rsid w:val="007930FC"/>
    <w:rsid w:val="00793F82"/>
    <w:rsid w:val="00794DF9"/>
    <w:rsid w:val="007962EE"/>
    <w:rsid w:val="007968B5"/>
    <w:rsid w:val="007B60BF"/>
    <w:rsid w:val="007B75AF"/>
    <w:rsid w:val="007C08DA"/>
    <w:rsid w:val="007C1A21"/>
    <w:rsid w:val="007C3608"/>
    <w:rsid w:val="007C44FE"/>
    <w:rsid w:val="007C5912"/>
    <w:rsid w:val="007C7203"/>
    <w:rsid w:val="007D0A63"/>
    <w:rsid w:val="007D477D"/>
    <w:rsid w:val="007D4DEB"/>
    <w:rsid w:val="007D643E"/>
    <w:rsid w:val="007D7A6C"/>
    <w:rsid w:val="007E552E"/>
    <w:rsid w:val="007E5812"/>
    <w:rsid w:val="007E5CB9"/>
    <w:rsid w:val="007E6953"/>
    <w:rsid w:val="007E703F"/>
    <w:rsid w:val="007E7493"/>
    <w:rsid w:val="007F0124"/>
    <w:rsid w:val="007F382C"/>
    <w:rsid w:val="00803E47"/>
    <w:rsid w:val="00805CF1"/>
    <w:rsid w:val="00806495"/>
    <w:rsid w:val="008129BB"/>
    <w:rsid w:val="00816EB8"/>
    <w:rsid w:val="00821B3C"/>
    <w:rsid w:val="00821E94"/>
    <w:rsid w:val="00831C99"/>
    <w:rsid w:val="00834196"/>
    <w:rsid w:val="00837E54"/>
    <w:rsid w:val="00844EAE"/>
    <w:rsid w:val="00850948"/>
    <w:rsid w:val="00851A86"/>
    <w:rsid w:val="0085393D"/>
    <w:rsid w:val="00854884"/>
    <w:rsid w:val="0086151E"/>
    <w:rsid w:val="00865A36"/>
    <w:rsid w:val="00866B17"/>
    <w:rsid w:val="00867C1D"/>
    <w:rsid w:val="00871153"/>
    <w:rsid w:val="008740A5"/>
    <w:rsid w:val="00877CF9"/>
    <w:rsid w:val="008830BD"/>
    <w:rsid w:val="00883623"/>
    <w:rsid w:val="0088651C"/>
    <w:rsid w:val="00886EFA"/>
    <w:rsid w:val="008871F0"/>
    <w:rsid w:val="00887BCB"/>
    <w:rsid w:val="0089680F"/>
    <w:rsid w:val="008A0007"/>
    <w:rsid w:val="008A002E"/>
    <w:rsid w:val="008A023E"/>
    <w:rsid w:val="008A6835"/>
    <w:rsid w:val="008B44D1"/>
    <w:rsid w:val="008B4544"/>
    <w:rsid w:val="008B51F7"/>
    <w:rsid w:val="008B5D80"/>
    <w:rsid w:val="008B770C"/>
    <w:rsid w:val="008B7DE9"/>
    <w:rsid w:val="008C0A1D"/>
    <w:rsid w:val="008C1406"/>
    <w:rsid w:val="008C198E"/>
    <w:rsid w:val="008C1B05"/>
    <w:rsid w:val="008C3DBA"/>
    <w:rsid w:val="008C6A62"/>
    <w:rsid w:val="008D0E0B"/>
    <w:rsid w:val="008D4EBF"/>
    <w:rsid w:val="008D668D"/>
    <w:rsid w:val="008E2796"/>
    <w:rsid w:val="008E297C"/>
    <w:rsid w:val="008E3233"/>
    <w:rsid w:val="008E36BA"/>
    <w:rsid w:val="008E4977"/>
    <w:rsid w:val="008F76B3"/>
    <w:rsid w:val="00900753"/>
    <w:rsid w:val="0090195B"/>
    <w:rsid w:val="00912424"/>
    <w:rsid w:val="00912A6B"/>
    <w:rsid w:val="00920F6B"/>
    <w:rsid w:val="00921B01"/>
    <w:rsid w:val="00922917"/>
    <w:rsid w:val="00922981"/>
    <w:rsid w:val="00923EEC"/>
    <w:rsid w:val="0092514B"/>
    <w:rsid w:val="00927A49"/>
    <w:rsid w:val="00930B3B"/>
    <w:rsid w:val="009328C7"/>
    <w:rsid w:val="009341DC"/>
    <w:rsid w:val="00935B9F"/>
    <w:rsid w:val="00937A13"/>
    <w:rsid w:val="0094014A"/>
    <w:rsid w:val="00943164"/>
    <w:rsid w:val="009476A4"/>
    <w:rsid w:val="00950DC8"/>
    <w:rsid w:val="00951D60"/>
    <w:rsid w:val="00952251"/>
    <w:rsid w:val="009534C2"/>
    <w:rsid w:val="009551A0"/>
    <w:rsid w:val="00956246"/>
    <w:rsid w:val="00962926"/>
    <w:rsid w:val="00967F8B"/>
    <w:rsid w:val="00970F3C"/>
    <w:rsid w:val="009714C6"/>
    <w:rsid w:val="00973ECF"/>
    <w:rsid w:val="00975628"/>
    <w:rsid w:val="00975BDB"/>
    <w:rsid w:val="00984947"/>
    <w:rsid w:val="009871E3"/>
    <w:rsid w:val="0098763B"/>
    <w:rsid w:val="0099031C"/>
    <w:rsid w:val="0099098A"/>
    <w:rsid w:val="00992E49"/>
    <w:rsid w:val="00994E94"/>
    <w:rsid w:val="00997112"/>
    <w:rsid w:val="0099762E"/>
    <w:rsid w:val="009A6C48"/>
    <w:rsid w:val="009A6FFD"/>
    <w:rsid w:val="009B4016"/>
    <w:rsid w:val="009B677A"/>
    <w:rsid w:val="009B747F"/>
    <w:rsid w:val="009C12E8"/>
    <w:rsid w:val="009C55D7"/>
    <w:rsid w:val="009D3D87"/>
    <w:rsid w:val="009D710C"/>
    <w:rsid w:val="009E00F7"/>
    <w:rsid w:val="009E2900"/>
    <w:rsid w:val="009E6AE6"/>
    <w:rsid w:val="009F151A"/>
    <w:rsid w:val="009F1F22"/>
    <w:rsid w:val="009F569F"/>
    <w:rsid w:val="009F6FFA"/>
    <w:rsid w:val="009F7329"/>
    <w:rsid w:val="009F73DF"/>
    <w:rsid w:val="00A013A4"/>
    <w:rsid w:val="00A046DC"/>
    <w:rsid w:val="00A04C13"/>
    <w:rsid w:val="00A0538B"/>
    <w:rsid w:val="00A05D53"/>
    <w:rsid w:val="00A07ECE"/>
    <w:rsid w:val="00A128CC"/>
    <w:rsid w:val="00A16491"/>
    <w:rsid w:val="00A179EF"/>
    <w:rsid w:val="00A21505"/>
    <w:rsid w:val="00A2216B"/>
    <w:rsid w:val="00A2349B"/>
    <w:rsid w:val="00A244B2"/>
    <w:rsid w:val="00A25853"/>
    <w:rsid w:val="00A2593C"/>
    <w:rsid w:val="00A30B33"/>
    <w:rsid w:val="00A31BB3"/>
    <w:rsid w:val="00A3289D"/>
    <w:rsid w:val="00A3725A"/>
    <w:rsid w:val="00A4005F"/>
    <w:rsid w:val="00A41623"/>
    <w:rsid w:val="00A44607"/>
    <w:rsid w:val="00A4572D"/>
    <w:rsid w:val="00A579C3"/>
    <w:rsid w:val="00A579CA"/>
    <w:rsid w:val="00A643E1"/>
    <w:rsid w:val="00A65318"/>
    <w:rsid w:val="00A65370"/>
    <w:rsid w:val="00A66281"/>
    <w:rsid w:val="00A71002"/>
    <w:rsid w:val="00A74F8F"/>
    <w:rsid w:val="00A77F22"/>
    <w:rsid w:val="00A86025"/>
    <w:rsid w:val="00A9043A"/>
    <w:rsid w:val="00A93894"/>
    <w:rsid w:val="00A97D99"/>
    <w:rsid w:val="00AA36F8"/>
    <w:rsid w:val="00AA58E8"/>
    <w:rsid w:val="00AA6CDE"/>
    <w:rsid w:val="00AB0484"/>
    <w:rsid w:val="00AB0A6D"/>
    <w:rsid w:val="00AC073E"/>
    <w:rsid w:val="00AC2842"/>
    <w:rsid w:val="00AC338B"/>
    <w:rsid w:val="00AC40CD"/>
    <w:rsid w:val="00AC458E"/>
    <w:rsid w:val="00AC4BBD"/>
    <w:rsid w:val="00AC740D"/>
    <w:rsid w:val="00AD1386"/>
    <w:rsid w:val="00AD20F5"/>
    <w:rsid w:val="00AD317F"/>
    <w:rsid w:val="00AD5592"/>
    <w:rsid w:val="00AE1FDB"/>
    <w:rsid w:val="00AE238A"/>
    <w:rsid w:val="00AE3B34"/>
    <w:rsid w:val="00AE49A8"/>
    <w:rsid w:val="00AE62DF"/>
    <w:rsid w:val="00AE722F"/>
    <w:rsid w:val="00AF0D41"/>
    <w:rsid w:val="00AF5D0C"/>
    <w:rsid w:val="00B04485"/>
    <w:rsid w:val="00B0506B"/>
    <w:rsid w:val="00B05768"/>
    <w:rsid w:val="00B0625B"/>
    <w:rsid w:val="00B171BB"/>
    <w:rsid w:val="00B17CE9"/>
    <w:rsid w:val="00B20FC7"/>
    <w:rsid w:val="00B234DD"/>
    <w:rsid w:val="00B2660F"/>
    <w:rsid w:val="00B27627"/>
    <w:rsid w:val="00B31F6A"/>
    <w:rsid w:val="00B32CA0"/>
    <w:rsid w:val="00B355ED"/>
    <w:rsid w:val="00B36BEE"/>
    <w:rsid w:val="00B4032F"/>
    <w:rsid w:val="00B435E1"/>
    <w:rsid w:val="00B43D35"/>
    <w:rsid w:val="00B44FF9"/>
    <w:rsid w:val="00B5362F"/>
    <w:rsid w:val="00B555EB"/>
    <w:rsid w:val="00B61146"/>
    <w:rsid w:val="00B61694"/>
    <w:rsid w:val="00B61A7F"/>
    <w:rsid w:val="00B62A59"/>
    <w:rsid w:val="00B7051C"/>
    <w:rsid w:val="00B70B54"/>
    <w:rsid w:val="00B80328"/>
    <w:rsid w:val="00B8072B"/>
    <w:rsid w:val="00B814F2"/>
    <w:rsid w:val="00B81845"/>
    <w:rsid w:val="00B821C2"/>
    <w:rsid w:val="00B82517"/>
    <w:rsid w:val="00B84D92"/>
    <w:rsid w:val="00B86A59"/>
    <w:rsid w:val="00B872CA"/>
    <w:rsid w:val="00B87310"/>
    <w:rsid w:val="00B92B68"/>
    <w:rsid w:val="00B92FCB"/>
    <w:rsid w:val="00B93C97"/>
    <w:rsid w:val="00BA0E93"/>
    <w:rsid w:val="00BA3846"/>
    <w:rsid w:val="00BA6E12"/>
    <w:rsid w:val="00BB3C23"/>
    <w:rsid w:val="00BB54D1"/>
    <w:rsid w:val="00BC0231"/>
    <w:rsid w:val="00BC1129"/>
    <w:rsid w:val="00BC1502"/>
    <w:rsid w:val="00BC1C13"/>
    <w:rsid w:val="00BC6BC5"/>
    <w:rsid w:val="00BC7F15"/>
    <w:rsid w:val="00BD1338"/>
    <w:rsid w:val="00BD42E0"/>
    <w:rsid w:val="00BD5D9F"/>
    <w:rsid w:val="00BD75D4"/>
    <w:rsid w:val="00BE104D"/>
    <w:rsid w:val="00BE631E"/>
    <w:rsid w:val="00BE6894"/>
    <w:rsid w:val="00BE7452"/>
    <w:rsid w:val="00BE79FD"/>
    <w:rsid w:val="00BE7D91"/>
    <w:rsid w:val="00BF0EDF"/>
    <w:rsid w:val="00BF1FBD"/>
    <w:rsid w:val="00BF230B"/>
    <w:rsid w:val="00BF3609"/>
    <w:rsid w:val="00BF4328"/>
    <w:rsid w:val="00BF6E73"/>
    <w:rsid w:val="00BF7D3B"/>
    <w:rsid w:val="00C039EB"/>
    <w:rsid w:val="00C058AF"/>
    <w:rsid w:val="00C068CA"/>
    <w:rsid w:val="00C13E39"/>
    <w:rsid w:val="00C1429A"/>
    <w:rsid w:val="00C15263"/>
    <w:rsid w:val="00C15AE3"/>
    <w:rsid w:val="00C265D1"/>
    <w:rsid w:val="00C27107"/>
    <w:rsid w:val="00C308FD"/>
    <w:rsid w:val="00C30B51"/>
    <w:rsid w:val="00C30CBC"/>
    <w:rsid w:val="00C32187"/>
    <w:rsid w:val="00C327F0"/>
    <w:rsid w:val="00C32EBC"/>
    <w:rsid w:val="00C33175"/>
    <w:rsid w:val="00C341AF"/>
    <w:rsid w:val="00C342EF"/>
    <w:rsid w:val="00C46603"/>
    <w:rsid w:val="00C50F9B"/>
    <w:rsid w:val="00C52F0E"/>
    <w:rsid w:val="00C54259"/>
    <w:rsid w:val="00C54B84"/>
    <w:rsid w:val="00C5506B"/>
    <w:rsid w:val="00C609E1"/>
    <w:rsid w:val="00C618A2"/>
    <w:rsid w:val="00C647C8"/>
    <w:rsid w:val="00C6486E"/>
    <w:rsid w:val="00C65DEA"/>
    <w:rsid w:val="00C65EBD"/>
    <w:rsid w:val="00C677A2"/>
    <w:rsid w:val="00C80BC6"/>
    <w:rsid w:val="00C82881"/>
    <w:rsid w:val="00C84F5F"/>
    <w:rsid w:val="00C86A08"/>
    <w:rsid w:val="00C86B3A"/>
    <w:rsid w:val="00C90E5A"/>
    <w:rsid w:val="00C91659"/>
    <w:rsid w:val="00C9361C"/>
    <w:rsid w:val="00C97E92"/>
    <w:rsid w:val="00CA0AD2"/>
    <w:rsid w:val="00CA2187"/>
    <w:rsid w:val="00CA386D"/>
    <w:rsid w:val="00CA477E"/>
    <w:rsid w:val="00CA5676"/>
    <w:rsid w:val="00CA6416"/>
    <w:rsid w:val="00CB56D6"/>
    <w:rsid w:val="00CB5B9A"/>
    <w:rsid w:val="00CB68E7"/>
    <w:rsid w:val="00CB7CB7"/>
    <w:rsid w:val="00CC4602"/>
    <w:rsid w:val="00CC4D6D"/>
    <w:rsid w:val="00CD16EF"/>
    <w:rsid w:val="00CD22C2"/>
    <w:rsid w:val="00CD2315"/>
    <w:rsid w:val="00CD6B1A"/>
    <w:rsid w:val="00CD70E4"/>
    <w:rsid w:val="00CE213F"/>
    <w:rsid w:val="00CE3603"/>
    <w:rsid w:val="00CE5C52"/>
    <w:rsid w:val="00CE5EDD"/>
    <w:rsid w:val="00D01A29"/>
    <w:rsid w:val="00D03ACC"/>
    <w:rsid w:val="00D07D2C"/>
    <w:rsid w:val="00D12C9B"/>
    <w:rsid w:val="00D16803"/>
    <w:rsid w:val="00D203FE"/>
    <w:rsid w:val="00D23F40"/>
    <w:rsid w:val="00D262ED"/>
    <w:rsid w:val="00D32A0B"/>
    <w:rsid w:val="00D355BB"/>
    <w:rsid w:val="00D378E2"/>
    <w:rsid w:val="00D401A6"/>
    <w:rsid w:val="00D4366B"/>
    <w:rsid w:val="00D436A5"/>
    <w:rsid w:val="00D43C70"/>
    <w:rsid w:val="00D43E50"/>
    <w:rsid w:val="00D54A2A"/>
    <w:rsid w:val="00D55A45"/>
    <w:rsid w:val="00D574A1"/>
    <w:rsid w:val="00D6310B"/>
    <w:rsid w:val="00D63608"/>
    <w:rsid w:val="00D646A0"/>
    <w:rsid w:val="00D71129"/>
    <w:rsid w:val="00D72689"/>
    <w:rsid w:val="00D77EC6"/>
    <w:rsid w:val="00D81E2A"/>
    <w:rsid w:val="00D839BE"/>
    <w:rsid w:val="00D8524F"/>
    <w:rsid w:val="00D85E1B"/>
    <w:rsid w:val="00D929A6"/>
    <w:rsid w:val="00D94394"/>
    <w:rsid w:val="00D95138"/>
    <w:rsid w:val="00D95F83"/>
    <w:rsid w:val="00D9737B"/>
    <w:rsid w:val="00D97F0D"/>
    <w:rsid w:val="00DA0B25"/>
    <w:rsid w:val="00DB1435"/>
    <w:rsid w:val="00DB2122"/>
    <w:rsid w:val="00DC0838"/>
    <w:rsid w:val="00DC2D93"/>
    <w:rsid w:val="00DC32FF"/>
    <w:rsid w:val="00DD1F90"/>
    <w:rsid w:val="00DD3B4A"/>
    <w:rsid w:val="00DD4E46"/>
    <w:rsid w:val="00DD6B00"/>
    <w:rsid w:val="00DE223C"/>
    <w:rsid w:val="00DE7462"/>
    <w:rsid w:val="00DF28FE"/>
    <w:rsid w:val="00DF6F98"/>
    <w:rsid w:val="00DF7182"/>
    <w:rsid w:val="00E001D6"/>
    <w:rsid w:val="00E008CD"/>
    <w:rsid w:val="00E052B2"/>
    <w:rsid w:val="00E14283"/>
    <w:rsid w:val="00E14699"/>
    <w:rsid w:val="00E14E67"/>
    <w:rsid w:val="00E14E71"/>
    <w:rsid w:val="00E15F4C"/>
    <w:rsid w:val="00E17482"/>
    <w:rsid w:val="00E1783C"/>
    <w:rsid w:val="00E21D3B"/>
    <w:rsid w:val="00E227CE"/>
    <w:rsid w:val="00E2564B"/>
    <w:rsid w:val="00E2583F"/>
    <w:rsid w:val="00E2604A"/>
    <w:rsid w:val="00E273FA"/>
    <w:rsid w:val="00E44DCF"/>
    <w:rsid w:val="00E4513D"/>
    <w:rsid w:val="00E51504"/>
    <w:rsid w:val="00E52BE6"/>
    <w:rsid w:val="00E558B5"/>
    <w:rsid w:val="00E62040"/>
    <w:rsid w:val="00E62137"/>
    <w:rsid w:val="00E63C9A"/>
    <w:rsid w:val="00E63F01"/>
    <w:rsid w:val="00E65BCC"/>
    <w:rsid w:val="00E66453"/>
    <w:rsid w:val="00E6726D"/>
    <w:rsid w:val="00E70DC7"/>
    <w:rsid w:val="00E72546"/>
    <w:rsid w:val="00E75F8E"/>
    <w:rsid w:val="00E77833"/>
    <w:rsid w:val="00E80B14"/>
    <w:rsid w:val="00E8775B"/>
    <w:rsid w:val="00E94E19"/>
    <w:rsid w:val="00EA1DFC"/>
    <w:rsid w:val="00EA327A"/>
    <w:rsid w:val="00EA5EDF"/>
    <w:rsid w:val="00EA6287"/>
    <w:rsid w:val="00EA6FA7"/>
    <w:rsid w:val="00EC4382"/>
    <w:rsid w:val="00EC720C"/>
    <w:rsid w:val="00EC73B4"/>
    <w:rsid w:val="00ED1629"/>
    <w:rsid w:val="00EE14D2"/>
    <w:rsid w:val="00EE359E"/>
    <w:rsid w:val="00EE4DD9"/>
    <w:rsid w:val="00EE59B4"/>
    <w:rsid w:val="00EF0CBA"/>
    <w:rsid w:val="00EF1125"/>
    <w:rsid w:val="00EF1BAC"/>
    <w:rsid w:val="00EF21BF"/>
    <w:rsid w:val="00EF270B"/>
    <w:rsid w:val="00EF2AFA"/>
    <w:rsid w:val="00F01F8A"/>
    <w:rsid w:val="00F0256E"/>
    <w:rsid w:val="00F06474"/>
    <w:rsid w:val="00F074A4"/>
    <w:rsid w:val="00F142FB"/>
    <w:rsid w:val="00F14AC5"/>
    <w:rsid w:val="00F20595"/>
    <w:rsid w:val="00F22119"/>
    <w:rsid w:val="00F24A0A"/>
    <w:rsid w:val="00F24CAD"/>
    <w:rsid w:val="00F2561A"/>
    <w:rsid w:val="00F333DF"/>
    <w:rsid w:val="00F34B04"/>
    <w:rsid w:val="00F3663D"/>
    <w:rsid w:val="00F375CD"/>
    <w:rsid w:val="00F45006"/>
    <w:rsid w:val="00F53A1E"/>
    <w:rsid w:val="00F55371"/>
    <w:rsid w:val="00F57589"/>
    <w:rsid w:val="00F6188F"/>
    <w:rsid w:val="00F64487"/>
    <w:rsid w:val="00F6573D"/>
    <w:rsid w:val="00F67C09"/>
    <w:rsid w:val="00F708BC"/>
    <w:rsid w:val="00F71FB9"/>
    <w:rsid w:val="00F73F3C"/>
    <w:rsid w:val="00F74DCD"/>
    <w:rsid w:val="00F74F41"/>
    <w:rsid w:val="00F77FBA"/>
    <w:rsid w:val="00F826F4"/>
    <w:rsid w:val="00F84537"/>
    <w:rsid w:val="00F93445"/>
    <w:rsid w:val="00F952A7"/>
    <w:rsid w:val="00F95F49"/>
    <w:rsid w:val="00F9689F"/>
    <w:rsid w:val="00F96E59"/>
    <w:rsid w:val="00F976D8"/>
    <w:rsid w:val="00FA39F8"/>
    <w:rsid w:val="00FA5872"/>
    <w:rsid w:val="00FA7C67"/>
    <w:rsid w:val="00FB09C2"/>
    <w:rsid w:val="00FB163F"/>
    <w:rsid w:val="00FB2C70"/>
    <w:rsid w:val="00FB342D"/>
    <w:rsid w:val="00FB3EE1"/>
    <w:rsid w:val="00FB4A32"/>
    <w:rsid w:val="00FC0229"/>
    <w:rsid w:val="00FC3696"/>
    <w:rsid w:val="00FD0F14"/>
    <w:rsid w:val="00FD4B21"/>
    <w:rsid w:val="00FD625A"/>
    <w:rsid w:val="00FD7C4E"/>
    <w:rsid w:val="00FE021C"/>
    <w:rsid w:val="00FE08F4"/>
    <w:rsid w:val="00FE77E4"/>
    <w:rsid w:val="00FF0922"/>
    <w:rsid w:val="00FF0FC3"/>
    <w:rsid w:val="00FF4856"/>
    <w:rsid w:val="00FF5776"/>
    <w:rsid w:val="00FF6DF7"/>
    <w:rsid w:val="00FF6EDD"/>
    <w:rsid w:val="01207395"/>
    <w:rsid w:val="01331C9F"/>
    <w:rsid w:val="059C5ABF"/>
    <w:rsid w:val="0A2874C3"/>
    <w:rsid w:val="0B123E75"/>
    <w:rsid w:val="0D7E6D0D"/>
    <w:rsid w:val="0DEE79A6"/>
    <w:rsid w:val="0E1864AE"/>
    <w:rsid w:val="172F5721"/>
    <w:rsid w:val="197149A4"/>
    <w:rsid w:val="1AC92A0A"/>
    <w:rsid w:val="1BCD7C5B"/>
    <w:rsid w:val="1C8574A0"/>
    <w:rsid w:val="20D15D3B"/>
    <w:rsid w:val="25334E7A"/>
    <w:rsid w:val="272D3EAD"/>
    <w:rsid w:val="275622A4"/>
    <w:rsid w:val="27DB16C6"/>
    <w:rsid w:val="2A9F70B1"/>
    <w:rsid w:val="2BD001FB"/>
    <w:rsid w:val="2D4A20C6"/>
    <w:rsid w:val="2FDC1898"/>
    <w:rsid w:val="2FFD7152"/>
    <w:rsid w:val="379E7E70"/>
    <w:rsid w:val="37A26C5B"/>
    <w:rsid w:val="38DC0BD1"/>
    <w:rsid w:val="39D65679"/>
    <w:rsid w:val="3A6637CF"/>
    <w:rsid w:val="3B3924CF"/>
    <w:rsid w:val="3C1E0CB3"/>
    <w:rsid w:val="3CCA1CF0"/>
    <w:rsid w:val="3EB71C89"/>
    <w:rsid w:val="42C25EF2"/>
    <w:rsid w:val="42DC50E2"/>
    <w:rsid w:val="439A277E"/>
    <w:rsid w:val="47607A01"/>
    <w:rsid w:val="4A284F25"/>
    <w:rsid w:val="4C7B18E0"/>
    <w:rsid w:val="4E8B5B16"/>
    <w:rsid w:val="4ECF3489"/>
    <w:rsid w:val="4FE004B6"/>
    <w:rsid w:val="50AC29DF"/>
    <w:rsid w:val="52CB18DC"/>
    <w:rsid w:val="54AC7D3A"/>
    <w:rsid w:val="557F03C0"/>
    <w:rsid w:val="5B492C85"/>
    <w:rsid w:val="5BBE6AE1"/>
    <w:rsid w:val="5BFD557C"/>
    <w:rsid w:val="65D34C8B"/>
    <w:rsid w:val="66285521"/>
    <w:rsid w:val="675631E9"/>
    <w:rsid w:val="67610B0E"/>
    <w:rsid w:val="67A51780"/>
    <w:rsid w:val="68881D41"/>
    <w:rsid w:val="6E3C7349"/>
    <w:rsid w:val="7120266D"/>
    <w:rsid w:val="71EA4049"/>
    <w:rsid w:val="75B6502A"/>
    <w:rsid w:val="7661051B"/>
    <w:rsid w:val="77A07AF2"/>
    <w:rsid w:val="7BD11B9E"/>
    <w:rsid w:val="7BD16E44"/>
    <w:rsid w:val="7F33105B"/>
    <w:rsid w:val="7FBB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qFormat="1" w:uiPriority="99" w:semiHidden="0"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77"/>
    <w:unhideWhenUsed/>
    <w:qFormat/>
    <w:uiPriority w:val="9"/>
    <w:pPr>
      <w:keepNext/>
      <w:keepLines/>
      <w:spacing w:before="260" w:after="260" w:line="416" w:lineRule="auto"/>
      <w:outlineLvl w:val="2"/>
    </w:pPr>
    <w:rPr>
      <w:b/>
      <w:bCs/>
      <w:sz w:val="32"/>
      <w:szCs w:val="32"/>
    </w:rPr>
  </w:style>
  <w:style w:type="paragraph" w:styleId="6">
    <w:name w:val="heading 6"/>
    <w:basedOn w:val="1"/>
    <w:next w:val="1"/>
    <w:link w:val="42"/>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Plain Text"/>
    <w:basedOn w:val="1"/>
    <w:link w:val="44"/>
    <w:qFormat/>
    <w:uiPriority w:val="0"/>
    <w:pPr>
      <w:adjustRightInd w:val="0"/>
      <w:spacing w:line="360" w:lineRule="atLeast"/>
      <w:textAlignment w:val="baseline"/>
    </w:pPr>
    <w:rPr>
      <w:rFonts w:ascii="宋体" w:hAnsi="Courier New" w:cs="宋体"/>
      <w:szCs w:val="21"/>
    </w:rPr>
  </w:style>
  <w:style w:type="paragraph" w:styleId="7">
    <w:name w:val="Note Heading"/>
    <w:basedOn w:val="1"/>
    <w:next w:val="1"/>
    <w:unhideWhenUsed/>
    <w:qFormat/>
    <w:uiPriority w:val="99"/>
    <w:rPr>
      <w:rFonts w:ascii="宋体" w:hAnsi="宋体" w:cs="宋体"/>
    </w:rPr>
  </w:style>
  <w:style w:type="paragraph" w:styleId="8">
    <w:name w:val="Normal Indent"/>
    <w:basedOn w:val="1"/>
    <w:link w:val="60"/>
    <w:qFormat/>
    <w:uiPriority w:val="0"/>
    <w:pPr>
      <w:adjustRightInd w:val="0"/>
      <w:spacing w:line="360" w:lineRule="atLeast"/>
      <w:ind w:firstLine="420"/>
      <w:textAlignment w:val="baseline"/>
    </w:pPr>
    <w:rPr>
      <w:rFonts w:asciiTheme="minorHAnsi" w:hAnsiTheme="minorHAnsi" w:cstheme="minorBidi"/>
      <w:sz w:val="28"/>
      <w:szCs w:val="22"/>
    </w:rPr>
  </w:style>
  <w:style w:type="paragraph" w:styleId="9">
    <w:name w:val="Document Map"/>
    <w:basedOn w:val="1"/>
    <w:link w:val="80"/>
    <w:unhideWhenUsed/>
    <w:qFormat/>
    <w:uiPriority w:val="99"/>
    <w:rPr>
      <w:rFonts w:ascii="宋体"/>
      <w:sz w:val="18"/>
      <w:szCs w:val="18"/>
    </w:rPr>
  </w:style>
  <w:style w:type="paragraph" w:styleId="10">
    <w:name w:val="annotation text"/>
    <w:basedOn w:val="1"/>
    <w:link w:val="86"/>
    <w:qFormat/>
    <w:uiPriority w:val="0"/>
    <w:pPr>
      <w:adjustRightInd w:val="0"/>
      <w:spacing w:line="360" w:lineRule="atLeast"/>
      <w:jc w:val="left"/>
      <w:textAlignment w:val="baseline"/>
    </w:pPr>
    <w:rPr>
      <w:rFonts w:asciiTheme="minorHAnsi" w:hAnsiTheme="minorHAnsi" w:cstheme="minorBidi"/>
      <w:szCs w:val="21"/>
    </w:rPr>
  </w:style>
  <w:style w:type="paragraph" w:styleId="11">
    <w:name w:val="Body Text"/>
    <w:basedOn w:val="1"/>
    <w:next w:val="12"/>
    <w:link w:val="51"/>
    <w:qFormat/>
    <w:uiPriority w:val="0"/>
    <w:pPr>
      <w:adjustRightInd w:val="0"/>
      <w:spacing w:line="360" w:lineRule="atLeast"/>
      <w:jc w:val="center"/>
      <w:textAlignment w:val="baseline"/>
    </w:pPr>
    <w:rPr>
      <w:rFonts w:eastAsia="Times New Roman"/>
      <w:szCs w:val="21"/>
    </w:rPr>
  </w:style>
  <w:style w:type="paragraph" w:styleId="12">
    <w:name w:val="toc 5"/>
    <w:basedOn w:val="1"/>
    <w:next w:val="1"/>
    <w:unhideWhenUsed/>
    <w:qFormat/>
    <w:uiPriority w:val="39"/>
    <w:pPr>
      <w:ind w:left="1120"/>
      <w:jc w:val="left"/>
    </w:pPr>
    <w:rPr>
      <w:sz w:val="18"/>
      <w:szCs w:val="18"/>
    </w:rPr>
  </w:style>
  <w:style w:type="paragraph" w:styleId="13">
    <w:name w:val="Body Text Indent"/>
    <w:basedOn w:val="1"/>
    <w:link w:val="65"/>
    <w:unhideWhenUsed/>
    <w:qFormat/>
    <w:uiPriority w:val="99"/>
    <w:pPr>
      <w:spacing w:after="120"/>
      <w:ind w:left="420" w:leftChars="200"/>
    </w:p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Body Text Indent 2"/>
    <w:basedOn w:val="1"/>
    <w:link w:val="88"/>
    <w:unhideWhenUsed/>
    <w:qFormat/>
    <w:uiPriority w:val="99"/>
    <w:pPr>
      <w:spacing w:after="120" w:line="480" w:lineRule="auto"/>
      <w:ind w:left="420" w:leftChars="200"/>
    </w:pPr>
  </w:style>
  <w:style w:type="paragraph" w:styleId="16">
    <w:name w:val="Balloon Text"/>
    <w:basedOn w:val="1"/>
    <w:link w:val="41"/>
    <w:unhideWhenUsed/>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index heading"/>
    <w:basedOn w:val="1"/>
    <w:next w:val="21"/>
    <w:unhideWhenUsed/>
    <w:qFormat/>
    <w:uiPriority w:val="99"/>
    <w:rPr>
      <w:rFonts w:ascii="Arial" w:hAnsi="Arial" w:cs="Arial"/>
      <w:b/>
      <w:bCs/>
    </w:rPr>
  </w:style>
  <w:style w:type="paragraph" w:styleId="21">
    <w:name w:val="index 1"/>
    <w:basedOn w:val="1"/>
    <w:next w:val="1"/>
    <w:unhideWhenUsed/>
    <w:qFormat/>
    <w:uiPriority w:val="99"/>
    <w:pPr>
      <w:spacing w:line="240" w:lineRule="atLeast"/>
      <w:jc w:val="center"/>
    </w:pPr>
    <w:rPr>
      <w:rFonts w:hAnsi="宋体"/>
    </w:rPr>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Normal (Web)"/>
    <w:basedOn w:val="1"/>
    <w:link w:val="38"/>
    <w:qFormat/>
    <w:uiPriority w:val="0"/>
    <w:pPr>
      <w:widowControl/>
      <w:spacing w:before="100" w:beforeAutospacing="1" w:after="100" w:afterAutospacing="1"/>
      <w:jc w:val="left"/>
    </w:pPr>
    <w:rPr>
      <w:rFonts w:ascii="宋体" w:hAnsi="宋体"/>
      <w:kern w:val="0"/>
      <w:sz w:val="24"/>
    </w:rPr>
  </w:style>
  <w:style w:type="paragraph" w:styleId="25">
    <w:name w:val="annotation subject"/>
    <w:basedOn w:val="10"/>
    <w:next w:val="10"/>
    <w:link w:val="93"/>
    <w:unhideWhenUsed/>
    <w:qFormat/>
    <w:uiPriority w:val="99"/>
    <w:pPr>
      <w:adjustRightInd/>
      <w:spacing w:line="240" w:lineRule="auto"/>
      <w:textAlignment w:val="auto"/>
    </w:pPr>
    <w:rPr>
      <w:rFonts w:ascii="Times New Roman" w:hAnsi="Times New Roman" w:cs="Times New Roman"/>
      <w:b/>
      <w:bCs/>
      <w:szCs w:val="24"/>
    </w:rPr>
  </w:style>
  <w:style w:type="paragraph" w:styleId="26">
    <w:name w:val="Body Text First Indent"/>
    <w:basedOn w:val="11"/>
    <w:next w:val="1"/>
    <w:link w:val="68"/>
    <w:unhideWhenUsed/>
    <w:qFormat/>
    <w:uiPriority w:val="99"/>
    <w:pPr>
      <w:adjustRightInd/>
      <w:spacing w:after="120" w:line="240" w:lineRule="auto"/>
      <w:ind w:firstLine="420" w:firstLineChars="100"/>
      <w:jc w:val="both"/>
      <w:textAlignment w:val="auto"/>
    </w:pPr>
    <w:rPr>
      <w:rFonts w:eastAsia="宋体"/>
      <w:szCs w:val="24"/>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Emphasis"/>
    <w:basedOn w:val="29"/>
    <w:qFormat/>
    <w:uiPriority w:val="20"/>
    <w:rPr>
      <w:i/>
      <w:iCs/>
    </w:rPr>
  </w:style>
  <w:style w:type="character" w:styleId="32">
    <w:name w:val="Hyperlink"/>
    <w:basedOn w:val="29"/>
    <w:unhideWhenUsed/>
    <w:qFormat/>
    <w:uiPriority w:val="99"/>
    <w:rPr>
      <w:color w:val="0000FF" w:themeColor="hyperlink"/>
      <w:u w:val="single"/>
    </w:rPr>
  </w:style>
  <w:style w:type="character" w:styleId="33">
    <w:name w:val="annotation reference"/>
    <w:qFormat/>
    <w:uiPriority w:val="0"/>
    <w:rPr>
      <w:sz w:val="21"/>
      <w:szCs w:val="21"/>
    </w:rPr>
  </w:style>
  <w:style w:type="paragraph" w:customStyle="1" w:styleId="34">
    <w:name w:val="Default"/>
    <w:next w:val="35"/>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样式1"/>
    <w:basedOn w:val="20"/>
    <w:next w:val="1"/>
    <w:qFormat/>
    <w:uiPriority w:val="0"/>
    <w:pPr>
      <w:adjustRightInd w:val="0"/>
      <w:spacing w:after="40" w:line="300" w:lineRule="atLeast"/>
      <w:jc w:val="center"/>
      <w:textAlignment w:val="baseline"/>
      <w:outlineLvl w:val="2"/>
    </w:pPr>
    <w:rPr>
      <w:rFonts w:eastAsia="楷体_GB2312"/>
      <w:szCs w:val="21"/>
    </w:rPr>
  </w:style>
  <w:style w:type="character" w:customStyle="1" w:styleId="36">
    <w:name w:val="页眉 Char"/>
    <w:basedOn w:val="29"/>
    <w:link w:val="18"/>
    <w:qFormat/>
    <w:uiPriority w:val="99"/>
    <w:rPr>
      <w:sz w:val="18"/>
      <w:szCs w:val="18"/>
    </w:rPr>
  </w:style>
  <w:style w:type="character" w:customStyle="1" w:styleId="37">
    <w:name w:val="页脚 Char"/>
    <w:basedOn w:val="29"/>
    <w:link w:val="17"/>
    <w:qFormat/>
    <w:uiPriority w:val="99"/>
    <w:rPr>
      <w:sz w:val="18"/>
      <w:szCs w:val="18"/>
    </w:rPr>
  </w:style>
  <w:style w:type="character" w:customStyle="1" w:styleId="38">
    <w:name w:val="普通(网站) Char"/>
    <w:link w:val="24"/>
    <w:qFormat/>
    <w:locked/>
    <w:uiPriority w:val="0"/>
    <w:rPr>
      <w:rFonts w:ascii="宋体" w:hAnsi="宋体" w:eastAsia="宋体" w:cs="Times New Roman"/>
      <w:kern w:val="0"/>
      <w:sz w:val="24"/>
      <w:szCs w:val="24"/>
    </w:rPr>
  </w:style>
  <w:style w:type="character" w:customStyle="1" w:styleId="39">
    <w:name w:val="标题 1 Char"/>
    <w:basedOn w:val="29"/>
    <w:link w:val="3"/>
    <w:qFormat/>
    <w:uiPriority w:val="9"/>
    <w:rPr>
      <w:rFonts w:ascii="Times New Roman" w:hAnsi="Times New Roman" w:eastAsia="宋体" w:cs="Times New Roman"/>
      <w:b/>
      <w:bCs/>
      <w:kern w:val="44"/>
      <w:sz w:val="44"/>
      <w:szCs w:val="44"/>
    </w:rPr>
  </w:style>
  <w:style w:type="paragraph" w:customStyle="1" w:styleId="40">
    <w:name w:val="目录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9"/>
    <w:link w:val="16"/>
    <w:semiHidden/>
    <w:qFormat/>
    <w:uiPriority w:val="99"/>
    <w:rPr>
      <w:rFonts w:ascii="Times New Roman" w:hAnsi="Times New Roman" w:eastAsia="宋体" w:cs="Times New Roman"/>
      <w:sz w:val="18"/>
      <w:szCs w:val="18"/>
    </w:rPr>
  </w:style>
  <w:style w:type="character" w:customStyle="1" w:styleId="42">
    <w:name w:val="标题 6 Char"/>
    <w:basedOn w:val="29"/>
    <w:link w:val="6"/>
    <w:semiHidden/>
    <w:qFormat/>
    <w:uiPriority w:val="9"/>
    <w:rPr>
      <w:rFonts w:asciiTheme="majorHAnsi" w:hAnsiTheme="majorHAnsi" w:eastAsiaTheme="majorEastAsia" w:cstheme="majorBidi"/>
      <w:b/>
      <w:bCs/>
      <w:sz w:val="24"/>
      <w:szCs w:val="24"/>
    </w:rPr>
  </w:style>
  <w:style w:type="paragraph" w:customStyle="1" w:styleId="43">
    <w:name w:val="列出段落1"/>
    <w:basedOn w:val="1"/>
    <w:qFormat/>
    <w:uiPriority w:val="34"/>
    <w:pPr>
      <w:ind w:firstLine="420" w:firstLineChars="200"/>
    </w:pPr>
  </w:style>
  <w:style w:type="character" w:customStyle="1" w:styleId="44">
    <w:name w:val="纯文本 Char"/>
    <w:link w:val="2"/>
    <w:qFormat/>
    <w:uiPriority w:val="0"/>
    <w:rPr>
      <w:rFonts w:ascii="宋体" w:hAnsi="Courier New" w:eastAsia="宋体" w:cs="宋体"/>
      <w:szCs w:val="21"/>
    </w:rPr>
  </w:style>
  <w:style w:type="character" w:customStyle="1" w:styleId="45">
    <w:name w:val="纯文本 Char1"/>
    <w:basedOn w:val="29"/>
    <w:semiHidden/>
    <w:qFormat/>
    <w:uiPriority w:val="99"/>
    <w:rPr>
      <w:rFonts w:ascii="宋体" w:hAnsi="Courier New" w:eastAsia="宋体" w:cs="Courier New"/>
      <w:szCs w:val="21"/>
    </w:rPr>
  </w:style>
  <w:style w:type="character" w:customStyle="1" w:styleId="46">
    <w:name w:val="报告表正文 Char"/>
    <w:link w:val="47"/>
    <w:qFormat/>
    <w:uiPriority w:val="0"/>
    <w:rPr>
      <w:rFonts w:hAnsi="宋体" w:eastAsia="宋体"/>
      <w:sz w:val="24"/>
      <w:szCs w:val="24"/>
      <w:lang w:bidi="en-US"/>
    </w:rPr>
  </w:style>
  <w:style w:type="paragraph" w:customStyle="1" w:styleId="47">
    <w:name w:val="报告表正文"/>
    <w:basedOn w:val="1"/>
    <w:link w:val="46"/>
    <w:qFormat/>
    <w:uiPriority w:val="0"/>
    <w:pPr>
      <w:widowControl/>
      <w:adjustRightInd w:val="0"/>
      <w:spacing w:line="460" w:lineRule="exact"/>
      <w:ind w:firstLine="480" w:firstLineChars="200"/>
      <w:jc w:val="left"/>
      <w:textAlignment w:val="baseline"/>
    </w:pPr>
    <w:rPr>
      <w:rFonts w:hAnsi="宋体" w:asciiTheme="minorHAnsi" w:cstheme="minorBidi"/>
      <w:sz w:val="24"/>
      <w:lang w:bidi="en-US"/>
    </w:rPr>
  </w:style>
  <w:style w:type="paragraph" w:customStyle="1" w:styleId="4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character" w:customStyle="1" w:styleId="49">
    <w:name w:val="表头样式1 Char1"/>
    <w:link w:val="50"/>
    <w:qFormat/>
    <w:uiPriority w:val="0"/>
    <w:rPr>
      <w:rFonts w:eastAsia="楷体_GB2312"/>
      <w:b/>
      <w:bCs/>
      <w:color w:val="000000"/>
      <w:sz w:val="24"/>
      <w:szCs w:val="24"/>
    </w:rPr>
  </w:style>
  <w:style w:type="paragraph" w:customStyle="1" w:styleId="50">
    <w:name w:val="表头样式1"/>
    <w:basedOn w:val="1"/>
    <w:link w:val="49"/>
    <w:qFormat/>
    <w:uiPriority w:val="0"/>
    <w:pPr>
      <w:autoSpaceDN w:val="0"/>
      <w:adjustRightInd w:val="0"/>
      <w:spacing w:line="360" w:lineRule="auto"/>
      <w:jc w:val="center"/>
      <w:textAlignment w:val="baseline"/>
    </w:pPr>
    <w:rPr>
      <w:rFonts w:eastAsia="楷体_GB2312" w:asciiTheme="minorHAnsi" w:hAnsiTheme="minorHAnsi" w:cstheme="minorBidi"/>
      <w:b/>
      <w:bCs/>
      <w:color w:val="000000"/>
      <w:sz w:val="24"/>
    </w:rPr>
  </w:style>
  <w:style w:type="character" w:customStyle="1" w:styleId="51">
    <w:name w:val="正文文本 Char"/>
    <w:basedOn w:val="29"/>
    <w:link w:val="11"/>
    <w:qFormat/>
    <w:uiPriority w:val="0"/>
    <w:rPr>
      <w:rFonts w:ascii="Times New Roman" w:hAnsi="Times New Roman" w:eastAsia="Times New Roman" w:cs="Times New Roman"/>
      <w:szCs w:val="21"/>
    </w:rPr>
  </w:style>
  <w:style w:type="character" w:customStyle="1" w:styleId="52">
    <w:name w:val="样式 小四 行距: 1.5 倍行距1 Char"/>
    <w:link w:val="53"/>
    <w:qFormat/>
    <w:uiPriority w:val="0"/>
    <w:rPr>
      <w:rFonts w:eastAsia="宋体" w:cs="宋体"/>
      <w:sz w:val="24"/>
    </w:rPr>
  </w:style>
  <w:style w:type="paragraph" w:customStyle="1" w:styleId="53">
    <w:name w:val="样式 小四 行距: 1.5 倍行距1"/>
    <w:basedOn w:val="1"/>
    <w:link w:val="52"/>
    <w:qFormat/>
    <w:uiPriority w:val="0"/>
    <w:pPr>
      <w:adjustRightInd w:val="0"/>
      <w:spacing w:line="360" w:lineRule="auto"/>
      <w:ind w:firstLine="480" w:firstLineChars="200"/>
      <w:textAlignment w:val="baseline"/>
    </w:pPr>
    <w:rPr>
      <w:rFonts w:cs="宋体" w:asciiTheme="minorHAnsi" w:hAnsiTheme="minorHAnsi"/>
      <w:sz w:val="24"/>
      <w:szCs w:val="22"/>
    </w:rPr>
  </w:style>
  <w:style w:type="paragraph" w:customStyle="1" w:styleId="54">
    <w:name w:val="表格5号1"/>
    <w:basedOn w:val="22"/>
    <w:next w:val="22"/>
    <w:qFormat/>
    <w:uiPriority w:val="30"/>
    <w:pPr>
      <w:widowControl/>
      <w:tabs>
        <w:tab w:val="right" w:pos="5142"/>
      </w:tabs>
      <w:adjustRightInd w:val="0"/>
      <w:spacing w:line="360" w:lineRule="atLeast"/>
      <w:ind w:left="0" w:firstLine="0" w:firstLineChars="0"/>
      <w:jc w:val="center"/>
      <w:textAlignment w:val="baseline"/>
    </w:pPr>
    <w:rPr>
      <w:rFonts w:eastAsia="Times New Roman"/>
      <w:kern w:val="0"/>
      <w:szCs w:val="21"/>
      <w:lang w:bidi="en-US"/>
    </w:rPr>
  </w:style>
  <w:style w:type="paragraph" w:customStyle="1" w:styleId="55">
    <w:name w:val="图形中文字"/>
    <w:basedOn w:val="1"/>
    <w:qFormat/>
    <w:uiPriority w:val="0"/>
    <w:pPr>
      <w:autoSpaceDE w:val="0"/>
      <w:autoSpaceDN w:val="0"/>
      <w:adjustRightInd w:val="0"/>
      <w:jc w:val="center"/>
    </w:pPr>
    <w:rPr>
      <w:rFonts w:ascii="宋体"/>
      <w:kern w:val="0"/>
      <w:sz w:val="24"/>
      <w:szCs w:val="20"/>
    </w:rPr>
  </w:style>
  <w:style w:type="character" w:customStyle="1" w:styleId="56">
    <w:name w:val="样式2 Char"/>
    <w:link w:val="57"/>
    <w:qFormat/>
    <w:uiPriority w:val="0"/>
    <w:rPr>
      <w:rFonts w:ascii="宋体"/>
      <w:sz w:val="26"/>
      <w:szCs w:val="21"/>
    </w:rPr>
  </w:style>
  <w:style w:type="paragraph" w:customStyle="1" w:styleId="57">
    <w:name w:val="样式2"/>
    <w:basedOn w:val="1"/>
    <w:link w:val="56"/>
    <w:qFormat/>
    <w:uiPriority w:val="0"/>
    <w:pPr>
      <w:autoSpaceDE w:val="0"/>
      <w:autoSpaceDN w:val="0"/>
      <w:adjustRightInd w:val="0"/>
      <w:spacing w:line="500" w:lineRule="exact"/>
      <w:jc w:val="left"/>
    </w:pPr>
    <w:rPr>
      <w:rFonts w:ascii="宋体" w:hAnsiTheme="minorHAnsi" w:eastAsiaTheme="minorEastAsia" w:cstheme="minorBidi"/>
      <w:sz w:val="26"/>
      <w:szCs w:val="21"/>
    </w:rPr>
  </w:style>
  <w:style w:type="character" w:customStyle="1" w:styleId="58">
    <w:name w:val="表内格式 Char"/>
    <w:link w:val="59"/>
    <w:qFormat/>
    <w:uiPriority w:val="0"/>
    <w:rPr>
      <w:rFonts w:ascii="宋体" w:hAnsi="宋体" w:eastAsia="宋体" w:cs="宋体"/>
      <w:szCs w:val="21"/>
    </w:rPr>
  </w:style>
  <w:style w:type="paragraph" w:customStyle="1" w:styleId="59">
    <w:name w:val="表内格式"/>
    <w:basedOn w:val="1"/>
    <w:link w:val="58"/>
    <w:qFormat/>
    <w:uiPriority w:val="0"/>
    <w:pPr>
      <w:adjustRightInd w:val="0"/>
      <w:spacing w:line="240" w:lineRule="atLeast"/>
      <w:jc w:val="center"/>
      <w:textAlignment w:val="baseline"/>
    </w:pPr>
    <w:rPr>
      <w:rFonts w:ascii="宋体" w:hAnsi="宋体" w:cs="宋体"/>
      <w:szCs w:val="21"/>
    </w:rPr>
  </w:style>
  <w:style w:type="character" w:customStyle="1" w:styleId="60">
    <w:name w:val="正文缩进 Char"/>
    <w:link w:val="8"/>
    <w:qFormat/>
    <w:uiPriority w:val="0"/>
    <w:rPr>
      <w:rFonts w:eastAsia="宋体"/>
      <w:sz w:val="28"/>
    </w:rPr>
  </w:style>
  <w:style w:type="paragraph" w:customStyle="1" w:styleId="61">
    <w:name w:val="样式 小四 行距: 1.5 倍行距"/>
    <w:basedOn w:val="1"/>
    <w:qFormat/>
    <w:uiPriority w:val="0"/>
    <w:pPr>
      <w:adjustRightInd w:val="0"/>
      <w:spacing w:line="360" w:lineRule="auto"/>
      <w:ind w:firstLine="540" w:firstLineChars="225"/>
      <w:textAlignment w:val="baseline"/>
    </w:pPr>
    <w:rPr>
      <w:rFonts w:eastAsia="Times New Roman" w:cs="宋体"/>
      <w:sz w:val="24"/>
      <w:szCs w:val="20"/>
    </w:rPr>
  </w:style>
  <w:style w:type="paragraph" w:customStyle="1" w:styleId="62">
    <w:name w:val="样式 正文缩进正文缩进2正文缩进 Char Char正文缩进 Char Char Char Char正文缩进 Char ..."/>
    <w:basedOn w:val="8"/>
    <w:qFormat/>
    <w:uiPriority w:val="0"/>
    <w:pPr>
      <w:adjustRightInd/>
      <w:spacing w:line="360" w:lineRule="auto"/>
      <w:ind w:firstLine="200" w:firstLineChars="200"/>
      <w:textAlignment w:val="auto"/>
    </w:pPr>
    <w:rPr>
      <w:rFonts w:ascii="Times New Roman" w:hAnsi="Times New Roman" w:cs="宋体"/>
      <w:sz w:val="24"/>
      <w:szCs w:val="20"/>
    </w:rPr>
  </w:style>
  <w:style w:type="paragraph" w:customStyle="1" w:styleId="63">
    <w:name w:val="简单回函地址"/>
    <w:basedOn w:val="1"/>
    <w:qFormat/>
    <w:uiPriority w:val="0"/>
    <w:rPr>
      <w:szCs w:val="20"/>
    </w:rPr>
  </w:style>
  <w:style w:type="character" w:customStyle="1" w:styleId="64">
    <w:name w:val="sidecatalog-dot5"/>
    <w:basedOn w:val="29"/>
    <w:qFormat/>
    <w:uiPriority w:val="0"/>
  </w:style>
  <w:style w:type="character" w:customStyle="1" w:styleId="65">
    <w:name w:val="正文文本缩进 Char"/>
    <w:basedOn w:val="29"/>
    <w:link w:val="13"/>
    <w:semiHidden/>
    <w:qFormat/>
    <w:uiPriority w:val="99"/>
    <w:rPr>
      <w:rFonts w:ascii="Times New Roman" w:hAnsi="Times New Roman" w:eastAsia="宋体" w:cs="Times New Roman"/>
      <w:szCs w:val="24"/>
    </w:rPr>
  </w:style>
  <w:style w:type="paragraph" w:customStyle="1" w:styleId="66">
    <w:name w:val="p0"/>
    <w:basedOn w:val="1"/>
    <w:qFormat/>
    <w:uiPriority w:val="0"/>
    <w:pPr>
      <w:widowControl/>
    </w:pPr>
    <w:rPr>
      <w:kern w:val="0"/>
      <w:szCs w:val="21"/>
    </w:rPr>
  </w:style>
  <w:style w:type="paragraph" w:customStyle="1" w:styleId="67">
    <w:name w:val="样式 (符号) 宋体 小四 行距: 1.5 倍行距"/>
    <w:basedOn w:val="1"/>
    <w:qFormat/>
    <w:uiPriority w:val="0"/>
    <w:pPr>
      <w:spacing w:line="360" w:lineRule="auto"/>
      <w:ind w:firstLine="480" w:firstLineChars="200"/>
    </w:pPr>
    <w:rPr>
      <w:rFonts w:hAnsi="宋体" w:cs="宋体"/>
      <w:sz w:val="24"/>
      <w:szCs w:val="20"/>
    </w:rPr>
  </w:style>
  <w:style w:type="character" w:customStyle="1" w:styleId="68">
    <w:name w:val="正文首行缩进 Char"/>
    <w:basedOn w:val="51"/>
    <w:link w:val="26"/>
    <w:semiHidden/>
    <w:qFormat/>
    <w:uiPriority w:val="99"/>
    <w:rPr>
      <w:rFonts w:ascii="Times New Roman" w:hAnsi="Times New Roman" w:eastAsia="宋体" w:cs="Times New Roman"/>
      <w:szCs w:val="24"/>
    </w:rPr>
  </w:style>
  <w:style w:type="paragraph" w:customStyle="1" w:styleId="69">
    <w:name w:val="正文（报告表）_"/>
    <w:basedOn w:val="1"/>
    <w:qFormat/>
    <w:uiPriority w:val="0"/>
    <w:pPr>
      <w:spacing w:line="400" w:lineRule="atLeast"/>
      <w:ind w:firstLine="200" w:firstLineChars="200"/>
    </w:pPr>
    <w:rPr>
      <w:sz w:val="24"/>
    </w:rPr>
  </w:style>
  <w:style w:type="paragraph" w:customStyle="1" w:styleId="70">
    <w:name w:val="Char Char Char Char Char Char Char Char Char Char Char Char Char Char Char Char Char Char Char Char Char Char Char Char Char Char Char Char Char Char Char Char Char1 Char Char Char Char"/>
    <w:basedOn w:val="1"/>
    <w:qFormat/>
    <w:uiPriority w:val="0"/>
    <w:pPr>
      <w:spacing w:line="360" w:lineRule="auto"/>
      <w:ind w:firstLine="200" w:firstLineChars="200"/>
    </w:pPr>
    <w:rPr>
      <w:rFonts w:cs="宋体"/>
      <w:sz w:val="24"/>
    </w:rPr>
  </w:style>
  <w:style w:type="character" w:customStyle="1" w:styleId="71">
    <w:name w:val="font01"/>
    <w:basedOn w:val="29"/>
    <w:qFormat/>
    <w:uiPriority w:val="0"/>
    <w:rPr>
      <w:rFonts w:hint="default" w:ascii="Times New Roman" w:hAnsi="Times New Roman" w:cs="Times New Roman"/>
      <w:color w:val="000000"/>
      <w:sz w:val="21"/>
      <w:szCs w:val="21"/>
      <w:u w:val="none"/>
    </w:rPr>
  </w:style>
  <w:style w:type="character" w:customStyle="1" w:styleId="72">
    <w:name w:val="font31"/>
    <w:basedOn w:val="29"/>
    <w:qFormat/>
    <w:uiPriority w:val="0"/>
    <w:rPr>
      <w:rFonts w:hint="eastAsia" w:ascii="宋体" w:hAnsi="宋体" w:eastAsia="宋体" w:cs="宋体"/>
      <w:color w:val="000000"/>
      <w:sz w:val="21"/>
      <w:szCs w:val="21"/>
      <w:u w:val="none"/>
    </w:rPr>
  </w:style>
  <w:style w:type="character" w:customStyle="1" w:styleId="73">
    <w:name w:val="font41"/>
    <w:basedOn w:val="29"/>
    <w:qFormat/>
    <w:uiPriority w:val="0"/>
    <w:rPr>
      <w:rFonts w:hint="default" w:ascii="Times New Roman" w:hAnsi="Times New Roman" w:cs="Times New Roman"/>
      <w:i/>
      <w:iCs/>
      <w:color w:val="000000"/>
      <w:sz w:val="21"/>
      <w:szCs w:val="21"/>
      <w:u w:val="none"/>
    </w:rPr>
  </w:style>
  <w:style w:type="paragraph" w:customStyle="1" w:styleId="74">
    <w:name w:val="表格"/>
    <w:basedOn w:val="1"/>
    <w:link w:val="75"/>
    <w:qFormat/>
    <w:uiPriority w:val="0"/>
    <w:pPr>
      <w:adjustRightInd w:val="0"/>
      <w:snapToGrid w:val="0"/>
      <w:spacing w:line="400" w:lineRule="exact"/>
    </w:pPr>
    <w:rPr>
      <w:rFonts w:eastAsia="Times New Roman"/>
      <w:kern w:val="0"/>
      <w:szCs w:val="20"/>
      <w:lang w:bidi="en-US"/>
    </w:rPr>
  </w:style>
  <w:style w:type="character" w:customStyle="1" w:styleId="75">
    <w:name w:val="表格 Char"/>
    <w:basedOn w:val="29"/>
    <w:link w:val="74"/>
    <w:qFormat/>
    <w:uiPriority w:val="0"/>
    <w:rPr>
      <w:rFonts w:ascii="Times New Roman" w:hAnsi="Times New Roman" w:eastAsia="Times New Roman" w:cs="Times New Roman"/>
      <w:kern w:val="0"/>
      <w:szCs w:val="20"/>
      <w:lang w:bidi="en-US"/>
    </w:rPr>
  </w:style>
  <w:style w:type="character" w:customStyle="1" w:styleId="76">
    <w:name w:val="正文缩进 Char1"/>
    <w:qFormat/>
    <w:uiPriority w:val="0"/>
    <w:rPr>
      <w:rFonts w:eastAsia="宋体"/>
      <w:kern w:val="2"/>
      <w:sz w:val="21"/>
      <w:lang w:val="en-US" w:eastAsia="zh-CN" w:bidi="ar-SA"/>
    </w:rPr>
  </w:style>
  <w:style w:type="character" w:customStyle="1" w:styleId="77">
    <w:name w:val="标题 3 Char"/>
    <w:basedOn w:val="29"/>
    <w:link w:val="5"/>
    <w:semiHidden/>
    <w:qFormat/>
    <w:uiPriority w:val="9"/>
    <w:rPr>
      <w:rFonts w:ascii="Times New Roman" w:hAnsi="Times New Roman" w:eastAsia="宋体" w:cs="Times New Roman"/>
      <w:b/>
      <w:bCs/>
      <w:sz w:val="32"/>
      <w:szCs w:val="32"/>
    </w:rPr>
  </w:style>
  <w:style w:type="paragraph" w:customStyle="1" w:styleId="78">
    <w:name w:val="!表标题(alt+h)"/>
    <w:next w:val="1"/>
    <w:qFormat/>
    <w:uiPriority w:val="99"/>
    <w:pPr>
      <w:spacing w:before="120" w:after="80" w:line="440" w:lineRule="exact"/>
      <w:jc w:val="center"/>
      <w:outlineLvl w:val="4"/>
    </w:pPr>
    <w:rPr>
      <w:rFonts w:ascii="Times New Roman" w:hAnsi="Times New Roman" w:eastAsia="黑体" w:cs="Times New Roman"/>
      <w:color w:val="000000"/>
      <w:sz w:val="24"/>
      <w:lang w:val="en-US" w:eastAsia="zh-CN" w:bidi="ar-SA"/>
    </w:rPr>
  </w:style>
  <w:style w:type="paragraph" w:customStyle="1" w:styleId="79">
    <w:name w:val="表格文字"/>
    <w:basedOn w:val="1"/>
    <w:qFormat/>
    <w:uiPriority w:val="0"/>
    <w:rPr>
      <w:szCs w:val="21"/>
    </w:rPr>
  </w:style>
  <w:style w:type="character" w:customStyle="1" w:styleId="80">
    <w:name w:val="文档结构图 Char"/>
    <w:basedOn w:val="29"/>
    <w:link w:val="9"/>
    <w:semiHidden/>
    <w:qFormat/>
    <w:uiPriority w:val="99"/>
    <w:rPr>
      <w:rFonts w:ascii="宋体" w:hAnsi="Times New Roman" w:eastAsia="宋体" w:cs="Times New Roman"/>
      <w:sz w:val="18"/>
      <w:szCs w:val="18"/>
    </w:rPr>
  </w:style>
  <w:style w:type="character" w:customStyle="1" w:styleId="81">
    <w:name w:val="表格题目 Char"/>
    <w:link w:val="82"/>
    <w:qFormat/>
    <w:uiPriority w:val="0"/>
    <w:rPr>
      <w:rFonts w:hAnsi="宋体"/>
      <w:b/>
      <w:sz w:val="24"/>
      <w:szCs w:val="24"/>
      <w:lang w:bidi="en-US"/>
    </w:rPr>
  </w:style>
  <w:style w:type="paragraph" w:customStyle="1" w:styleId="82">
    <w:name w:val="表格题目"/>
    <w:basedOn w:val="1"/>
    <w:next w:val="47"/>
    <w:link w:val="81"/>
    <w:qFormat/>
    <w:uiPriority w:val="0"/>
    <w:pPr>
      <w:widowControl/>
      <w:spacing w:line="460" w:lineRule="exact"/>
      <w:ind w:firstLine="482" w:firstLineChars="200"/>
      <w:jc w:val="center"/>
    </w:pPr>
    <w:rPr>
      <w:rFonts w:hAnsi="宋体" w:asciiTheme="minorHAnsi" w:eastAsiaTheme="minorEastAsia" w:cstheme="minorBidi"/>
      <w:b/>
      <w:sz w:val="24"/>
      <w:lang w:bidi="en-US"/>
    </w:rPr>
  </w:style>
  <w:style w:type="paragraph" w:customStyle="1" w:styleId="83">
    <w:name w:val="_Style 9"/>
    <w:basedOn w:val="22"/>
    <w:next w:val="22"/>
    <w:qFormat/>
    <w:uiPriority w:val="30"/>
    <w:pPr>
      <w:tabs>
        <w:tab w:val="right" w:pos="5142"/>
      </w:tabs>
      <w:adjustRightInd w:val="0"/>
      <w:ind w:left="0" w:firstLine="0" w:firstLineChars="0"/>
      <w:jc w:val="center"/>
      <w:textAlignment w:val="baseline"/>
    </w:pPr>
    <w:rPr>
      <w:rFonts w:eastAsia="Times New Roman"/>
      <w:szCs w:val="21"/>
    </w:rPr>
  </w:style>
  <w:style w:type="paragraph" w:customStyle="1" w:styleId="84">
    <w:name w:val="无间隔1"/>
    <w:qFormat/>
    <w:uiPriority w:val="0"/>
    <w:pPr>
      <w:spacing w:line="400" w:lineRule="exact"/>
      <w:jc w:val="center"/>
    </w:pPr>
    <w:rPr>
      <w:rFonts w:ascii="Calibri" w:hAnsi="Calibri" w:eastAsia="宋体" w:cs="Times New Roman"/>
      <w:sz w:val="24"/>
      <w:szCs w:val="22"/>
      <w:lang w:val="en-US" w:eastAsia="en-US" w:bidi="en-US"/>
    </w:rPr>
  </w:style>
  <w:style w:type="paragraph" w:customStyle="1" w:styleId="85">
    <w:name w:val="_Style 3"/>
    <w:basedOn w:val="22"/>
    <w:next w:val="22"/>
    <w:qFormat/>
    <w:uiPriority w:val="0"/>
    <w:pPr>
      <w:widowControl/>
      <w:adjustRightInd w:val="0"/>
      <w:ind w:firstLine="0" w:firstLineChars="0"/>
      <w:jc w:val="left"/>
      <w:textAlignment w:val="baseline"/>
    </w:pPr>
    <w:rPr>
      <w:rFonts w:ascii="Calibri" w:hAnsi="Calibri" w:eastAsia="Times New Roman" w:cs="Calibri"/>
      <w:kern w:val="0"/>
      <w:sz w:val="24"/>
      <w:szCs w:val="21"/>
    </w:rPr>
  </w:style>
  <w:style w:type="character" w:customStyle="1" w:styleId="86">
    <w:name w:val="批注文字 Char"/>
    <w:link w:val="10"/>
    <w:qFormat/>
    <w:uiPriority w:val="0"/>
    <w:rPr>
      <w:rFonts w:eastAsia="宋体"/>
      <w:szCs w:val="21"/>
    </w:rPr>
  </w:style>
  <w:style w:type="character" w:customStyle="1" w:styleId="87">
    <w:name w:val="批注文字 Char1"/>
    <w:basedOn w:val="29"/>
    <w:semiHidden/>
    <w:qFormat/>
    <w:uiPriority w:val="99"/>
    <w:rPr>
      <w:rFonts w:ascii="Times New Roman" w:hAnsi="Times New Roman" w:eastAsia="宋体" w:cs="Times New Roman"/>
      <w:szCs w:val="24"/>
    </w:rPr>
  </w:style>
  <w:style w:type="character" w:customStyle="1" w:styleId="88">
    <w:name w:val="正文文本缩进 2 Char"/>
    <w:basedOn w:val="29"/>
    <w:link w:val="15"/>
    <w:semiHidden/>
    <w:qFormat/>
    <w:uiPriority w:val="99"/>
    <w:rPr>
      <w:rFonts w:ascii="Times New Roman" w:hAnsi="Times New Roman" w:eastAsia="宋体" w:cs="Times New Roman"/>
      <w:szCs w:val="24"/>
    </w:rPr>
  </w:style>
  <w:style w:type="paragraph" w:customStyle="1" w:styleId="89">
    <w:name w:val="样式 表内格式 + (符号) 宋体 五号"/>
    <w:basedOn w:val="59"/>
    <w:qFormat/>
    <w:uiPriority w:val="0"/>
    <w:pPr>
      <w:spacing w:line="240" w:lineRule="auto"/>
    </w:pPr>
    <w:rPr>
      <w:rFonts w:ascii="Times New Roman" w:hAnsi="Times New Roman" w:eastAsia="Times New Roman"/>
      <w:szCs w:val="20"/>
    </w:rPr>
  </w:style>
  <w:style w:type="paragraph" w:customStyle="1" w:styleId="90">
    <w:name w:val="Table Paragraph"/>
    <w:basedOn w:val="1"/>
    <w:unhideWhenUsed/>
    <w:qFormat/>
    <w:uiPriority w:val="1"/>
    <w:pPr>
      <w:adjustRightInd w:val="0"/>
      <w:spacing w:line="360" w:lineRule="atLeast"/>
      <w:textAlignment w:val="baseline"/>
    </w:pPr>
    <w:rPr>
      <w:rFonts w:eastAsia="Times New Roman"/>
      <w:sz w:val="24"/>
      <w:szCs w:val="21"/>
    </w:rPr>
  </w:style>
  <w:style w:type="character" w:customStyle="1" w:styleId="91">
    <w:name w:val="标题 2 Char"/>
    <w:basedOn w:val="29"/>
    <w:link w:val="4"/>
    <w:qFormat/>
    <w:uiPriority w:val="0"/>
    <w:rPr>
      <w:rFonts w:ascii="Cambria" w:hAnsi="Cambria" w:eastAsia="宋体" w:cs="Times New Roman"/>
      <w:b/>
      <w:bCs/>
      <w:sz w:val="32"/>
      <w:szCs w:val="32"/>
    </w:rPr>
  </w:style>
  <w:style w:type="paragraph" w:customStyle="1" w:styleId="92">
    <w:name w:val="样式 表内字体 + 五号"/>
    <w:basedOn w:val="1"/>
    <w:qFormat/>
    <w:uiPriority w:val="0"/>
    <w:pPr>
      <w:adjustRightInd w:val="0"/>
      <w:snapToGrid w:val="0"/>
      <w:spacing w:line="360" w:lineRule="atLeast"/>
      <w:jc w:val="center"/>
      <w:textAlignment w:val="baseline"/>
    </w:pPr>
    <w:rPr>
      <w:rFonts w:eastAsia="Times New Roman"/>
      <w:kern w:val="0"/>
      <w:szCs w:val="18"/>
    </w:rPr>
  </w:style>
  <w:style w:type="character" w:customStyle="1" w:styleId="93">
    <w:name w:val="批注主题 Char"/>
    <w:basedOn w:val="86"/>
    <w:link w:val="25"/>
    <w:semiHidden/>
    <w:qFormat/>
    <w:uiPriority w:val="99"/>
    <w:rPr>
      <w:rFonts w:ascii="Times New Roman" w:hAnsi="Times New Roman" w:eastAsia="宋体" w:cs="Times New Roman"/>
      <w:b/>
      <w:bCs/>
      <w:szCs w:val="24"/>
    </w:rPr>
  </w:style>
  <w:style w:type="character" w:customStyle="1" w:styleId="94">
    <w:name w:val="纯文本 字符"/>
    <w:qFormat/>
    <w:uiPriority w:val="0"/>
    <w:rPr>
      <w:rFonts w:ascii="宋体" w:hAnsi="Courier New" w:cs="宋体"/>
      <w:kern w:val="2"/>
      <w:sz w:val="21"/>
      <w:szCs w:val="21"/>
    </w:rPr>
  </w:style>
  <w:style w:type="character" w:customStyle="1" w:styleId="95">
    <w:name w:val="批注文字 字符1"/>
    <w:semiHidden/>
    <w:qFormat/>
    <w:uiPriority w:val="0"/>
    <w:rPr>
      <w:rFonts w:ascii="Times New Roman" w:hAnsi="Times New Roman" w:eastAsia="宋体" w:cs="Times New Roman"/>
      <w:sz w:val="24"/>
      <w:szCs w:val="24"/>
    </w:rPr>
  </w:style>
  <w:style w:type="paragraph" w:customStyle="1" w:styleId="96">
    <w:name w:val="表名"/>
    <w:basedOn w:val="1"/>
    <w:qFormat/>
    <w:uiPriority w:val="99"/>
    <w:pPr>
      <w:spacing w:line="460" w:lineRule="exact"/>
      <w:jc w:val="center"/>
      <w:outlineLvl w:val="4"/>
    </w:pPr>
    <w:rPr>
      <w:rFonts w:ascii="黑体" w:eastAsia="黑体"/>
      <w:szCs w:val="20"/>
    </w:rPr>
  </w:style>
  <w:style w:type="paragraph" w:customStyle="1" w:styleId="97">
    <w:name w:val="_Style 5"/>
    <w:qFormat/>
    <w:uiPriority w:val="1"/>
    <w:pPr>
      <w:widowControl w:val="0"/>
      <w:jc w:val="center"/>
    </w:pPr>
    <w:rPr>
      <w:rFonts w:ascii="Times New Roman"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6DBC8-6FF0-441B-80CA-E0684C5EA3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12126</Words>
  <Characters>13510</Characters>
  <Lines>186</Lines>
  <Paragraphs>52</Paragraphs>
  <TotalTime>0</TotalTime>
  <ScaleCrop>false</ScaleCrop>
  <LinksUpToDate>false</LinksUpToDate>
  <CharactersWithSpaces>13568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2021-01-31T13:35:00Z</dcterms:created>
  <dc:creator>word</dc:creator>
  <cp:lastModifiedBy>彬</cp:lastModifiedBy>
  <cp:lastPrinted>2021-08-30T06:11:00Z</cp:lastPrinted>
  <dcterms:modified xsi:type="dcterms:W3CDTF">2025-06-19T01:46:55Z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85574C07A9C945E6A53DDB0D6EE17C5A</vt:lpwstr>
  </property>
  <property fmtid="{D5CDD505-2E9C-101B-9397-08002B2CF9AE}" pid="4" name="KSOTemplateDocerSaveRecord">
    <vt:lpwstr>eyJoZGlkIjoiMTMyM2VhMjBmM2YyZDY4MGZiMGE2NTg2M2Y4ZjQzMTMiLCJ1c2VySWQiOiIzMDg0ODQ5NDgifQ==</vt:lpwstr>
  </property>
</Properties>
</file>